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068"/>
        <w:gridCol w:w="1710"/>
        <w:gridCol w:w="1620"/>
        <w:gridCol w:w="1800"/>
        <w:gridCol w:w="1380"/>
        <w:gridCol w:w="1469"/>
        <w:gridCol w:w="62"/>
      </w:tblGrid>
      <w:tr w:rsidR="00E3409E" w:rsidRPr="00923FCF" w:rsidTr="00BA4D9F">
        <w:trPr>
          <w:gridAfter w:val="1"/>
          <w:wAfter w:w="62" w:type="dxa"/>
          <w:trHeight w:val="260"/>
          <w:jc w:val="center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</w:tcPr>
          <w:p w:rsidR="00E3409E" w:rsidRPr="00923FCF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Supplemental </w:t>
            </w: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S1</w:t>
            </w: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Other g</w:t>
            </w:r>
            <w:r w:rsidRPr="00923FCF">
              <w:rPr>
                <w:rFonts w:ascii="Times New Roman" w:eastAsia="Times New Roman" w:hAnsi="Times New Roman" w:cs="Times New Roman"/>
                <w:sz w:val="18"/>
                <w:szCs w:val="20"/>
              </w:rPr>
              <w:t>ene expression differences in the hypothalamus of females across treatment groups.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Data shown as mean, with lower and upper 95% confidence intervals shown in parenthesis.</w:t>
            </w:r>
          </w:p>
        </w:tc>
      </w:tr>
      <w:tr w:rsidR="00E3409E" w:rsidRPr="00923FCF" w:rsidTr="00BA4D9F">
        <w:trPr>
          <w:trHeight w:val="255"/>
          <w:jc w:val="center"/>
        </w:trPr>
        <w:tc>
          <w:tcPr>
            <w:tcW w:w="1393" w:type="dxa"/>
            <w:shd w:val="clear" w:color="auto" w:fill="auto"/>
            <w:vAlign w:val="center"/>
            <w:hideMark/>
          </w:tcPr>
          <w:p w:rsidR="00E3409E" w:rsidRPr="00923FCF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Brain Region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3409E" w:rsidRPr="00923FCF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Transcript</w:t>
            </w:r>
          </w:p>
        </w:tc>
        <w:tc>
          <w:tcPr>
            <w:tcW w:w="1710" w:type="dxa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EE</w:t>
            </w:r>
          </w:p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Fold Change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620" w:type="dxa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BPA</w:t>
            </w:r>
          </w:p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Fold Change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**</w:t>
            </w:r>
          </w:p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Vehicle vs.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EE***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p-value</w:t>
            </w:r>
          </w:p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Vehicle vs.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BPA</w:t>
            </w:r>
          </w:p>
        </w:tc>
        <w:tc>
          <w:tcPr>
            <w:tcW w:w="1531" w:type="dxa"/>
            <w:gridSpan w:val="2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p-value</w:t>
            </w:r>
          </w:p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EE vs. BPA</w:t>
            </w:r>
          </w:p>
        </w:tc>
      </w:tr>
      <w:tr w:rsidR="00E3409E" w:rsidRPr="00923FCF" w:rsidTr="00BA4D9F">
        <w:trPr>
          <w:trHeight w:val="300"/>
          <w:jc w:val="center"/>
        </w:trPr>
        <w:tc>
          <w:tcPr>
            <w:tcW w:w="1393" w:type="dxa"/>
            <w:vMerge w:val="restart"/>
            <w:shd w:val="clear" w:color="auto" w:fill="auto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3409E" w:rsidRPr="00923FCF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eastAsia="Times New Roman" w:hAnsi="Times New Roman" w:cs="Times New Roman"/>
                <w:sz w:val="18"/>
                <w:szCs w:val="20"/>
              </w:rPr>
              <w:t>Hypothalamus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3409E" w:rsidRPr="00E20D47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20D47">
              <w:rPr>
                <w:rFonts w:ascii="Times New Roman" w:hAnsi="Times New Roman" w:cs="Times New Roman"/>
                <w:i/>
                <w:sz w:val="18"/>
                <w:szCs w:val="20"/>
              </w:rPr>
              <w:t>Dnmt3a</w:t>
            </w:r>
          </w:p>
        </w:tc>
        <w:tc>
          <w:tcPr>
            <w:tcW w:w="171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1.44 (0.38, 5.51)</w:t>
            </w:r>
          </w:p>
        </w:tc>
        <w:tc>
          <w:tcPr>
            <w:tcW w:w="162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1.40 (0.37, 5.32)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0.599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0.624</w:t>
            </w:r>
          </w:p>
        </w:tc>
        <w:tc>
          <w:tcPr>
            <w:tcW w:w="1531" w:type="dxa"/>
            <w:gridSpan w:val="2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0.970</w:t>
            </w:r>
          </w:p>
        </w:tc>
      </w:tr>
      <w:tr w:rsidR="00E3409E" w:rsidRPr="00923FCF" w:rsidTr="00BA4D9F">
        <w:trPr>
          <w:trHeight w:val="260"/>
          <w:jc w:val="center"/>
        </w:trPr>
        <w:tc>
          <w:tcPr>
            <w:tcW w:w="1393" w:type="dxa"/>
            <w:vMerge/>
            <w:shd w:val="clear" w:color="auto" w:fill="auto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3409E" w:rsidRPr="00E20D47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20D47">
              <w:rPr>
                <w:rFonts w:ascii="Times New Roman" w:hAnsi="Times New Roman" w:cs="Times New Roman"/>
                <w:i/>
                <w:sz w:val="18"/>
                <w:szCs w:val="20"/>
              </w:rPr>
              <w:t>Avp</w:t>
            </w:r>
            <w:proofErr w:type="spellEnd"/>
          </w:p>
        </w:tc>
        <w:tc>
          <w:tcPr>
            <w:tcW w:w="171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0.87 (0.33, 2.32)</w:t>
            </w:r>
          </w:p>
        </w:tc>
        <w:tc>
          <w:tcPr>
            <w:tcW w:w="162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0.85 (0.32, 2.25)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3409E" w:rsidRPr="00A902B1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0.784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0.747</w:t>
            </w:r>
          </w:p>
        </w:tc>
        <w:tc>
          <w:tcPr>
            <w:tcW w:w="1531" w:type="dxa"/>
            <w:gridSpan w:val="2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0.964</w:t>
            </w:r>
          </w:p>
        </w:tc>
      </w:tr>
      <w:tr w:rsidR="00E3409E" w:rsidRPr="00923FCF" w:rsidTr="00BA4D9F">
        <w:trPr>
          <w:trHeight w:val="260"/>
          <w:jc w:val="center"/>
        </w:trPr>
        <w:tc>
          <w:tcPr>
            <w:tcW w:w="1393" w:type="dxa"/>
            <w:vMerge/>
            <w:shd w:val="clear" w:color="auto" w:fill="auto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3409E" w:rsidRPr="00E20D47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20D47">
              <w:rPr>
                <w:rFonts w:ascii="Times New Roman" w:hAnsi="Times New Roman" w:cs="Times New Roman"/>
                <w:i/>
                <w:sz w:val="18"/>
                <w:szCs w:val="20"/>
              </w:rPr>
              <w:t>Ar</w:t>
            </w:r>
            <w:proofErr w:type="spellEnd"/>
          </w:p>
        </w:tc>
        <w:tc>
          <w:tcPr>
            <w:tcW w:w="171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0.74 (0.18, 3.11)</w:t>
            </w:r>
          </w:p>
        </w:tc>
        <w:tc>
          <w:tcPr>
            <w:tcW w:w="162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0.57 (0.14, 2.39)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0.683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0.450</w:t>
            </w:r>
          </w:p>
        </w:tc>
        <w:tc>
          <w:tcPr>
            <w:tcW w:w="1531" w:type="dxa"/>
            <w:gridSpan w:val="2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0.732</w:t>
            </w:r>
          </w:p>
        </w:tc>
      </w:tr>
      <w:tr w:rsidR="00E3409E" w:rsidRPr="00923FCF" w:rsidTr="00BA4D9F">
        <w:trPr>
          <w:trHeight w:val="260"/>
          <w:jc w:val="center"/>
        </w:trPr>
        <w:tc>
          <w:tcPr>
            <w:tcW w:w="1393" w:type="dxa"/>
            <w:vMerge/>
            <w:shd w:val="clear" w:color="auto" w:fill="auto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3409E" w:rsidRPr="00E20D47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20D47">
              <w:rPr>
                <w:rFonts w:ascii="Times New Roman" w:hAnsi="Times New Roman" w:cs="Times New Roman"/>
                <w:i/>
                <w:sz w:val="18"/>
                <w:szCs w:val="20"/>
              </w:rPr>
              <w:t>Oxt</w:t>
            </w:r>
            <w:proofErr w:type="spellEnd"/>
          </w:p>
        </w:tc>
        <w:tc>
          <w:tcPr>
            <w:tcW w:w="171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1.47 (0.31, 7.01)</w:t>
            </w:r>
          </w:p>
        </w:tc>
        <w:tc>
          <w:tcPr>
            <w:tcW w:w="1620" w:type="dxa"/>
            <w:vAlign w:val="bottom"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0.74 (0.16, 3.47)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0.634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0.700</w:t>
            </w:r>
          </w:p>
        </w:tc>
        <w:tc>
          <w:tcPr>
            <w:tcW w:w="1531" w:type="dxa"/>
            <w:gridSpan w:val="2"/>
            <w:shd w:val="clear" w:color="auto" w:fill="auto"/>
            <w:noWrap/>
            <w:vAlign w:val="bottom"/>
            <w:hideMark/>
          </w:tcPr>
          <w:p w:rsidR="00E3409E" w:rsidRPr="00923FCF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3FCF">
              <w:rPr>
                <w:rFonts w:ascii="Times New Roman" w:hAnsi="Times New Roman" w:cs="Times New Roman"/>
                <w:sz w:val="18"/>
                <w:szCs w:val="20"/>
              </w:rPr>
              <w:t>0.393</w:t>
            </w:r>
          </w:p>
        </w:tc>
      </w:tr>
      <w:tr w:rsidR="00E3409E" w:rsidRPr="003E2139" w:rsidTr="00BA4D9F">
        <w:trPr>
          <w:trHeight w:val="260"/>
          <w:jc w:val="center"/>
        </w:trPr>
        <w:tc>
          <w:tcPr>
            <w:tcW w:w="105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9E" w:rsidRPr="00AD5A67" w:rsidRDefault="00E3409E" w:rsidP="00BA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*Fold change refers to the gene expression level relative to that in the vehicle control group using the </w:t>
            </w:r>
            <w:r w:rsidRPr="00AD5A67">
              <w:rPr>
                <w:rStyle w:val="Emphasis"/>
                <w:rFonts w:ascii="Times New Roman" w:hAnsi="Times New Roman" w:cs="Times New Roman"/>
                <w:color w:val="545454"/>
                <w:sz w:val="18"/>
                <w:szCs w:val="18"/>
                <w:lang w:val="en"/>
              </w:rPr>
              <w:t>2</w:t>
            </w:r>
            <w:r w:rsidRPr="00AD5A67">
              <w:rPr>
                <w:rStyle w:val="st1"/>
                <w:rFonts w:ascii="Times New Roman" w:hAnsi="Times New Roman" w:cs="Times New Roman"/>
                <w:color w:val="545454"/>
                <w:sz w:val="18"/>
                <w:szCs w:val="18"/>
                <w:vertAlign w:val="superscript"/>
                <w:lang w:val="en"/>
              </w:rPr>
              <w:t>-ΔΔ</w:t>
            </w:r>
            <w:r w:rsidRPr="00AD5A67">
              <w:rPr>
                <w:rStyle w:val="Emphasis"/>
                <w:rFonts w:ascii="Times New Roman" w:hAnsi="Times New Roman" w:cs="Times New Roman"/>
                <w:color w:val="545454"/>
                <w:sz w:val="18"/>
                <w:szCs w:val="18"/>
                <w:vertAlign w:val="superscript"/>
                <w:lang w:val="en"/>
              </w:rPr>
              <w:t>CT</w:t>
            </w:r>
            <w:r w:rsidRPr="00AD5A67">
              <w:rPr>
                <w:rStyle w:val="st1"/>
                <w:rFonts w:ascii="Arial" w:hAnsi="Arial" w:cs="Arial"/>
                <w:color w:val="545454"/>
                <w:sz w:val="18"/>
                <w:szCs w:val="18"/>
                <w:lang w:val="en"/>
              </w:rPr>
              <w:t xml:space="preserve"> </w:t>
            </w:r>
            <w:r w:rsidRPr="00AD5A67">
              <w:rPr>
                <w:rFonts w:ascii="Times New Roman" w:hAnsi="Times New Roman" w:cs="Times New Roman"/>
                <w:sz w:val="18"/>
                <w:szCs w:val="18"/>
              </w:rPr>
              <w:t xml:space="preserve">method. </w:t>
            </w:r>
          </w:p>
          <w:p w:rsidR="00E3409E" w:rsidRDefault="00E3409E" w:rsidP="00BA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**Statistical significance was determined using the </w:t>
            </w:r>
            <w:r w:rsidRPr="00AD5A67">
              <w:rPr>
                <w:rStyle w:val="st1"/>
                <w:rFonts w:ascii="Times New Roman" w:hAnsi="Times New Roman" w:cs="Times New Roman"/>
                <w:color w:val="545454"/>
                <w:sz w:val="18"/>
                <w:szCs w:val="18"/>
                <w:lang w:val="en"/>
              </w:rPr>
              <w:t>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CT values</w:t>
            </w:r>
          </w:p>
          <w:p w:rsidR="00E3409E" w:rsidRPr="00923FCF" w:rsidRDefault="00E3409E" w:rsidP="00BA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3409E" w:rsidRDefault="00E3409E" w:rsidP="00E3409E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1584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053"/>
        <w:gridCol w:w="1620"/>
        <w:gridCol w:w="1800"/>
        <w:gridCol w:w="1800"/>
        <w:gridCol w:w="1440"/>
        <w:gridCol w:w="1422"/>
        <w:gridCol w:w="33"/>
      </w:tblGrid>
      <w:tr w:rsidR="00E3409E" w:rsidRPr="008B5E6B" w:rsidTr="00BA4D9F">
        <w:trPr>
          <w:gridAfter w:val="1"/>
          <w:wAfter w:w="33" w:type="dxa"/>
          <w:trHeight w:val="260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E3409E" w:rsidRPr="003E2139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 xml:space="preserve">Supplemental </w:t>
            </w:r>
            <w:r w:rsidRPr="003E2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S1</w:t>
            </w:r>
            <w:r w:rsidRPr="003E2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Other g</w:t>
            </w:r>
            <w:r w:rsidRPr="003E2139">
              <w:rPr>
                <w:rFonts w:ascii="Times New Roman" w:eastAsia="Times New Roman" w:hAnsi="Times New Roman" w:cs="Times New Roman"/>
                <w:sz w:val="18"/>
                <w:szCs w:val="20"/>
              </w:rPr>
              <w:t>ene expression differences in the hypothalamus of males across treatment groups.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Data shown as mean, with lower and upper 95% confidence intervals shown in parenthesis.</w:t>
            </w:r>
          </w:p>
        </w:tc>
      </w:tr>
      <w:tr w:rsidR="00E3409E" w:rsidRPr="00D159BA" w:rsidTr="00BA4D9F">
        <w:trPr>
          <w:trHeight w:val="233"/>
        </w:trPr>
        <w:tc>
          <w:tcPr>
            <w:tcW w:w="1395" w:type="dxa"/>
            <w:shd w:val="clear" w:color="auto" w:fill="auto"/>
            <w:vAlign w:val="center"/>
          </w:tcPr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Brain Region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Transcript</w:t>
            </w:r>
          </w:p>
        </w:tc>
        <w:tc>
          <w:tcPr>
            <w:tcW w:w="1620" w:type="dxa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EE</w:t>
            </w:r>
          </w:p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Fold Change</w:t>
            </w:r>
          </w:p>
        </w:tc>
        <w:tc>
          <w:tcPr>
            <w:tcW w:w="1800" w:type="dxa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BPA</w:t>
            </w:r>
          </w:p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Fold Change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**</w:t>
            </w: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Vehicle vs.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EE***</w:t>
            </w:r>
          </w:p>
        </w:tc>
        <w:tc>
          <w:tcPr>
            <w:tcW w:w="1440" w:type="dxa"/>
            <w:shd w:val="clear" w:color="auto" w:fill="auto"/>
            <w:noWrap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p-value</w:t>
            </w:r>
          </w:p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Vehicle vs.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BPA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p-value</w:t>
            </w:r>
          </w:p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EE</w:t>
            </w:r>
            <w:r w:rsidRPr="0049388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vs. BPA</w:t>
            </w:r>
          </w:p>
        </w:tc>
      </w:tr>
      <w:tr w:rsidR="00E3409E" w:rsidRPr="00D159BA" w:rsidTr="00BA4D9F">
        <w:trPr>
          <w:trHeight w:val="233"/>
        </w:trPr>
        <w:tc>
          <w:tcPr>
            <w:tcW w:w="1395" w:type="dxa"/>
            <w:vMerge w:val="restart"/>
            <w:shd w:val="clear" w:color="auto" w:fill="auto"/>
          </w:tcPr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sz w:val="18"/>
                <w:szCs w:val="20"/>
              </w:rPr>
              <w:t>Hypothalamus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49388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Dnmt3a</w:t>
            </w:r>
          </w:p>
        </w:tc>
        <w:tc>
          <w:tcPr>
            <w:tcW w:w="162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0.28 (0.07, 1.07)</w:t>
            </w:r>
          </w:p>
        </w:tc>
        <w:tc>
          <w:tcPr>
            <w:tcW w:w="180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0.46 (0.12, 1.75)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0.071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0.262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0.470</w:t>
            </w:r>
          </w:p>
        </w:tc>
      </w:tr>
      <w:tr w:rsidR="00E3409E" w:rsidRPr="00D159BA" w:rsidTr="00BA4D9F">
        <w:trPr>
          <w:trHeight w:val="260"/>
        </w:trPr>
        <w:tc>
          <w:tcPr>
            <w:tcW w:w="1395" w:type="dxa"/>
            <w:vMerge/>
            <w:shd w:val="clear" w:color="auto" w:fill="auto"/>
          </w:tcPr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49388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Avp</w:t>
            </w:r>
            <w:proofErr w:type="spellEnd"/>
          </w:p>
        </w:tc>
        <w:tc>
          <w:tcPr>
            <w:tcW w:w="162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0.38 (0.14, 1.02)</w:t>
            </w:r>
          </w:p>
        </w:tc>
        <w:tc>
          <w:tcPr>
            <w:tcW w:w="180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0.65 (0.25, 1.72)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0.064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0.392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0.299</w:t>
            </w:r>
          </w:p>
        </w:tc>
      </w:tr>
      <w:tr w:rsidR="00E3409E" w:rsidRPr="00D159BA" w:rsidTr="00BA4D9F">
        <w:trPr>
          <w:trHeight w:val="260"/>
        </w:trPr>
        <w:tc>
          <w:tcPr>
            <w:tcW w:w="1395" w:type="dxa"/>
            <w:vMerge/>
            <w:shd w:val="clear" w:color="auto" w:fill="auto"/>
          </w:tcPr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49388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Ar</w:t>
            </w:r>
            <w:proofErr w:type="spellEnd"/>
          </w:p>
        </w:tc>
        <w:tc>
          <w:tcPr>
            <w:tcW w:w="162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0.16 (0.04, 0.67)</w:t>
            </w:r>
          </w:p>
        </w:tc>
        <w:tc>
          <w:tcPr>
            <w:tcW w:w="180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0.41 (0.10, 1.71)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0.018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0.229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0.205</w:t>
            </w:r>
          </w:p>
        </w:tc>
      </w:tr>
      <w:tr w:rsidR="00E3409E" w:rsidRPr="00D159BA" w:rsidTr="00BA4D9F">
        <w:trPr>
          <w:trHeight w:val="260"/>
        </w:trPr>
        <w:tc>
          <w:tcPr>
            <w:tcW w:w="1395" w:type="dxa"/>
            <w:vMerge/>
            <w:shd w:val="clear" w:color="auto" w:fill="auto"/>
          </w:tcPr>
          <w:p w:rsidR="00E3409E" w:rsidRPr="00493886" w:rsidRDefault="00E3409E" w:rsidP="00BA4D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493886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Oxt</w:t>
            </w:r>
            <w:proofErr w:type="spellEnd"/>
          </w:p>
        </w:tc>
        <w:tc>
          <w:tcPr>
            <w:tcW w:w="162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0.31 (0.07, 1.49)</w:t>
            </w:r>
          </w:p>
        </w:tc>
        <w:tc>
          <w:tcPr>
            <w:tcW w:w="1800" w:type="dxa"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0.31 (0.07, 1.45)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0.146</w:t>
            </w:r>
          </w:p>
        </w:tc>
        <w:tc>
          <w:tcPr>
            <w:tcW w:w="1455" w:type="dxa"/>
            <w:gridSpan w:val="2"/>
            <w:shd w:val="clear" w:color="auto" w:fill="auto"/>
            <w:noWrap/>
            <w:vAlign w:val="bottom"/>
          </w:tcPr>
          <w:p w:rsidR="00E3409E" w:rsidRPr="00493886" w:rsidRDefault="00E3409E" w:rsidP="00BA4D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3886">
              <w:rPr>
                <w:rFonts w:ascii="Times New Roman" w:hAnsi="Times New Roman" w:cs="Times New Roman"/>
                <w:sz w:val="18"/>
                <w:szCs w:val="20"/>
              </w:rPr>
              <w:t>0.986</w:t>
            </w:r>
          </w:p>
        </w:tc>
      </w:tr>
      <w:tr w:rsidR="00E3409E" w:rsidRPr="00D159BA" w:rsidTr="00BA4D9F">
        <w:trPr>
          <w:gridAfter w:val="1"/>
          <w:wAfter w:w="33" w:type="dxa"/>
          <w:trHeight w:val="260"/>
        </w:trPr>
        <w:tc>
          <w:tcPr>
            <w:tcW w:w="105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9E" w:rsidRPr="00AD5A67" w:rsidRDefault="00E3409E" w:rsidP="00BA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*Fold change refers to the gene expression level relative to that in the vehicle control group using the </w:t>
            </w:r>
            <w:r w:rsidRPr="00AD5A67">
              <w:rPr>
                <w:rStyle w:val="Emphasis"/>
                <w:rFonts w:ascii="Times New Roman" w:hAnsi="Times New Roman" w:cs="Times New Roman"/>
                <w:color w:val="545454"/>
                <w:sz w:val="18"/>
                <w:szCs w:val="18"/>
                <w:lang w:val="en"/>
              </w:rPr>
              <w:t>2</w:t>
            </w:r>
            <w:r w:rsidRPr="00AD5A67">
              <w:rPr>
                <w:rStyle w:val="st1"/>
                <w:rFonts w:ascii="Times New Roman" w:hAnsi="Times New Roman" w:cs="Times New Roman"/>
                <w:color w:val="545454"/>
                <w:sz w:val="18"/>
                <w:szCs w:val="18"/>
                <w:vertAlign w:val="superscript"/>
                <w:lang w:val="en"/>
              </w:rPr>
              <w:t>-ΔΔ</w:t>
            </w:r>
            <w:r w:rsidRPr="00AD5A67">
              <w:rPr>
                <w:rStyle w:val="Emphasis"/>
                <w:rFonts w:ascii="Times New Roman" w:hAnsi="Times New Roman" w:cs="Times New Roman"/>
                <w:color w:val="545454"/>
                <w:sz w:val="18"/>
                <w:szCs w:val="18"/>
                <w:vertAlign w:val="superscript"/>
                <w:lang w:val="en"/>
              </w:rPr>
              <w:t>CT</w:t>
            </w:r>
            <w:r w:rsidRPr="00AD5A67">
              <w:rPr>
                <w:rStyle w:val="st1"/>
                <w:rFonts w:ascii="Arial" w:hAnsi="Arial" w:cs="Arial"/>
                <w:color w:val="545454"/>
                <w:sz w:val="18"/>
                <w:szCs w:val="18"/>
                <w:lang w:val="en"/>
              </w:rPr>
              <w:t xml:space="preserve"> </w:t>
            </w:r>
            <w:r w:rsidRPr="00AD5A67">
              <w:rPr>
                <w:rFonts w:ascii="Times New Roman" w:hAnsi="Times New Roman" w:cs="Times New Roman"/>
                <w:sz w:val="18"/>
                <w:szCs w:val="18"/>
              </w:rPr>
              <w:t xml:space="preserve">method. </w:t>
            </w:r>
          </w:p>
          <w:p w:rsidR="00E3409E" w:rsidRDefault="00E3409E" w:rsidP="00BA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**Statistical significance was determined using the </w:t>
            </w:r>
            <w:r w:rsidRPr="00AD5A67">
              <w:rPr>
                <w:rStyle w:val="st1"/>
                <w:rFonts w:ascii="Times New Roman" w:hAnsi="Times New Roman" w:cs="Times New Roman"/>
                <w:color w:val="545454"/>
                <w:sz w:val="18"/>
                <w:szCs w:val="18"/>
                <w:lang w:val="en"/>
              </w:rPr>
              <w:t>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CT values</w:t>
            </w:r>
          </w:p>
          <w:p w:rsidR="00E3409E" w:rsidRPr="00AF6771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E3409E" w:rsidRPr="008B5E6B" w:rsidRDefault="00E3409E" w:rsidP="00E34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09E" w:rsidRDefault="00E3409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409E" w:rsidRDefault="00E3409E" w:rsidP="00E340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79001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>. Comparison of hypothalamic gene expression differences between females and males within the same treatment group.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62"/>
        <w:gridCol w:w="1597"/>
        <w:gridCol w:w="1440"/>
        <w:gridCol w:w="1444"/>
      </w:tblGrid>
      <w:tr w:rsidR="00E3409E" w:rsidRPr="00B87DD9" w:rsidTr="00BA4D9F">
        <w:trPr>
          <w:trHeight w:val="260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3409E" w:rsidRPr="00B87DD9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409E" w:rsidRPr="00B87DD9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409E" w:rsidRPr="00B87DD9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409E" w:rsidRPr="00B87DD9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Brain Region</w:t>
            </w:r>
          </w:p>
        </w:tc>
        <w:tc>
          <w:tcPr>
            <w:tcW w:w="1962" w:type="dxa"/>
            <w:vMerge w:val="restart"/>
            <w:shd w:val="clear" w:color="auto" w:fill="auto"/>
            <w:noWrap/>
            <w:vAlign w:val="bottom"/>
          </w:tcPr>
          <w:p w:rsidR="00E3409E" w:rsidRPr="00B87DD9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Transcript</w:t>
            </w:r>
          </w:p>
        </w:tc>
        <w:tc>
          <w:tcPr>
            <w:tcW w:w="4481" w:type="dxa"/>
            <w:gridSpan w:val="3"/>
            <w:vAlign w:val="bottom"/>
          </w:tcPr>
          <w:p w:rsidR="00E3409E" w:rsidRPr="00FD2F79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79">
              <w:rPr>
                <w:rFonts w:ascii="Times New Roman" w:hAnsi="Times New Roman" w:cs="Times New Roman"/>
                <w:b/>
                <w:sz w:val="20"/>
                <w:szCs w:val="20"/>
              </w:rPr>
              <w:t>Female vs. Male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</w:tr>
      <w:tr w:rsidR="00E3409E" w:rsidRPr="009B1E33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  <w:noWrap/>
            <w:vAlign w:val="bottom"/>
          </w:tcPr>
          <w:p w:rsidR="00E3409E" w:rsidRPr="009B1E33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vAlign w:val="bottom"/>
          </w:tcPr>
          <w:p w:rsidR="00E3409E" w:rsidRPr="00FD2F79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7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E3409E" w:rsidRPr="00D159BA" w:rsidTr="00BA4D9F">
        <w:trPr>
          <w:trHeight w:val="233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  <w:noWrap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7" w:type="dxa"/>
            <w:vAlign w:val="bottom"/>
          </w:tcPr>
          <w:p w:rsidR="00E3409E" w:rsidRPr="00790016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16">
              <w:rPr>
                <w:rFonts w:ascii="Times New Roman" w:hAnsi="Times New Roman" w:cs="Times New Roman"/>
                <w:b/>
                <w:sz w:val="20"/>
                <w:szCs w:val="20"/>
              </w:rPr>
              <w:t>Control Females vs. Control Males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1440" w:type="dxa"/>
            <w:vAlign w:val="bottom"/>
          </w:tcPr>
          <w:p w:rsidR="00E3409E" w:rsidRPr="00790016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16">
              <w:rPr>
                <w:rFonts w:ascii="Times New Roman" w:hAnsi="Times New Roman" w:cs="Times New Roman"/>
                <w:b/>
                <w:sz w:val="20"/>
                <w:szCs w:val="20"/>
              </w:rPr>
              <w:t>EE Females vs. EE males</w:t>
            </w:r>
          </w:p>
        </w:tc>
        <w:tc>
          <w:tcPr>
            <w:tcW w:w="1444" w:type="dxa"/>
            <w:vAlign w:val="bottom"/>
          </w:tcPr>
          <w:p w:rsidR="00E3409E" w:rsidRPr="00790016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16">
              <w:rPr>
                <w:rFonts w:ascii="Times New Roman" w:hAnsi="Times New Roman" w:cs="Times New Roman"/>
                <w:b/>
                <w:sz w:val="20"/>
                <w:szCs w:val="20"/>
              </w:rPr>
              <w:t>BPA females vs. BPA males</w:t>
            </w:r>
          </w:p>
        </w:tc>
      </w:tr>
      <w:tr w:rsidR="00E3409E" w:rsidRPr="00D159BA" w:rsidTr="00BA4D9F">
        <w:trPr>
          <w:trHeight w:val="233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E6B">
              <w:rPr>
                <w:rFonts w:ascii="Times New Roman" w:eastAsia="Times New Roman" w:hAnsi="Times New Roman" w:cs="Times New Roman"/>
                <w:sz w:val="20"/>
                <w:szCs w:val="20"/>
              </w:rPr>
              <w:t>Hypothalamus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Dnmt3a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Dnmt3b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Dnmt1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 &gt; F)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8B5E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sr</w:t>
            </w: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 &gt; F)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 &gt; M)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8B5E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sr</w:t>
            </w: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8B5E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vp</w:t>
            </w:r>
            <w:proofErr w:type="spellEnd"/>
          </w:p>
        </w:tc>
        <w:tc>
          <w:tcPr>
            <w:tcW w:w="1597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8B5E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3409E" w:rsidRPr="00441CD6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1CD6">
              <w:rPr>
                <w:rFonts w:ascii="Times New Roman" w:hAnsi="Times New Roman" w:cs="Times New Roman"/>
                <w:i/>
                <w:sz w:val="20"/>
                <w:szCs w:val="20"/>
              </w:rPr>
              <w:t>0.051 (M &gt; F)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Otr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8B5E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xt</w:t>
            </w:r>
            <w:proofErr w:type="spellEnd"/>
          </w:p>
        </w:tc>
        <w:tc>
          <w:tcPr>
            <w:tcW w:w="1597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</w:tr>
      <w:tr w:rsidR="00E3409E" w:rsidRPr="00D159BA" w:rsidTr="00BA4D9F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</w:tcPr>
          <w:p w:rsidR="00E3409E" w:rsidRPr="008B5E6B" w:rsidRDefault="00E3409E" w:rsidP="00BA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noWrap/>
            <w:hideMark/>
          </w:tcPr>
          <w:p w:rsidR="00E3409E" w:rsidRPr="00D159BA" w:rsidRDefault="00E3409E" w:rsidP="00B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9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8B5E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(M &gt; F)</w:t>
            </w:r>
          </w:p>
        </w:tc>
        <w:tc>
          <w:tcPr>
            <w:tcW w:w="1440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1444" w:type="dxa"/>
            <w:vAlign w:val="bottom"/>
          </w:tcPr>
          <w:p w:rsidR="00E3409E" w:rsidRPr="00485774" w:rsidRDefault="00E3409E" w:rsidP="00BA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4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</w:tr>
    </w:tbl>
    <w:p w:rsidR="00E3409E" w:rsidRPr="00643CC2" w:rsidRDefault="00E3409E" w:rsidP="00E340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47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C2">
        <w:rPr>
          <w:rFonts w:ascii="Times New Roman" w:hAnsi="Times New Roman" w:cs="Times New Roman"/>
          <w:sz w:val="24"/>
          <w:szCs w:val="24"/>
        </w:rPr>
        <w:t>F, female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3CC2">
        <w:rPr>
          <w:rFonts w:ascii="Times New Roman" w:hAnsi="Times New Roman" w:cs="Times New Roman"/>
          <w:sz w:val="24"/>
          <w:szCs w:val="24"/>
        </w:rPr>
        <w:t xml:space="preserve"> M, male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3CC2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CC2">
        <w:rPr>
          <w:rFonts w:ascii="Times New Roman" w:hAnsi="Times New Roman" w:cs="Times New Roman"/>
          <w:sz w:val="24"/>
          <w:szCs w:val="24"/>
        </w:rPr>
        <w:t xml:space="preserve"> higher expression (lower </w:t>
      </w:r>
      <w:r w:rsidRPr="006347EB">
        <w:rPr>
          <w:rStyle w:val="st1"/>
          <w:rFonts w:ascii="Times New Roman" w:hAnsi="Times New Roman" w:cs="Times New Roman"/>
          <w:color w:val="545454"/>
          <w:lang w:val="en"/>
        </w:rPr>
        <w:t>Δ</w:t>
      </w:r>
      <w:r w:rsidRPr="00643CC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</w:t>
      </w:r>
      <w:r w:rsidRPr="00643CC2">
        <w:rPr>
          <w:rFonts w:ascii="Times New Roman" w:hAnsi="Times New Roman" w:cs="Times New Roman"/>
          <w:sz w:val="24"/>
          <w:szCs w:val="24"/>
        </w:rPr>
        <w:t xml:space="preserve">) than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43CC2">
        <w:rPr>
          <w:rFonts w:ascii="Times New Roman" w:hAnsi="Times New Roman" w:cs="Times New Roman"/>
          <w:sz w:val="24"/>
          <w:szCs w:val="24"/>
        </w:rPr>
        <w:t xml:space="preserve"> other sex</w:t>
      </w:r>
    </w:p>
    <w:p w:rsidR="00E3409E" w:rsidRPr="004F3683" w:rsidRDefault="00E3409E" w:rsidP="00E3409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F3683">
        <w:rPr>
          <w:rFonts w:ascii="Times New Roman" w:hAnsi="Times New Roman" w:cs="Times New Roman"/>
        </w:rPr>
        <w:t xml:space="preserve">* Statistical significance was determined using the </w:t>
      </w:r>
      <w:r w:rsidRPr="004F3683">
        <w:rPr>
          <w:rStyle w:val="st1"/>
          <w:rFonts w:ascii="Times New Roman" w:hAnsi="Times New Roman" w:cs="Times New Roman"/>
          <w:color w:val="545454"/>
          <w:lang w:val="en"/>
        </w:rPr>
        <w:t>Δ</w:t>
      </w:r>
      <w:r w:rsidRPr="004F368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</w:t>
      </w:r>
      <w:r w:rsidRPr="004F3683">
        <w:rPr>
          <w:rFonts w:ascii="Times New Roman" w:hAnsi="Times New Roman" w:cs="Times New Roman"/>
        </w:rPr>
        <w:t xml:space="preserve"> values</w:t>
      </w:r>
    </w:p>
    <w:p w:rsidR="00E3409E" w:rsidRPr="004F3683" w:rsidRDefault="00E3409E" w:rsidP="00E340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F3683">
        <w:rPr>
          <w:rFonts w:ascii="Times New Roman" w:hAnsi="Times New Roman" w:cs="Times New Roman"/>
        </w:rPr>
        <w:t xml:space="preserve">***Comparisons with a significant difference (p &lt; 0.05) </w:t>
      </w:r>
      <w:proofErr w:type="gramStart"/>
      <w:r w:rsidRPr="004F3683">
        <w:rPr>
          <w:rFonts w:ascii="Times New Roman" w:hAnsi="Times New Roman" w:cs="Times New Roman"/>
        </w:rPr>
        <w:t>are highlighted</w:t>
      </w:r>
      <w:proofErr w:type="gramEnd"/>
      <w:r w:rsidRPr="004F3683">
        <w:rPr>
          <w:rFonts w:ascii="Times New Roman" w:hAnsi="Times New Roman" w:cs="Times New Roman"/>
        </w:rPr>
        <w:t xml:space="preserve"> in grey and in bold</w:t>
      </w:r>
      <w:r>
        <w:rPr>
          <w:rFonts w:ascii="Times New Roman" w:hAnsi="Times New Roman" w:cs="Times New Roman"/>
        </w:rPr>
        <w:t>, while those with p &lt; 0.06 are highlighted in italic</w:t>
      </w:r>
    </w:p>
    <w:p w:rsidR="00E3409E" w:rsidRPr="00790016" w:rsidRDefault="00E3409E" w:rsidP="00E3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71" w:rsidRDefault="00B07A7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MediumList1"/>
        <w:tblW w:w="9378" w:type="dxa"/>
        <w:tblLayout w:type="fixed"/>
        <w:tblLook w:val="04A0" w:firstRow="1" w:lastRow="0" w:firstColumn="1" w:lastColumn="0" w:noHBand="0" w:noVBand="1"/>
      </w:tblPr>
      <w:tblGrid>
        <w:gridCol w:w="1158"/>
        <w:gridCol w:w="1206"/>
        <w:gridCol w:w="4674"/>
        <w:gridCol w:w="2340"/>
      </w:tblGrid>
      <w:tr w:rsidR="00B07A71" w:rsidRPr="000144A6" w:rsidTr="00BA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4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lastRenderedPageBreak/>
              <w:t>Supplementa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0144A6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S3</w:t>
            </w:r>
            <w:r w:rsidRPr="000144A6">
              <w:rPr>
                <w:rFonts w:ascii="Times New Roman" w:hAnsi="Times New Roman" w:cs="Times New Roman"/>
                <w:b w:val="0"/>
              </w:rPr>
              <w:t xml:space="preserve">. Primer sequences used for gene expression </w:t>
            </w:r>
            <w:r>
              <w:rPr>
                <w:rFonts w:ascii="Times New Roman" w:hAnsi="Times New Roman" w:cs="Times New Roman"/>
                <w:b w:val="0"/>
              </w:rPr>
              <w:t>and bisulfite sequencing analyses.</w:t>
            </w: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144A6">
              <w:rPr>
                <w:rFonts w:ascii="Times New Roman" w:hAnsi="Times New Roman" w:cs="Times New Roman"/>
                <w:b/>
              </w:rPr>
              <w:t>Direction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144A6">
              <w:rPr>
                <w:rFonts w:ascii="Times New Roman" w:hAnsi="Times New Roman" w:cs="Times New Roman"/>
                <w:b/>
              </w:rPr>
              <w:t xml:space="preserve">Primer Sequence (5’ </w:t>
            </w:r>
            <w:r w:rsidRPr="000144A6">
              <w:rPr>
                <w:rFonts w:ascii="Times New Roman" w:hAnsi="Times New Roman" w:cs="Times New Roman"/>
                <w:b/>
              </w:rPr>
              <w:sym w:font="Wingdings" w:char="F0E0"/>
            </w:r>
            <w:r w:rsidRPr="000144A6">
              <w:rPr>
                <w:rFonts w:ascii="Times New Roman" w:hAnsi="Times New Roman" w:cs="Times New Roman"/>
                <w:b/>
              </w:rPr>
              <w:t xml:space="preserve"> 3’)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Amplicon Size</w:t>
            </w:r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4"/>
            <w:shd w:val="clear" w:color="auto" w:fill="auto"/>
          </w:tcPr>
          <w:p w:rsidR="00B07A71" w:rsidRPr="00875B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875BA6">
              <w:rPr>
                <w:rFonts w:ascii="Times New Roman" w:hAnsi="Times New Roman" w:cs="Times New Roman"/>
                <w:b w:val="0"/>
                <w:i/>
              </w:rPr>
              <w:t>For gene expression</w:t>
            </w: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Rpl19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AGCACATCCACAAACTGAAGGCAG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TACAGACACGAGGGACGCTTCATT 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Dnmt3a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TTCAGCAAAGTGAGGACC AT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GGACAGGGAAGCCAAACA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144A6">
              <w:rPr>
                <w:rFonts w:ascii="Times New Roman" w:hAnsi="Times New Roman" w:cs="Times New Roman"/>
                <w:i/>
              </w:rPr>
              <w:t>Avp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CCTCACCTCTGCCTGCTACTT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GGGGGCGATGGCTCAGTAGAC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144A6">
              <w:rPr>
                <w:rFonts w:ascii="Times New Roman" w:hAnsi="Times New Roman" w:cs="Times New Roman"/>
                <w:i/>
              </w:rPr>
              <w:t>Ar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GTAGAGCAAGACTGGAGAG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GACGAAGAAGTTGAAGTAGAC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Dnmt3b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TGTGCAGAGTCCATTGCTGTAGGA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GCTTCCGCCAATCACCAAGTCAAA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Esr2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  <w:color w:val="000000"/>
              </w:rPr>
              <w:t>AGGATGTACCACCGAATGCCAAGT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144A6">
              <w:rPr>
                <w:rFonts w:ascii="Times New Roman" w:hAnsi="Times New Roman" w:cs="Times New Roman"/>
                <w:color w:val="000000"/>
              </w:rPr>
              <w:t>TCCAAGTGGGCAAGGAGACAGAAA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Dnmt1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AAGCCAGCTATGCGACTTGGAAAC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ACAACCGTTGGCTTTCTGAGTGAG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Esr1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GATGGTCAGTGCCTTATTGGATGC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GCAGGTTCATCATGCGGAATCGA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44A6">
              <w:rPr>
                <w:rFonts w:ascii="Times New Roman" w:hAnsi="Times New Roman" w:cs="Times New Roman"/>
                <w:i/>
              </w:rPr>
              <w:t>Otr</w:t>
            </w: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CGATTGCTGGGCGGTCTT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143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4A6">
              <w:rPr>
                <w:rFonts w:ascii="Times New Roman" w:hAnsi="Times New Roman" w:cs="Times New Roman"/>
              </w:rPr>
              <w:t>CCGCCGCTGCCGTCTTGA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A7B79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Oxt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F60D80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</w:rPr>
            </w:pPr>
            <w:r w:rsidRPr="00F60D80">
              <w:rPr>
                <w:rFonts w:ascii="Times New Roman" w:hAnsi="Times New Roman" w:cs="Times New Roman"/>
                <w:caps/>
              </w:rPr>
              <w:t>gaggagaactacctgccctc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A7B79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auto"/>
          </w:tcPr>
          <w:p w:rsidR="00B07A71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auto"/>
          </w:tcPr>
          <w:p w:rsidR="00B07A71" w:rsidRPr="00F60D80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</w:rPr>
            </w:pPr>
            <w:r w:rsidRPr="00F60D80">
              <w:rPr>
                <w:rFonts w:ascii="Times New Roman" w:hAnsi="Times New Roman" w:cs="Times New Roman"/>
                <w:caps/>
              </w:rPr>
              <w:t>ggtatcatcacaaagcgggc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0A7B79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A7B79">
              <w:rPr>
                <w:rFonts w:ascii="Times New Roman" w:hAnsi="Times New Roman" w:cs="Times New Roman"/>
                <w:i/>
              </w:rPr>
              <w:t>Bdnf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07A71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auto"/>
          </w:tcPr>
          <w:p w:rsidR="00B07A71" w:rsidRPr="00381CE3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TGGCTGACACTTTTGAGCAC</w:t>
            </w:r>
          </w:p>
        </w:tc>
        <w:tc>
          <w:tcPr>
            <w:tcW w:w="2340" w:type="dxa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07A71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381CE3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60">
              <w:rPr>
                <w:rFonts w:ascii="Times New Roman" w:hAnsi="Times New Roman" w:cs="Times New Roman"/>
              </w:rPr>
              <w:t>TTCCTCCAGCAGAAAGAGCA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0144A6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4"/>
            <w:shd w:val="clear" w:color="auto" w:fill="auto"/>
          </w:tcPr>
          <w:p w:rsidR="00B07A71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4"/>
            <w:shd w:val="clear" w:color="auto" w:fill="auto"/>
          </w:tcPr>
          <w:p w:rsidR="00B07A71" w:rsidRPr="000144A6" w:rsidRDefault="00B07A71" w:rsidP="00B0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For bisulfite sequencing</w:t>
            </w: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B9107D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Bdnf</w:t>
            </w:r>
            <w:proofErr w:type="spellEnd"/>
          </w:p>
        </w:tc>
        <w:tc>
          <w:tcPr>
            <w:tcW w:w="1206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1875FB" w:rsidRDefault="00B07A71" w:rsidP="00B07A71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875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TGGAAAGGGTTTTATTAATATGTGAT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07A71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1875FB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color w:val="auto"/>
              </w:rPr>
              <w:t>ACCAAAAATCTATTCCAACCTACAC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B9107D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9107D">
              <w:rPr>
                <w:rFonts w:ascii="Times New Roman" w:hAnsi="Times New Roman" w:cs="Times New Roman"/>
                <w:i/>
              </w:rPr>
              <w:t>Dnmt3b</w:t>
            </w:r>
          </w:p>
        </w:tc>
        <w:tc>
          <w:tcPr>
            <w:tcW w:w="1206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107D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9107D">
              <w:rPr>
                <w:rFonts w:ascii="Times New Roman" w:hAnsi="Times New Roman" w:cs="Times New Roman"/>
                <w:shd w:val="clear" w:color="auto" w:fill="FFFFFF"/>
              </w:rPr>
              <w:t>GGGAGGGATTTTAAATTTTTTT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9107D">
              <w:rPr>
                <w:rFonts w:ascii="Times New Roman" w:hAnsi="Times New Roman" w:cs="Times New Roman"/>
                <w:shd w:val="clear" w:color="auto" w:fill="FFFFFF"/>
              </w:rPr>
              <w:t xml:space="preserve">664 </w:t>
            </w:r>
            <w:proofErr w:type="spellStart"/>
            <w:r w:rsidRPr="00B9107D">
              <w:rPr>
                <w:rFonts w:ascii="Times New Roman" w:hAnsi="Times New Roman" w:cs="Times New Roman"/>
                <w:shd w:val="clear" w:color="auto" w:fill="FFFFFF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B9107D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107D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9107D">
              <w:rPr>
                <w:rFonts w:ascii="Times New Roman" w:hAnsi="Times New Roman" w:cs="Times New Roman"/>
                <w:shd w:val="clear" w:color="auto" w:fill="FFFFFF"/>
              </w:rPr>
              <w:t>AACACTAAATCCTAAAAACAACCTCTACT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7A71" w:rsidRPr="000144A6" w:rsidTr="00BA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B9107D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9107D">
              <w:rPr>
                <w:rFonts w:ascii="Times New Roman" w:hAnsi="Times New Roman" w:cs="Times New Roman"/>
                <w:i/>
              </w:rPr>
              <w:t>Esr1</w:t>
            </w:r>
          </w:p>
        </w:tc>
        <w:tc>
          <w:tcPr>
            <w:tcW w:w="1206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ind w:left="-126" w:firstLine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107D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9107D">
              <w:rPr>
                <w:rFonts w:ascii="Times New Roman" w:hAnsi="Times New Roman" w:cs="Times New Roman"/>
                <w:shd w:val="clear" w:color="auto" w:fill="FFFFFF"/>
              </w:rPr>
              <w:t>TAGTTTAAGATGTTTATGGAGAGGGTTTT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9107D">
              <w:rPr>
                <w:rFonts w:ascii="Times New Roman" w:hAnsi="Times New Roman" w:cs="Times New Roman"/>
                <w:shd w:val="clear" w:color="auto" w:fill="FFFFFF"/>
              </w:rPr>
              <w:t xml:space="preserve">661 </w:t>
            </w:r>
            <w:proofErr w:type="spellStart"/>
            <w:r w:rsidRPr="00B9107D">
              <w:rPr>
                <w:rFonts w:ascii="Times New Roman" w:hAnsi="Times New Roman" w:cs="Times New Roman"/>
                <w:shd w:val="clear" w:color="auto" w:fill="FFFFFF"/>
              </w:rPr>
              <w:t>bp</w:t>
            </w:r>
            <w:proofErr w:type="spellEnd"/>
          </w:p>
        </w:tc>
      </w:tr>
      <w:tr w:rsidR="00B07A71" w:rsidRPr="000144A6" w:rsidTr="00B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shd w:val="clear" w:color="auto" w:fill="auto"/>
          </w:tcPr>
          <w:p w:rsidR="00B07A71" w:rsidRPr="00B9107D" w:rsidRDefault="00B07A71" w:rsidP="00B07A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ind w:left="-126" w:firstLine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107D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4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B9107D">
              <w:rPr>
                <w:rFonts w:ascii="Times New Roman" w:hAnsi="Times New Roman" w:cs="Times New Roman"/>
                <w:shd w:val="clear" w:color="auto" w:fill="FFFFFF"/>
              </w:rPr>
              <w:t>TAAATCTAACTCTCCCACAAAATAACTAC</w:t>
            </w:r>
          </w:p>
        </w:tc>
        <w:tc>
          <w:tcPr>
            <w:tcW w:w="2340" w:type="dxa"/>
            <w:shd w:val="clear" w:color="auto" w:fill="FFFFFF" w:themeFill="background1"/>
          </w:tcPr>
          <w:p w:rsidR="00B07A71" w:rsidRPr="00B9107D" w:rsidRDefault="00B07A71" w:rsidP="00B07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07A71" w:rsidRPr="000144A6" w:rsidRDefault="00B07A71" w:rsidP="00B07A71">
      <w:pPr>
        <w:spacing w:after="0" w:line="240" w:lineRule="auto"/>
        <w:rPr>
          <w:rFonts w:ascii="Times New Roman" w:hAnsi="Times New Roman" w:cs="Times New Roman"/>
        </w:rPr>
      </w:pPr>
    </w:p>
    <w:p w:rsidR="00E3409E" w:rsidRDefault="00E3409E" w:rsidP="00B07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25B6" w:rsidRPr="006662BA" w:rsidRDefault="004B25B6" w:rsidP="004B25B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662BA">
        <w:rPr>
          <w:rFonts w:ascii="Times New Roman" w:hAnsi="Times New Roman" w:cs="Times New Roman"/>
          <w:b/>
          <w:sz w:val="24"/>
          <w:szCs w:val="24"/>
        </w:rPr>
        <w:lastRenderedPageBreak/>
        <w:t>Supplemental Table S4.</w:t>
      </w:r>
      <w:r w:rsidRPr="006662BA">
        <w:rPr>
          <w:rFonts w:ascii="Times New Roman" w:hAnsi="Times New Roman" w:cs="Times New Roman"/>
          <w:sz w:val="24"/>
          <w:szCs w:val="24"/>
        </w:rPr>
        <w:t xml:space="preserve"> Summary of </w:t>
      </w:r>
      <w:r>
        <w:rPr>
          <w:rFonts w:ascii="Times New Roman" w:hAnsi="Times New Roman" w:cs="Times New Roman"/>
          <w:sz w:val="24"/>
          <w:szCs w:val="24"/>
        </w:rPr>
        <w:t>male and female offspring and litters tested in the study</w:t>
      </w:r>
      <w:r w:rsidRPr="006662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745"/>
      </w:tblGrid>
      <w:tr w:rsidR="004B25B6" w:rsidRPr="006662BA" w:rsidTr="000925C7"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Treatment group</w:t>
            </w:r>
          </w:p>
        </w:tc>
        <w:tc>
          <w:tcPr>
            <w:tcW w:w="7485" w:type="dxa"/>
            <w:gridSpan w:val="3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offspring</w:t>
            </w: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 xml:space="preserve"> (Number of litters)</w:t>
            </w:r>
          </w:p>
        </w:tc>
      </w:tr>
      <w:tr w:rsidR="004B25B6" w:rsidRPr="006662BA" w:rsidTr="000925C7"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3745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Males and Females</w:t>
            </w:r>
          </w:p>
        </w:tc>
      </w:tr>
      <w:tr w:rsidR="004B25B6" w:rsidRPr="006662BA" w:rsidTr="000925C7"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3745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10 (8)</w:t>
            </w:r>
          </w:p>
        </w:tc>
      </w:tr>
      <w:tr w:rsidR="004B25B6" w:rsidRPr="006662BA" w:rsidTr="000925C7"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3745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10 (9)</w:t>
            </w:r>
          </w:p>
        </w:tc>
      </w:tr>
      <w:tr w:rsidR="004B25B6" w:rsidRPr="006662BA" w:rsidTr="000925C7"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 xml:space="preserve">BPA 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870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3745" w:type="dxa"/>
          </w:tcPr>
          <w:p w:rsidR="004B25B6" w:rsidRPr="006662BA" w:rsidRDefault="004B25B6" w:rsidP="000925C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A">
              <w:rPr>
                <w:rFonts w:ascii="Times New Roman" w:hAnsi="Times New Roman" w:cs="Times New Roman"/>
                <w:sz w:val="24"/>
                <w:szCs w:val="24"/>
              </w:rPr>
              <w:t>10 (8)</w:t>
            </w:r>
          </w:p>
        </w:tc>
      </w:tr>
    </w:tbl>
    <w:p w:rsidR="004B25B6" w:rsidRPr="006662BA" w:rsidRDefault="004B25B6" w:rsidP="004B25B6"/>
    <w:p w:rsidR="004B25B6" w:rsidRDefault="004B25B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73B5" w:rsidRPr="00E3409E" w:rsidRDefault="00C473B5" w:rsidP="00C473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lastRenderedPageBreak/>
        <w:t>Supplemental Figure Legends</w:t>
      </w:r>
    </w:p>
    <w:p w:rsidR="00C473B5" w:rsidRPr="002A4ED4" w:rsidRDefault="00C473B5" w:rsidP="00C47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340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03CC0">
        <w:rPr>
          <w:rFonts w:ascii="Times New Roman" w:hAnsi="Times New Roman" w:cs="Times New Roman"/>
          <w:sz w:val="24"/>
          <w:szCs w:val="24"/>
        </w:rPr>
        <w:t xml:space="preserve">Gene expression differences in the </w:t>
      </w:r>
      <w:r>
        <w:rPr>
          <w:rFonts w:ascii="Times New Roman" w:hAnsi="Times New Roman" w:cs="Times New Roman"/>
          <w:sz w:val="24"/>
          <w:szCs w:val="24"/>
        </w:rPr>
        <w:t>hypothalamus</w:t>
      </w:r>
      <w:r w:rsidRPr="00203CC0">
        <w:rPr>
          <w:rFonts w:ascii="Times New Roman" w:hAnsi="Times New Roman" w:cs="Times New Roman"/>
          <w:sz w:val="24"/>
          <w:szCs w:val="24"/>
        </w:rPr>
        <w:t xml:space="preserve"> of female and male rats developmentally exposed to BPA or EE. (A) </w:t>
      </w:r>
      <w:r>
        <w:rPr>
          <w:rFonts w:ascii="Times New Roman" w:hAnsi="Times New Roman" w:cs="Times New Roman"/>
          <w:i/>
          <w:sz w:val="24"/>
          <w:szCs w:val="24"/>
        </w:rPr>
        <w:t>Dnmt3b</w:t>
      </w:r>
      <w:r w:rsidRPr="00203CC0">
        <w:rPr>
          <w:rFonts w:ascii="Times New Roman" w:hAnsi="Times New Roman" w:cs="Times New Roman"/>
          <w:sz w:val="24"/>
          <w:szCs w:val="24"/>
        </w:rPr>
        <w:t xml:space="preserve"> expression in females.</w:t>
      </w:r>
      <w:r w:rsidRPr="00E06E3B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i/>
          <w:sz w:val="24"/>
          <w:szCs w:val="24"/>
        </w:rPr>
        <w:t>Dnmt3b</w:t>
      </w:r>
      <w:r w:rsidRPr="00E06E3B">
        <w:rPr>
          <w:rFonts w:ascii="Times New Roman" w:hAnsi="Times New Roman" w:cs="Times New Roman"/>
          <w:sz w:val="24"/>
          <w:szCs w:val="24"/>
        </w:rPr>
        <w:t xml:space="preserve"> expression in males. (C) </w:t>
      </w:r>
      <w:r>
        <w:rPr>
          <w:rFonts w:ascii="Times New Roman" w:hAnsi="Times New Roman" w:cs="Times New Roman"/>
          <w:i/>
          <w:sz w:val="24"/>
          <w:szCs w:val="24"/>
        </w:rPr>
        <w:t>Dnmt1</w:t>
      </w:r>
      <w:r w:rsidRPr="00E06E3B">
        <w:rPr>
          <w:rFonts w:ascii="Times New Roman" w:hAnsi="Times New Roman" w:cs="Times New Roman"/>
          <w:sz w:val="24"/>
          <w:szCs w:val="24"/>
        </w:rPr>
        <w:t xml:space="preserve"> expression in females. (D) </w:t>
      </w:r>
      <w:r>
        <w:rPr>
          <w:rFonts w:ascii="Times New Roman" w:hAnsi="Times New Roman" w:cs="Times New Roman"/>
          <w:i/>
          <w:sz w:val="24"/>
          <w:szCs w:val="24"/>
        </w:rPr>
        <w:t>Dnmt1</w:t>
      </w:r>
      <w:r w:rsidRPr="00E06E3B">
        <w:rPr>
          <w:rFonts w:ascii="Times New Roman" w:hAnsi="Times New Roman" w:cs="Times New Roman"/>
          <w:sz w:val="24"/>
          <w:szCs w:val="24"/>
        </w:rPr>
        <w:t xml:space="preserve"> expression in males. </w: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Bdnf</w:t>
      </w:r>
      <w:proofErr w:type="spellEnd"/>
      <w:r w:rsidRPr="00E06E3B">
        <w:rPr>
          <w:rFonts w:ascii="Times New Roman" w:hAnsi="Times New Roman" w:cs="Times New Roman"/>
          <w:sz w:val="24"/>
          <w:szCs w:val="24"/>
        </w:rPr>
        <w:t xml:space="preserve"> expression in females. 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06E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Bdnf</w:t>
      </w:r>
      <w:proofErr w:type="spellEnd"/>
      <w:r w:rsidRPr="00E06E3B">
        <w:rPr>
          <w:rFonts w:ascii="Times New Roman" w:hAnsi="Times New Roman" w:cs="Times New Roman"/>
          <w:sz w:val="24"/>
          <w:szCs w:val="24"/>
        </w:rPr>
        <w:t xml:space="preserve"> expression in males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E3B">
        <w:rPr>
          <w:rFonts w:ascii="Times New Roman" w:hAnsi="Times New Roman" w:cs="Times New Roman"/>
          <w:sz w:val="24"/>
          <w:szCs w:val="24"/>
        </w:rPr>
        <w:t>P 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E3B">
        <w:rPr>
          <w:rFonts w:ascii="Times New Roman" w:hAnsi="Times New Roman" w:cs="Times New Roman"/>
          <w:sz w:val="24"/>
          <w:szCs w:val="24"/>
        </w:rPr>
        <w:t>are shown</w:t>
      </w:r>
      <w:proofErr w:type="gramEnd"/>
      <w:r w:rsidRPr="00E06E3B">
        <w:rPr>
          <w:rFonts w:ascii="Times New Roman" w:hAnsi="Times New Roman" w:cs="Times New Roman"/>
          <w:sz w:val="24"/>
          <w:szCs w:val="24"/>
        </w:rPr>
        <w:t xml:space="preserve"> in the individual panels. </w:t>
      </w:r>
      <w:r w:rsidRPr="00203CC0">
        <w:rPr>
          <w:rFonts w:ascii="Times New Roman" w:hAnsi="Times New Roman" w:cs="Times New Roman"/>
          <w:sz w:val="24"/>
          <w:szCs w:val="24"/>
        </w:rPr>
        <w:t xml:space="preserve">Fold change refers to the gene expression level relative to that in the vehicle control group using the </w:t>
      </w:r>
      <w:r w:rsidRPr="00203CC0">
        <w:rPr>
          <w:rStyle w:val="Emphasis"/>
          <w:rFonts w:ascii="Times New Roman" w:hAnsi="Times New Roman" w:cs="Times New Roman"/>
          <w:color w:val="545454"/>
          <w:sz w:val="24"/>
          <w:szCs w:val="24"/>
          <w:lang w:val="en"/>
        </w:rPr>
        <w:t>2</w:t>
      </w:r>
      <w:r w:rsidRPr="00203CC0">
        <w:rPr>
          <w:rStyle w:val="st1"/>
          <w:rFonts w:ascii="Times New Roman" w:hAnsi="Times New Roman" w:cs="Times New Roman"/>
          <w:color w:val="545454"/>
          <w:sz w:val="24"/>
          <w:szCs w:val="24"/>
          <w:vertAlign w:val="superscript"/>
          <w:lang w:val="en"/>
        </w:rPr>
        <w:t>-ΔΔ</w:t>
      </w:r>
      <w:r w:rsidRPr="00203CC0">
        <w:rPr>
          <w:rStyle w:val="Emphasis"/>
          <w:rFonts w:ascii="Times New Roman" w:hAnsi="Times New Roman" w:cs="Times New Roman"/>
          <w:color w:val="545454"/>
          <w:sz w:val="24"/>
          <w:szCs w:val="24"/>
          <w:vertAlign w:val="superscript"/>
          <w:lang w:val="en"/>
        </w:rPr>
        <w:t>CT</w:t>
      </w:r>
      <w:r w:rsidRPr="00203CC0">
        <w:rPr>
          <w:rStyle w:val="st1"/>
          <w:rFonts w:ascii="Arial" w:hAnsi="Arial" w:cs="Arial"/>
          <w:color w:val="545454"/>
          <w:sz w:val="24"/>
          <w:szCs w:val="24"/>
          <w:lang w:val="en"/>
        </w:rPr>
        <w:t xml:space="preserve"> </w:t>
      </w:r>
      <w:r w:rsidRPr="00203CC0">
        <w:rPr>
          <w:rFonts w:ascii="Times New Roman" w:hAnsi="Times New Roman" w:cs="Times New Roman"/>
          <w:sz w:val="24"/>
          <w:szCs w:val="24"/>
        </w:rPr>
        <w:t xml:space="preserve">method. Statistical significance was determined using the </w:t>
      </w:r>
      <w:r w:rsidRPr="00203CC0">
        <w:rPr>
          <w:rStyle w:val="st1"/>
          <w:rFonts w:ascii="Times New Roman" w:hAnsi="Times New Roman" w:cs="Times New Roman"/>
          <w:color w:val="545454"/>
          <w:sz w:val="24"/>
          <w:szCs w:val="24"/>
          <w:lang w:val="en"/>
        </w:rPr>
        <w:t>Δ</w:t>
      </w:r>
      <w:r w:rsidRPr="00203CC0">
        <w:rPr>
          <w:rFonts w:ascii="Times New Roman" w:hAnsi="Times New Roman" w:cs="Times New Roman"/>
          <w:sz w:val="24"/>
          <w:szCs w:val="24"/>
        </w:rPr>
        <w:t>CT values</w:t>
      </w:r>
      <w:r>
        <w:rPr>
          <w:rFonts w:ascii="Times New Roman" w:hAnsi="Times New Roman" w:cs="Times New Roman"/>
          <w:sz w:val="24"/>
          <w:szCs w:val="24"/>
        </w:rPr>
        <w:t>. The graphs depict the mean ± upper and lower 95% confidence interval.</w:t>
      </w:r>
    </w:p>
    <w:p w:rsidR="00C473B5" w:rsidRPr="00203CC0" w:rsidRDefault="00C473B5" w:rsidP="00C47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73B5" w:rsidRPr="002A4ED4" w:rsidRDefault="00C473B5" w:rsidP="00C47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340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Additional g</w:t>
      </w:r>
      <w:r w:rsidRPr="00203CC0">
        <w:rPr>
          <w:rFonts w:ascii="Times New Roman" w:hAnsi="Times New Roman" w:cs="Times New Roman"/>
          <w:sz w:val="24"/>
          <w:szCs w:val="24"/>
        </w:rPr>
        <w:t xml:space="preserve">ene expression differences in the </w:t>
      </w:r>
      <w:r>
        <w:rPr>
          <w:rFonts w:ascii="Times New Roman" w:hAnsi="Times New Roman" w:cs="Times New Roman"/>
          <w:sz w:val="24"/>
          <w:szCs w:val="24"/>
        </w:rPr>
        <w:t>hypothalamus</w:t>
      </w:r>
      <w:r w:rsidRPr="00203CC0">
        <w:rPr>
          <w:rFonts w:ascii="Times New Roman" w:hAnsi="Times New Roman" w:cs="Times New Roman"/>
          <w:sz w:val="24"/>
          <w:szCs w:val="24"/>
        </w:rPr>
        <w:t xml:space="preserve"> of female and male rats developmentally exposed to BPA or EE. (A) </w:t>
      </w:r>
      <w:r>
        <w:rPr>
          <w:rFonts w:ascii="Times New Roman" w:hAnsi="Times New Roman" w:cs="Times New Roman"/>
          <w:i/>
          <w:sz w:val="24"/>
          <w:szCs w:val="24"/>
        </w:rPr>
        <w:t>Esr1</w:t>
      </w:r>
      <w:r w:rsidRPr="00203CC0">
        <w:rPr>
          <w:rFonts w:ascii="Times New Roman" w:hAnsi="Times New Roman" w:cs="Times New Roman"/>
          <w:sz w:val="24"/>
          <w:szCs w:val="24"/>
        </w:rPr>
        <w:t xml:space="preserve"> expression in females.</w:t>
      </w:r>
      <w:r w:rsidRPr="00E06E3B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i/>
          <w:sz w:val="24"/>
          <w:szCs w:val="24"/>
        </w:rPr>
        <w:t xml:space="preserve">Esr1 </w:t>
      </w:r>
      <w:r w:rsidRPr="00E06E3B">
        <w:rPr>
          <w:rFonts w:ascii="Times New Roman" w:hAnsi="Times New Roman" w:cs="Times New Roman"/>
          <w:sz w:val="24"/>
          <w:szCs w:val="24"/>
        </w:rPr>
        <w:t xml:space="preserve">expression in males. (C) </w:t>
      </w:r>
      <w:r>
        <w:rPr>
          <w:rFonts w:ascii="Times New Roman" w:hAnsi="Times New Roman" w:cs="Times New Roman"/>
          <w:i/>
          <w:sz w:val="24"/>
          <w:szCs w:val="24"/>
        </w:rPr>
        <w:t>Esr2</w:t>
      </w:r>
      <w:r w:rsidRPr="00E06E3B">
        <w:rPr>
          <w:rFonts w:ascii="Times New Roman" w:hAnsi="Times New Roman" w:cs="Times New Roman"/>
          <w:sz w:val="24"/>
          <w:szCs w:val="24"/>
        </w:rPr>
        <w:t xml:space="preserve"> expression in females. (D) </w:t>
      </w:r>
      <w:r>
        <w:rPr>
          <w:rFonts w:ascii="Times New Roman" w:hAnsi="Times New Roman" w:cs="Times New Roman"/>
          <w:i/>
          <w:sz w:val="24"/>
          <w:szCs w:val="24"/>
        </w:rPr>
        <w:t>Esr2</w:t>
      </w:r>
      <w:r w:rsidRPr="00E06E3B">
        <w:rPr>
          <w:rFonts w:ascii="Times New Roman" w:hAnsi="Times New Roman" w:cs="Times New Roman"/>
          <w:sz w:val="24"/>
          <w:szCs w:val="24"/>
        </w:rPr>
        <w:t xml:space="preserve"> expression in males. </w: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hAnsi="Times New Roman" w:cs="Times New Roman"/>
          <w:i/>
          <w:sz w:val="24"/>
          <w:szCs w:val="24"/>
        </w:rPr>
        <w:t xml:space="preserve">Otr </w:t>
      </w:r>
      <w:r w:rsidRPr="00E06E3B">
        <w:rPr>
          <w:rFonts w:ascii="Times New Roman" w:hAnsi="Times New Roman" w:cs="Times New Roman"/>
          <w:sz w:val="24"/>
          <w:szCs w:val="24"/>
        </w:rPr>
        <w:t>expression in females. 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06E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Otr </w:t>
      </w:r>
      <w:r w:rsidRPr="00E06E3B">
        <w:rPr>
          <w:rFonts w:ascii="Times New Roman" w:hAnsi="Times New Roman" w:cs="Times New Roman"/>
          <w:sz w:val="24"/>
          <w:szCs w:val="24"/>
        </w:rPr>
        <w:t>expression in males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E3B">
        <w:rPr>
          <w:rFonts w:ascii="Times New Roman" w:hAnsi="Times New Roman" w:cs="Times New Roman"/>
          <w:sz w:val="24"/>
          <w:szCs w:val="24"/>
        </w:rPr>
        <w:t>P value difference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E3B">
        <w:rPr>
          <w:rFonts w:ascii="Times New Roman" w:hAnsi="Times New Roman" w:cs="Times New Roman"/>
          <w:sz w:val="24"/>
          <w:szCs w:val="24"/>
        </w:rPr>
        <w:t>are shown</w:t>
      </w:r>
      <w:proofErr w:type="gramEnd"/>
      <w:r w:rsidRPr="00E06E3B">
        <w:rPr>
          <w:rFonts w:ascii="Times New Roman" w:hAnsi="Times New Roman" w:cs="Times New Roman"/>
          <w:sz w:val="24"/>
          <w:szCs w:val="24"/>
        </w:rPr>
        <w:t xml:space="preserve"> in the individual panels. </w:t>
      </w:r>
      <w:r w:rsidRPr="00203CC0">
        <w:rPr>
          <w:rFonts w:ascii="Times New Roman" w:hAnsi="Times New Roman" w:cs="Times New Roman"/>
          <w:sz w:val="24"/>
          <w:szCs w:val="24"/>
        </w:rPr>
        <w:t xml:space="preserve">Fold change refers to the gene expression level relative to that in the vehicle control group using the </w:t>
      </w:r>
      <w:r w:rsidRPr="00203CC0">
        <w:rPr>
          <w:rStyle w:val="Emphasis"/>
          <w:rFonts w:ascii="Times New Roman" w:hAnsi="Times New Roman" w:cs="Times New Roman"/>
          <w:color w:val="545454"/>
          <w:sz w:val="24"/>
          <w:szCs w:val="24"/>
          <w:lang w:val="en"/>
        </w:rPr>
        <w:t>2</w:t>
      </w:r>
      <w:r w:rsidRPr="00203CC0">
        <w:rPr>
          <w:rStyle w:val="st1"/>
          <w:rFonts w:ascii="Times New Roman" w:hAnsi="Times New Roman" w:cs="Times New Roman"/>
          <w:color w:val="545454"/>
          <w:sz w:val="24"/>
          <w:szCs w:val="24"/>
          <w:vertAlign w:val="superscript"/>
          <w:lang w:val="en"/>
        </w:rPr>
        <w:t>-ΔΔ</w:t>
      </w:r>
      <w:r w:rsidRPr="00203CC0">
        <w:rPr>
          <w:rStyle w:val="Emphasis"/>
          <w:rFonts w:ascii="Times New Roman" w:hAnsi="Times New Roman" w:cs="Times New Roman"/>
          <w:color w:val="545454"/>
          <w:sz w:val="24"/>
          <w:szCs w:val="24"/>
          <w:vertAlign w:val="superscript"/>
          <w:lang w:val="en"/>
        </w:rPr>
        <w:t>CT</w:t>
      </w:r>
      <w:r w:rsidRPr="00203CC0">
        <w:rPr>
          <w:rStyle w:val="st1"/>
          <w:rFonts w:ascii="Arial" w:hAnsi="Arial" w:cs="Arial"/>
          <w:color w:val="545454"/>
          <w:sz w:val="24"/>
          <w:szCs w:val="24"/>
          <w:lang w:val="en"/>
        </w:rPr>
        <w:t xml:space="preserve"> </w:t>
      </w:r>
      <w:r w:rsidRPr="00203CC0">
        <w:rPr>
          <w:rFonts w:ascii="Times New Roman" w:hAnsi="Times New Roman" w:cs="Times New Roman"/>
          <w:sz w:val="24"/>
          <w:szCs w:val="24"/>
        </w:rPr>
        <w:t xml:space="preserve">method. Statistical significance was determined using the </w:t>
      </w:r>
      <w:r w:rsidRPr="00203CC0">
        <w:rPr>
          <w:rStyle w:val="st1"/>
          <w:rFonts w:ascii="Times New Roman" w:hAnsi="Times New Roman" w:cs="Times New Roman"/>
          <w:color w:val="545454"/>
          <w:sz w:val="24"/>
          <w:szCs w:val="24"/>
          <w:lang w:val="en"/>
        </w:rPr>
        <w:t>Δ</w:t>
      </w:r>
      <w:r w:rsidRPr="00203CC0">
        <w:rPr>
          <w:rFonts w:ascii="Times New Roman" w:hAnsi="Times New Roman" w:cs="Times New Roman"/>
          <w:sz w:val="24"/>
          <w:szCs w:val="24"/>
        </w:rPr>
        <w:t>CT values</w:t>
      </w:r>
      <w:r>
        <w:rPr>
          <w:rFonts w:ascii="Times New Roman" w:hAnsi="Times New Roman" w:cs="Times New Roman"/>
          <w:sz w:val="24"/>
          <w:szCs w:val="24"/>
        </w:rPr>
        <w:t>. The graphs depict the mean ± upper and lower 95% confidence interval.</w:t>
      </w:r>
    </w:p>
    <w:p w:rsidR="00C473B5" w:rsidRPr="00203CC0" w:rsidRDefault="00C473B5" w:rsidP="00C47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73B5" w:rsidRPr="00F406D5" w:rsidRDefault="00C473B5" w:rsidP="00C473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340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06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Effect of treatment with 5-aza-cytidine on the expression of (A) </w:t>
      </w:r>
      <w:proofErr w:type="spellStart"/>
      <w:r w:rsidRPr="00F406D5">
        <w:rPr>
          <w:rFonts w:ascii="Times New Roman" w:hAnsi="Times New Roman" w:cs="Times New Roman"/>
          <w:bCs/>
          <w:i/>
          <w:sz w:val="24"/>
          <w:szCs w:val="24"/>
        </w:rPr>
        <w:t>Bdnf</w:t>
      </w:r>
      <w:proofErr w:type="spell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, (B) </w:t>
      </w:r>
      <w:r w:rsidRPr="00F406D5">
        <w:rPr>
          <w:rFonts w:ascii="Times New Roman" w:hAnsi="Times New Roman" w:cs="Times New Roman"/>
          <w:bCs/>
          <w:i/>
          <w:sz w:val="24"/>
          <w:szCs w:val="24"/>
        </w:rPr>
        <w:t>Esr1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, and (C) </w:t>
      </w:r>
      <w:r w:rsidRPr="00F406D5">
        <w:rPr>
          <w:rFonts w:ascii="Times New Roman" w:hAnsi="Times New Roman" w:cs="Times New Roman"/>
          <w:bCs/>
          <w:i/>
          <w:sz w:val="24"/>
          <w:szCs w:val="24"/>
        </w:rPr>
        <w:t>Dnmt3b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 in rat prostate epithelial cell lines by qPCR. A normal prostate epithelial cell line NbE-1 (left), and a cancerous rat prostate epithelial cell line AIT (right) were treated with </w:t>
      </w:r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DMSO (</w:t>
      </w:r>
      <w:proofErr w:type="spellStart"/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Veh</w:t>
      </w:r>
      <w:proofErr w:type="spellEnd"/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or 0.5 µM or 1 µM 5-aza-2-deoxycytidine, a DNA methylation inhibitor,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every two days </w:t>
      </w:r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8 days. Since the expression level of </w:t>
      </w:r>
      <w:proofErr w:type="spellStart"/>
      <w:r w:rsidRPr="00F406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Bdnf</w:t>
      </w:r>
      <w:proofErr w:type="spellEnd"/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very low in AIT </w:t>
      </w:r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cells, it </w:t>
      </w:r>
      <w:proofErr w:type="gramStart"/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not shown</w:t>
      </w:r>
      <w:proofErr w:type="gramEnd"/>
      <w:r w:rsidRPr="00F4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this figure. </w:t>
      </w:r>
      <w:r w:rsidRPr="00F406D5">
        <w:rPr>
          <w:rFonts w:ascii="Times New Roman" w:hAnsi="Times New Roman" w:cs="Times New Roman"/>
          <w:bCs/>
          <w:sz w:val="24"/>
          <w:szCs w:val="24"/>
        </w:rPr>
        <w:t>Data are expressed as mean ± SEM. **p&lt;0.01 and ***p&lt;0.001 vs Vehicle by One</w:t>
      </w:r>
      <w:r>
        <w:rPr>
          <w:rFonts w:ascii="Times New Roman" w:hAnsi="Times New Roman" w:cs="Times New Roman"/>
          <w:bCs/>
          <w:sz w:val="24"/>
          <w:szCs w:val="24"/>
        </w:rPr>
        <w:t>-way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 ANOVA and Tukey</w:t>
      </w:r>
      <w:r>
        <w:rPr>
          <w:rFonts w:ascii="Times New Roman" w:hAnsi="Times New Roman" w:cs="Times New Roman"/>
          <w:bCs/>
          <w:sz w:val="24"/>
          <w:szCs w:val="24"/>
        </w:rPr>
        <w:t>’s multiple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comparison</w:t>
      </w:r>
      <w:r w:rsidRPr="00F406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473B5" w:rsidRPr="00F406D5" w:rsidRDefault="00C473B5" w:rsidP="00C473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473B5" w:rsidRPr="00B7203E" w:rsidRDefault="00C473B5" w:rsidP="00C47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340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06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Effect of early-life exposure to EE and BPA on the methylation and expression of </w:t>
      </w:r>
      <w:r w:rsidRPr="00F406D5">
        <w:rPr>
          <w:rFonts w:ascii="Times New Roman" w:hAnsi="Times New Roman" w:cs="Times New Roman"/>
          <w:bCs/>
          <w:i/>
          <w:iCs/>
          <w:sz w:val="24"/>
          <w:szCs w:val="24"/>
        </w:rPr>
        <w:t>Dnmt3b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 in the adult rat hypothalamus. (A) Schematic diagram showing the presence of a CG-rich region (green) at the promoter region of </w:t>
      </w:r>
      <w:r w:rsidRPr="00F406D5">
        <w:rPr>
          <w:rFonts w:ascii="Times New Roman" w:hAnsi="Times New Roman" w:cs="Times New Roman"/>
          <w:bCs/>
          <w:i/>
          <w:iCs/>
          <w:sz w:val="24"/>
          <w:szCs w:val="24"/>
        </w:rPr>
        <w:t>Dnmt3b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, which spans over the exon 1. Figure with annotation modified from UCSC Genome Browser. TSS, transcription start site. Region used for primer design (300 </w:t>
      </w:r>
      <w:proofErr w:type="spellStart"/>
      <w:r w:rsidRPr="00F406D5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 upstream and 300bp downstream of the CG-rich region) </w:t>
      </w:r>
      <w:proofErr w:type="gramStart"/>
      <w:r w:rsidRPr="00F406D5">
        <w:rPr>
          <w:rFonts w:ascii="Times New Roman" w:hAnsi="Times New Roman" w:cs="Times New Roman"/>
          <w:bCs/>
          <w:sz w:val="24"/>
          <w:szCs w:val="24"/>
        </w:rPr>
        <w:t>is highlighted</w:t>
      </w:r>
      <w:proofErr w:type="gram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 with a red line. (B) Primer design using </w:t>
      </w:r>
      <w:proofErr w:type="spellStart"/>
      <w:r w:rsidRPr="00F406D5">
        <w:rPr>
          <w:rFonts w:ascii="Times New Roman" w:hAnsi="Times New Roman" w:cs="Times New Roman"/>
          <w:bCs/>
          <w:sz w:val="24"/>
          <w:szCs w:val="24"/>
        </w:rPr>
        <w:t>MethPrimer</w:t>
      </w:r>
      <w:proofErr w:type="spell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. The blue highlighted region under the curve indicates the CG-rich region within the sequence used for primer design. A blue line indicates the target region for bisulfite sequencing. Methylation pattern of the CG-rich region for </w:t>
      </w:r>
      <w:r w:rsidRPr="00F406D5">
        <w:rPr>
          <w:rFonts w:ascii="Times New Roman" w:hAnsi="Times New Roman" w:cs="Times New Roman"/>
          <w:bCs/>
          <w:i/>
          <w:iCs/>
          <w:sz w:val="24"/>
          <w:szCs w:val="24"/>
        </w:rPr>
        <w:t>Dnmt3b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 in the hypothalamus of (C) females and males, (D) females, and (E) males with early-life exposure to vehicle control (white), 0.5 </w:t>
      </w:r>
      <w:r w:rsidRPr="00F406D5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g EE/kg BW (EE; orange), and 2500 </w:t>
      </w:r>
      <w:r w:rsidRPr="00F406D5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g BPA /kg BW (BPA; violet). Data </w:t>
      </w:r>
      <w:proofErr w:type="gramStart"/>
      <w:r w:rsidRPr="00F406D5">
        <w:rPr>
          <w:rFonts w:ascii="Times New Roman" w:hAnsi="Times New Roman" w:cs="Times New Roman"/>
          <w:bCs/>
          <w:sz w:val="24"/>
          <w:szCs w:val="24"/>
        </w:rPr>
        <w:t>are expressed</w:t>
      </w:r>
      <w:proofErr w:type="gram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 as mean ± SEM. Each circle represents the average </w:t>
      </w:r>
      <w:proofErr w:type="gramStart"/>
      <w:r w:rsidRPr="00F406D5">
        <w:rPr>
          <w:rFonts w:ascii="Times New Roman" w:hAnsi="Times New Roman" w:cs="Times New Roman"/>
          <w:bCs/>
          <w:sz w:val="24"/>
          <w:szCs w:val="24"/>
        </w:rPr>
        <w:t>%</w:t>
      </w:r>
      <w:proofErr w:type="gram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 methylation of each corresponding CG site from 5-7 individual colonies. (N=</w:t>
      </w:r>
      <w:proofErr w:type="gramStart"/>
      <w:r w:rsidRPr="00F406D5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 males and N=5 females per group). For methylation analysis, *p&lt;0.05 vs Vehicle by Two-way ANOVA and Tukey’s multiple test comparison. Gene expression levels </w:t>
      </w:r>
      <w:proofErr w:type="gramStart"/>
      <w:r w:rsidRPr="00F406D5">
        <w:rPr>
          <w:rFonts w:ascii="Times New Roman" w:hAnsi="Times New Roman" w:cs="Times New Roman"/>
          <w:bCs/>
          <w:sz w:val="24"/>
          <w:szCs w:val="24"/>
        </w:rPr>
        <w:t>are expressed</w:t>
      </w:r>
      <w:proofErr w:type="gramEnd"/>
      <w:r w:rsidRPr="00F406D5">
        <w:rPr>
          <w:rFonts w:ascii="Times New Roman" w:hAnsi="Times New Roman" w:cs="Times New Roman"/>
          <w:bCs/>
          <w:sz w:val="24"/>
          <w:szCs w:val="24"/>
        </w:rPr>
        <w:t xml:space="preserve"> as gene expression level in treatment groups relative to the control group using the 2</w:t>
      </w:r>
      <w:r w:rsidRPr="00F406D5">
        <w:rPr>
          <w:rFonts w:ascii="Times New Roman" w:hAnsi="Times New Roman" w:cs="Times New Roman"/>
          <w:bCs/>
          <w:sz w:val="24"/>
          <w:szCs w:val="24"/>
          <w:vertAlign w:val="superscript"/>
        </w:rPr>
        <w:t>-ΔΔCT</w:t>
      </w:r>
      <w:r w:rsidRPr="00F406D5">
        <w:rPr>
          <w:rFonts w:ascii="Times New Roman" w:hAnsi="Times New Roman" w:cs="Times New Roman"/>
          <w:bCs/>
          <w:sz w:val="24"/>
          <w:szCs w:val="24"/>
        </w:rPr>
        <w:t xml:space="preserve"> method.</w:t>
      </w:r>
      <w:r w:rsidRPr="00F406D5">
        <w:rPr>
          <w:rFonts w:ascii="Times New Roman" w:hAnsi="Times New Roman" w:cs="Times New Roman"/>
          <w:sz w:val="24"/>
          <w:szCs w:val="24"/>
        </w:rPr>
        <w:t xml:space="preserve"> </w:t>
      </w:r>
      <w:r w:rsidRPr="00B7203E">
        <w:rPr>
          <w:rFonts w:ascii="Times New Roman" w:hAnsi="Times New Roman" w:cs="Times New Roman"/>
          <w:sz w:val="24"/>
          <w:szCs w:val="24"/>
        </w:rPr>
        <w:t>For the gene expression graphs, *p&lt;0.05</w:t>
      </w:r>
      <w:proofErr w:type="gramStart"/>
      <w:r w:rsidRPr="00B720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7203E">
        <w:rPr>
          <w:rFonts w:ascii="Times New Roman" w:hAnsi="Times New Roman" w:cs="Times New Roman"/>
          <w:sz w:val="24"/>
          <w:szCs w:val="24"/>
        </w:rPr>
        <w:t xml:space="preserve"> p&lt;0.0001.</w:t>
      </w:r>
    </w:p>
    <w:p w:rsidR="00C473B5" w:rsidRPr="00B7203E" w:rsidRDefault="00C473B5" w:rsidP="00C47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73B5" w:rsidRDefault="00C473B5" w:rsidP="00C473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E340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203E">
        <w:rPr>
          <w:rFonts w:ascii="Times New Roman" w:hAnsi="Times New Roman" w:cs="Times New Roman"/>
          <w:sz w:val="24"/>
          <w:szCs w:val="24"/>
        </w:rPr>
        <w:t xml:space="preserve">. 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Effect of early-life exposure to EE and BPA on the methylation and expression of </w:t>
      </w:r>
      <w:r w:rsidRPr="00B7203E">
        <w:rPr>
          <w:rFonts w:ascii="Times New Roman" w:hAnsi="Times New Roman" w:cs="Times New Roman"/>
          <w:bCs/>
          <w:i/>
          <w:iCs/>
          <w:sz w:val="24"/>
          <w:szCs w:val="24"/>
        </w:rPr>
        <w:t>Esr1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 in the adult rat hypothalamus. (A) Schematic diagram showing the presence of a CG-rich region (green) within exon1 of </w:t>
      </w:r>
      <w:r w:rsidRPr="00B7203E">
        <w:rPr>
          <w:rFonts w:ascii="Times New Roman" w:hAnsi="Times New Roman" w:cs="Times New Roman"/>
          <w:bCs/>
          <w:i/>
          <w:iCs/>
          <w:sz w:val="24"/>
          <w:szCs w:val="24"/>
        </w:rPr>
        <w:t>Esr1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. Figure with annotation modified from UCSC </w:t>
      </w:r>
      <w:r w:rsidRPr="00B720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Genome Browser. Region used for primer design (1,000 </w:t>
      </w:r>
      <w:proofErr w:type="spellStart"/>
      <w:r w:rsidRPr="00B7203E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 upstream and 1,000bp downstream of the CG-rich region) </w:t>
      </w:r>
      <w:proofErr w:type="gramStart"/>
      <w:r w:rsidRPr="00B7203E">
        <w:rPr>
          <w:rFonts w:ascii="Times New Roman" w:hAnsi="Times New Roman" w:cs="Times New Roman"/>
          <w:bCs/>
          <w:sz w:val="24"/>
          <w:szCs w:val="24"/>
        </w:rPr>
        <w:t>is highlighted</w:t>
      </w:r>
      <w:proofErr w:type="gram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 with a red line. (B) Primer design using </w:t>
      </w:r>
      <w:proofErr w:type="spellStart"/>
      <w:r w:rsidRPr="00B7203E">
        <w:rPr>
          <w:rFonts w:ascii="Times New Roman" w:hAnsi="Times New Roman" w:cs="Times New Roman"/>
          <w:bCs/>
          <w:sz w:val="24"/>
          <w:szCs w:val="24"/>
        </w:rPr>
        <w:t>MethPrimer</w:t>
      </w:r>
      <w:proofErr w:type="spell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. The blue highlighted region under the curve indicates the CG-rich region within the sequence used for primer design. A blue line indicates the target region for bisulfite sequencing. Methylation pattern of the CG-rich region for </w:t>
      </w:r>
      <w:r w:rsidRPr="00B7203E">
        <w:rPr>
          <w:rFonts w:ascii="Times New Roman" w:hAnsi="Times New Roman" w:cs="Times New Roman"/>
          <w:bCs/>
          <w:i/>
          <w:iCs/>
          <w:sz w:val="24"/>
          <w:szCs w:val="24"/>
        </w:rPr>
        <w:t>Esr1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 in the hypothalamus of (C) females and males, (D) females, and (E) males with early-life exposure to vehicle control (white), 0.5 </w:t>
      </w:r>
      <w:r w:rsidRPr="00B7203E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g EE/kg BW (EE; orange), and 2500 </w:t>
      </w:r>
      <w:r w:rsidRPr="00B7203E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g BPA /kg BW (BPA; violet). Data expressed as mean ± SEM. Each circle represents the average </w:t>
      </w:r>
      <w:proofErr w:type="gramStart"/>
      <w:r w:rsidRPr="00B7203E">
        <w:rPr>
          <w:rFonts w:ascii="Times New Roman" w:hAnsi="Times New Roman" w:cs="Times New Roman"/>
          <w:bCs/>
          <w:sz w:val="24"/>
          <w:szCs w:val="24"/>
        </w:rPr>
        <w:t>%</w:t>
      </w:r>
      <w:proofErr w:type="gram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 methylation of each corresponding CG site from 6-7 individual colonies. (N=</w:t>
      </w:r>
      <w:proofErr w:type="gramStart"/>
      <w:r w:rsidRPr="00B7203E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 males and N=5 females per group). For methylation analysis, </w:t>
      </w:r>
      <w:proofErr w:type="spellStart"/>
      <w:proofErr w:type="gramStart"/>
      <w:r w:rsidRPr="00B7203E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B7203E">
        <w:rPr>
          <w:rFonts w:ascii="Times New Roman" w:hAnsi="Times New Roman" w:cs="Times New Roman"/>
          <w:bCs/>
          <w:iCs/>
          <w:sz w:val="24"/>
          <w:szCs w:val="24"/>
        </w:rPr>
        <w:t>p</w:t>
      </w:r>
      <w:proofErr w:type="spellEnd"/>
      <w:r w:rsidRPr="00B7203E">
        <w:rPr>
          <w:rFonts w:ascii="Times New Roman" w:hAnsi="Times New Roman" w:cs="Times New Roman"/>
          <w:bCs/>
          <w:sz w:val="24"/>
          <w:szCs w:val="24"/>
        </w:rPr>
        <w:t>&lt;</w:t>
      </w:r>
      <w:proofErr w:type="gram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0.05, EE vs Vehicle, and </w:t>
      </w:r>
      <w:proofErr w:type="spellStart"/>
      <w:r w:rsidRPr="00B7203E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B7203E">
        <w:rPr>
          <w:rFonts w:ascii="Times New Roman" w:hAnsi="Times New Roman" w:cs="Times New Roman"/>
          <w:bCs/>
          <w:iCs/>
          <w:sz w:val="24"/>
          <w:szCs w:val="24"/>
        </w:rPr>
        <w:t>p</w:t>
      </w:r>
      <w:proofErr w:type="spell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&lt;0.05, BPA vs </w:t>
      </w:r>
      <w:proofErr w:type="spellStart"/>
      <w:r w:rsidRPr="00B7203E">
        <w:rPr>
          <w:rFonts w:ascii="Times New Roman" w:hAnsi="Times New Roman" w:cs="Times New Roman"/>
          <w:bCs/>
          <w:sz w:val="24"/>
          <w:szCs w:val="24"/>
        </w:rPr>
        <w:t>Veh</w:t>
      </w:r>
      <w:proofErr w:type="spell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B7203E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B7203E">
        <w:rPr>
          <w:rFonts w:ascii="Times New Roman" w:hAnsi="Times New Roman" w:cs="Times New Roman"/>
          <w:bCs/>
          <w:iCs/>
          <w:sz w:val="24"/>
          <w:szCs w:val="24"/>
        </w:rPr>
        <w:t>p</w:t>
      </w:r>
      <w:proofErr w:type="spell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&lt;0.05, EE/BPA vs Vehicle, by Two-way ANOVA and Tukey’s multiple test comparison. Gene expression levels </w:t>
      </w:r>
      <w:proofErr w:type="gramStart"/>
      <w:r w:rsidRPr="00B7203E">
        <w:rPr>
          <w:rFonts w:ascii="Times New Roman" w:hAnsi="Times New Roman" w:cs="Times New Roman"/>
          <w:bCs/>
          <w:sz w:val="24"/>
          <w:szCs w:val="24"/>
        </w:rPr>
        <w:t>are expressed</w:t>
      </w:r>
      <w:proofErr w:type="gramEnd"/>
      <w:r w:rsidRPr="00B7203E">
        <w:rPr>
          <w:rFonts w:ascii="Times New Roman" w:hAnsi="Times New Roman" w:cs="Times New Roman"/>
          <w:bCs/>
          <w:sz w:val="24"/>
          <w:szCs w:val="24"/>
        </w:rPr>
        <w:t xml:space="preserve"> as gene expression level in treatment groups relative to the control group using the 2</w:t>
      </w:r>
      <w:r w:rsidRPr="00B7203E">
        <w:rPr>
          <w:rFonts w:ascii="Times New Roman" w:hAnsi="Times New Roman" w:cs="Times New Roman"/>
          <w:bCs/>
          <w:sz w:val="24"/>
          <w:szCs w:val="24"/>
          <w:vertAlign w:val="superscript"/>
        </w:rPr>
        <w:t>-ΔΔCT</w:t>
      </w:r>
      <w:r w:rsidRPr="00B7203E">
        <w:rPr>
          <w:rFonts w:ascii="Times New Roman" w:hAnsi="Times New Roman" w:cs="Times New Roman"/>
          <w:bCs/>
          <w:sz w:val="24"/>
          <w:szCs w:val="24"/>
        </w:rPr>
        <w:t xml:space="preserve"> method.</w:t>
      </w:r>
      <w:r w:rsidRPr="00B7203E">
        <w:rPr>
          <w:rFonts w:ascii="Times New Roman" w:hAnsi="Times New Roman" w:cs="Times New Roman"/>
          <w:sz w:val="24"/>
          <w:szCs w:val="24"/>
        </w:rPr>
        <w:t xml:space="preserve"> For the gene expression graphs, *p&lt;0.05.</w:t>
      </w:r>
    </w:p>
    <w:p w:rsidR="00F961ED" w:rsidRDefault="00F961ED">
      <w:pPr>
        <w:spacing w:after="160" w:line="259" w:lineRule="auto"/>
      </w:pPr>
      <w:r>
        <w:br w:type="page"/>
      </w:r>
    </w:p>
    <w:p w:rsidR="00F961ED" w:rsidRDefault="004844F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737360" cy="29260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1ED" w:rsidRPr="00F961ED" w:rsidRDefault="00F961E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961E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Supplemental Figure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30pt;width:136.8pt;height:23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" filled="f" stroked="f" strokeweight=".5pt">
                <v:textbox>
                  <w:txbxContent>
                    <w:p w:rsidR="00F961ED" w:rsidRPr="00F961ED" w:rsidRDefault="00F961E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961E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Supplemental Figure 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1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5864860" cy="82365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823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ED" w:rsidRDefault="00F961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6C61" wp14:editId="49F47DCF">
                <wp:simplePos x="0" y="0"/>
                <wp:positionH relativeFrom="margin">
                  <wp:posOffset>25400</wp:posOffset>
                </wp:positionH>
                <wp:positionV relativeFrom="paragraph">
                  <wp:posOffset>-384175</wp:posOffset>
                </wp:positionV>
                <wp:extent cx="1691640" cy="301752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01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1ED" w:rsidRPr="00F961ED" w:rsidRDefault="00F961ED" w:rsidP="00F961E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Supplemental Figure 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6C61" id="Text Box 8" o:spid="_x0000_s1027" type="#_x0000_t202" style="position:absolute;margin-left:2pt;margin-top:-30.25pt;width:133.2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" filled="f" stroked="f" strokeweight=".5pt">
                <v:textbox>
                  <w:txbxContent>
                    <w:p w:rsidR="00F961ED" w:rsidRPr="00F961ED" w:rsidRDefault="00F961ED" w:rsidP="00F961E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Supplemental Figure S2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2315" cy="8297545"/>
            <wp:effectExtent l="0" t="0" r="698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ED" w:rsidRDefault="004844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26C61" wp14:editId="49F47DCF">
                <wp:simplePos x="0" y="0"/>
                <wp:positionH relativeFrom="margin">
                  <wp:posOffset>-127000</wp:posOffset>
                </wp:positionH>
                <wp:positionV relativeFrom="paragraph">
                  <wp:posOffset>-384175</wp:posOffset>
                </wp:positionV>
                <wp:extent cx="1719072" cy="29260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1ED" w:rsidRPr="00F961ED" w:rsidRDefault="00F961ED" w:rsidP="00F961E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Supplemental Figure 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6C61" id="Text Box 9" o:spid="_x0000_s1028" type="#_x0000_t202" style="position:absolute;margin-left:-10pt;margin-top:-30.25pt;width:135.3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" filled="f" stroked="f" strokeweight=".5pt">
                <v:textbox>
                  <w:txbxContent>
                    <w:p w:rsidR="00F961ED" w:rsidRPr="00F961ED" w:rsidRDefault="00F961ED" w:rsidP="00F961E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Supplemental Figure S3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1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635" cy="7943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794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4017EF" w:rsidRDefault="004017EF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/>
    <w:p w:rsidR="00F961ED" w:rsidRDefault="00F961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6C61" wp14:editId="49F47DCF">
                <wp:simplePos x="0" y="0"/>
                <wp:positionH relativeFrom="margin">
                  <wp:align>left</wp:align>
                </wp:positionH>
                <wp:positionV relativeFrom="paragraph">
                  <wp:posOffset>-384175</wp:posOffset>
                </wp:positionV>
                <wp:extent cx="1700784" cy="29260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784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1ED" w:rsidRPr="00F961ED" w:rsidRDefault="00F961ED" w:rsidP="00F961ED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Supplemental Figure 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6C61" id="Text Box 10" o:spid="_x0000_s1029" type="#_x0000_t202" style="position:absolute;margin-left:0;margin-top:-30.25pt;width:133.9pt;height:23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" filled="f" stroked="f" strokeweight=".5pt">
                <v:textbox>
                  <w:txbxContent>
                    <w:p w:rsidR="00F961ED" w:rsidRPr="00F961ED" w:rsidRDefault="00F961ED" w:rsidP="00F961ED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Supplemental Figure S4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4F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564515</wp:posOffset>
            </wp:positionH>
            <wp:positionV relativeFrom="paragraph">
              <wp:posOffset>0</wp:posOffset>
            </wp:positionV>
            <wp:extent cx="7004685" cy="89255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892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ED" w:rsidRDefault="004844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26C61" wp14:editId="49F47DCF">
                <wp:simplePos x="0" y="0"/>
                <wp:positionH relativeFrom="column">
                  <wp:posOffset>-76200</wp:posOffset>
                </wp:positionH>
                <wp:positionV relativeFrom="paragraph">
                  <wp:posOffset>-384175</wp:posOffset>
                </wp:positionV>
                <wp:extent cx="1719072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44F3" w:rsidRPr="00F961ED" w:rsidRDefault="004844F3" w:rsidP="004844F3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Supplemental Figure 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6C61" id="Text Box 11" o:spid="_x0000_s1030" type="#_x0000_t202" style="position:absolute;margin-left:-6pt;margin-top:-30.25pt;width:135.3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" filled="f" stroked="f" strokeweight=".5pt">
                <v:textbox>
                  <w:txbxContent>
                    <w:p w:rsidR="004844F3" w:rsidRPr="00F961ED" w:rsidRDefault="004844F3" w:rsidP="004844F3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Supplemental Figure S5</w:t>
                      </w:r>
                    </w:p>
                  </w:txbxContent>
                </v:textbox>
              </v:shape>
            </w:pict>
          </mc:Fallback>
        </mc:AlternateContent>
      </w:r>
      <w:r w:rsidR="00F961E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0</wp:posOffset>
            </wp:positionV>
            <wp:extent cx="6938010" cy="89312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89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1ED" w:rsidSect="003048DB">
      <w:footerReference w:type="default" r:id="rId12"/>
      <w:pgSz w:w="12240" w:h="15840"/>
      <w:pgMar w:top="1440" w:right="1440" w:bottom="1440" w:left="1440" w:header="720" w:footer="720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00" w:rsidRDefault="00772500">
      <w:pPr>
        <w:spacing w:after="0" w:line="240" w:lineRule="auto"/>
      </w:pPr>
      <w:r>
        <w:separator/>
      </w:r>
    </w:p>
  </w:endnote>
  <w:endnote w:type="continuationSeparator" w:id="0">
    <w:p w:rsidR="00772500" w:rsidRDefault="0077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66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627" w:rsidRDefault="00484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D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6627" w:rsidRDefault="00772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00" w:rsidRDefault="00772500">
      <w:pPr>
        <w:spacing w:after="0" w:line="240" w:lineRule="auto"/>
      </w:pPr>
      <w:r>
        <w:separator/>
      </w:r>
    </w:p>
  </w:footnote>
  <w:footnote w:type="continuationSeparator" w:id="0">
    <w:p w:rsidR="00772500" w:rsidRDefault="0077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B5"/>
    <w:rsid w:val="004017EF"/>
    <w:rsid w:val="004844F3"/>
    <w:rsid w:val="004B25B6"/>
    <w:rsid w:val="005B7610"/>
    <w:rsid w:val="0067074A"/>
    <w:rsid w:val="00772500"/>
    <w:rsid w:val="008D122D"/>
    <w:rsid w:val="009F4DEA"/>
    <w:rsid w:val="00AC02BB"/>
    <w:rsid w:val="00B07A71"/>
    <w:rsid w:val="00C473B5"/>
    <w:rsid w:val="00E3409E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B9BE"/>
  <w15:chartTrackingRefBased/>
  <w15:docId w15:val="{E3F5D1C1-73BA-49B8-8110-A7E6F00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B5"/>
  </w:style>
  <w:style w:type="character" w:customStyle="1" w:styleId="st1">
    <w:name w:val="st1"/>
    <w:basedOn w:val="DefaultParagraphFont"/>
    <w:rsid w:val="00C473B5"/>
  </w:style>
  <w:style w:type="character" w:styleId="Emphasis">
    <w:name w:val="Emphasis"/>
    <w:basedOn w:val="DefaultParagraphFont"/>
    <w:uiPriority w:val="20"/>
    <w:qFormat/>
    <w:rsid w:val="00C473B5"/>
    <w:rPr>
      <w:b/>
      <w:bCs/>
      <w:i w:val="0"/>
      <w:iCs w:val="0"/>
    </w:rPr>
  </w:style>
  <w:style w:type="character" w:styleId="LineNumber">
    <w:name w:val="line number"/>
    <w:basedOn w:val="DefaultParagraphFont"/>
    <w:uiPriority w:val="99"/>
    <w:semiHidden/>
    <w:unhideWhenUsed/>
    <w:rsid w:val="00C473B5"/>
  </w:style>
  <w:style w:type="table" w:styleId="MediumList1">
    <w:name w:val="Medium List 1"/>
    <w:basedOn w:val="TableNormal"/>
    <w:uiPriority w:val="65"/>
    <w:rsid w:val="00B07A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B0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7A71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B25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5B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DB46-C5D4-46F7-A3F7-7AFBC53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1285</Words>
  <Characters>7584</Characters>
  <Application>Microsoft Office Word</Application>
  <DocSecurity>0</DocSecurity>
  <Lines>122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Rosenfeld, Cheryl S.</dc:creator>
  <cp:keywords/>
  <dc:description/>
  <cp:lastModifiedBy>Rosenfeld, Cheryl S.</cp:lastModifiedBy>
  <cp:revision>4</cp:revision>
  <dcterms:created xsi:type="dcterms:W3CDTF">2018-06-18T21:02:00Z</dcterms:created>
  <dcterms:modified xsi:type="dcterms:W3CDTF">2018-06-18T21:16:00Z</dcterms:modified>
</cp:coreProperties>
</file>