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A4" w:rsidRPr="00E302B0" w:rsidRDefault="00B9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Appendix 2: </w:t>
      </w:r>
      <w:r w:rsidRPr="00E302B0">
        <w:rPr>
          <w:rFonts w:ascii="Times New Roman" w:hAnsi="Times New Roman"/>
          <w:sz w:val="24"/>
          <w:szCs w:val="24"/>
        </w:rPr>
        <w:t>Sensitivity analysis</w:t>
      </w:r>
      <w:r>
        <w:rPr>
          <w:rFonts w:ascii="Times New Roman" w:hAnsi="Times New Roman"/>
          <w:sz w:val="24"/>
          <w:szCs w:val="24"/>
        </w:rPr>
        <w:t>.</w:t>
      </w:r>
    </w:p>
    <w:p w:rsidR="00B958A4" w:rsidRPr="00E302B0" w:rsidRDefault="00B958A4">
      <w:pPr>
        <w:rPr>
          <w:rFonts w:ascii="Times New Roman" w:hAnsi="Times New Roman"/>
          <w:sz w:val="24"/>
          <w:szCs w:val="24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060"/>
        <w:gridCol w:w="1417"/>
        <w:gridCol w:w="1373"/>
        <w:gridCol w:w="990"/>
        <w:gridCol w:w="472"/>
        <w:gridCol w:w="1418"/>
      </w:tblGrid>
      <w:tr w:rsidR="00B958A4" w:rsidRPr="00714DF6" w:rsidTr="009664EE">
        <w:trPr>
          <w:trHeight w:val="300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Safety Risk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Patient Handoff</w:t>
            </w: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nil"/>
            </w:tcBorders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top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Total Responses</w:t>
            </w:r>
          </w:p>
        </w:tc>
        <w:tc>
          <w:tcPr>
            <w:tcW w:w="1373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Proportion Reporting Safety Risks</w:t>
            </w: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 (%)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Total Responses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Proportion Reporting Ineffective Handoff</w:t>
            </w: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 (%)</w:t>
            </w:r>
          </w:p>
        </w:tc>
        <w:bookmarkStart w:id="0" w:name="_GoBack"/>
        <w:bookmarkEnd w:id="0"/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1417" w:type="dxa"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 (33%)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 (29%)</w:t>
            </w: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ind w:firstLine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417" w:type="dxa"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15 (31%)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17 (25%)</w:t>
            </w: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ind w:firstLine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NICU</w:t>
            </w:r>
          </w:p>
        </w:tc>
        <w:tc>
          <w:tcPr>
            <w:tcW w:w="1417" w:type="dxa"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23 (34%)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17 (37%)</w:t>
            </w: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ind w:firstLine="3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ind w:firstLine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Nurse</w:t>
            </w:r>
          </w:p>
        </w:tc>
        <w:tc>
          <w:tcPr>
            <w:tcW w:w="1417" w:type="dxa"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17 (44%)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13 (33%)</w:t>
            </w: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ind w:firstLine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Physician/APP</w:t>
            </w:r>
          </w:p>
        </w:tc>
        <w:tc>
          <w:tcPr>
            <w:tcW w:w="1417" w:type="dxa"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21 (28%)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B0">
              <w:rPr>
                <w:rFonts w:ascii="Times New Roman" w:hAnsi="Times New Roman"/>
                <w:color w:val="000000"/>
                <w:sz w:val="24"/>
                <w:szCs w:val="24"/>
              </w:rPr>
              <w:t>21 (28%)</w:t>
            </w:r>
          </w:p>
        </w:tc>
      </w:tr>
      <w:tr w:rsidR="00B958A4" w:rsidRPr="00714DF6" w:rsidTr="009664EE">
        <w:trPr>
          <w:trHeight w:val="300"/>
        </w:trPr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ind w:firstLine="3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958A4" w:rsidRPr="00E302B0" w:rsidRDefault="00B958A4" w:rsidP="00966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58A4" w:rsidRPr="00E302B0" w:rsidRDefault="00B9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APP, advanced practice provider; ED, emergency department; NICU, neurosciences intensive care unit.</w:t>
      </w:r>
    </w:p>
    <w:sectPr w:rsidR="00B958A4" w:rsidRPr="00E302B0" w:rsidSect="0066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B0"/>
    <w:rsid w:val="00130C18"/>
    <w:rsid w:val="0066266E"/>
    <w:rsid w:val="00714DF6"/>
    <w:rsid w:val="009664EE"/>
    <w:rsid w:val="00B958A4"/>
    <w:rsid w:val="00D45126"/>
    <w:rsid w:val="00DD058E"/>
    <w:rsid w:val="00E3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6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Sensitivity analysis</dc:title>
  <dc:subject/>
  <dc:creator>Rothenberg, Craig</dc:creator>
  <cp:keywords/>
  <dc:description/>
  <cp:lastModifiedBy>meirishaslego</cp:lastModifiedBy>
  <cp:revision>2</cp:revision>
  <dcterms:created xsi:type="dcterms:W3CDTF">2018-06-05T17:40:00Z</dcterms:created>
  <dcterms:modified xsi:type="dcterms:W3CDTF">2018-06-05T17:40:00Z</dcterms:modified>
</cp:coreProperties>
</file>