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9FCBC" w14:textId="77777777" w:rsidR="00D90414" w:rsidRPr="005218B8" w:rsidRDefault="00D90414" w:rsidP="00D90414">
      <w:pPr>
        <w:autoSpaceDE w:val="0"/>
        <w:autoSpaceDN w:val="0"/>
        <w:adjustRightInd w:val="0"/>
        <w:spacing w:after="0" w:line="360" w:lineRule="auto"/>
        <w:rPr>
          <w:rFonts w:ascii="Arial" w:hAnsi="Arial" w:cs="Arial"/>
          <w:b/>
          <w:szCs w:val="20"/>
          <w:lang w:val="en-US"/>
        </w:rPr>
      </w:pPr>
      <w:bookmarkStart w:id="0" w:name="_GoBack"/>
      <w:bookmarkEnd w:id="0"/>
      <w:r w:rsidRPr="005218B8">
        <w:rPr>
          <w:rFonts w:ascii="Arial" w:hAnsi="Arial" w:cs="Arial"/>
          <w:b/>
          <w:szCs w:val="20"/>
          <w:lang w:val="en-US"/>
        </w:rPr>
        <w:t>Supplementary materials</w:t>
      </w:r>
    </w:p>
    <w:p w14:paraId="3BF5D164" w14:textId="62C996BF" w:rsidR="005218B8" w:rsidRPr="00FF543F" w:rsidRDefault="005218B8" w:rsidP="005218B8">
      <w:pPr>
        <w:pStyle w:val="Caption"/>
        <w:keepNext/>
        <w:spacing w:after="0"/>
        <w:rPr>
          <w:rFonts w:ascii="Arial" w:hAnsi="Arial" w:cs="Arial"/>
          <w:i w:val="0"/>
          <w:color w:val="000000" w:themeColor="text1"/>
          <w:lang w:val="en-US"/>
        </w:rPr>
      </w:pPr>
      <w:r w:rsidRPr="00FF543F">
        <w:rPr>
          <w:rFonts w:ascii="Arial" w:hAnsi="Arial" w:cs="Arial"/>
          <w:i w:val="0"/>
          <w:color w:val="000000" w:themeColor="text1"/>
          <w:lang w:val="en-US"/>
        </w:rPr>
        <w:t xml:space="preserve">Table </w:t>
      </w:r>
      <w:r w:rsidRPr="005218B8">
        <w:rPr>
          <w:rFonts w:ascii="Arial" w:hAnsi="Arial" w:cs="Arial"/>
          <w:i w:val="0"/>
          <w:color w:val="000000" w:themeColor="text1"/>
        </w:rPr>
        <w:fldChar w:fldCharType="begin"/>
      </w:r>
      <w:r w:rsidRPr="00FF543F">
        <w:rPr>
          <w:rFonts w:ascii="Arial" w:hAnsi="Arial" w:cs="Arial"/>
          <w:i w:val="0"/>
          <w:color w:val="000000" w:themeColor="text1"/>
          <w:lang w:val="en-US"/>
        </w:rPr>
        <w:instrText xml:space="preserve"> SEQ Table \* ALPHABETIC </w:instrText>
      </w:r>
      <w:r w:rsidRPr="005218B8">
        <w:rPr>
          <w:rFonts w:ascii="Arial" w:hAnsi="Arial" w:cs="Arial"/>
          <w:i w:val="0"/>
          <w:color w:val="000000" w:themeColor="text1"/>
        </w:rPr>
        <w:fldChar w:fldCharType="separate"/>
      </w:r>
      <w:r w:rsidR="001A37C3" w:rsidRPr="00FF543F">
        <w:rPr>
          <w:rFonts w:ascii="Arial" w:hAnsi="Arial" w:cs="Arial"/>
          <w:i w:val="0"/>
          <w:noProof/>
          <w:color w:val="000000" w:themeColor="text1"/>
          <w:lang w:val="en-US"/>
        </w:rPr>
        <w:t>A</w:t>
      </w:r>
      <w:r w:rsidRPr="005218B8">
        <w:rPr>
          <w:rFonts w:ascii="Arial" w:hAnsi="Arial" w:cs="Arial"/>
          <w:i w:val="0"/>
          <w:color w:val="000000" w:themeColor="text1"/>
        </w:rPr>
        <w:fldChar w:fldCharType="end"/>
      </w:r>
      <w:r w:rsidRPr="00FF543F">
        <w:rPr>
          <w:rFonts w:ascii="Arial" w:hAnsi="Arial" w:cs="Arial"/>
          <w:i w:val="0"/>
          <w:color w:val="000000" w:themeColor="text1"/>
          <w:lang w:val="en-US"/>
        </w:rPr>
        <w:t xml:space="preserve"> Adverse event costs</w:t>
      </w:r>
    </w:p>
    <w:tbl>
      <w:tblPr>
        <w:tblStyle w:val="TableGrid"/>
        <w:tblW w:w="5004" w:type="pct"/>
        <w:tblLook w:val="04A0" w:firstRow="1" w:lastRow="0" w:firstColumn="1" w:lastColumn="0" w:noHBand="0" w:noVBand="1"/>
      </w:tblPr>
      <w:tblGrid>
        <w:gridCol w:w="2030"/>
        <w:gridCol w:w="1654"/>
        <w:gridCol w:w="1170"/>
        <w:gridCol w:w="4503"/>
      </w:tblGrid>
      <w:tr w:rsidR="00F9124B" w:rsidRPr="003E2937" w14:paraId="3100DED4" w14:textId="77777777" w:rsidTr="00C32FA3">
        <w:tc>
          <w:tcPr>
            <w:tcW w:w="1085" w:type="pct"/>
          </w:tcPr>
          <w:p w14:paraId="160F287D" w14:textId="77777777" w:rsidR="00D90414" w:rsidRPr="005218B8" w:rsidRDefault="00D90414" w:rsidP="00EA5F1F">
            <w:pPr>
              <w:autoSpaceDE w:val="0"/>
              <w:autoSpaceDN w:val="0"/>
              <w:adjustRightInd w:val="0"/>
              <w:spacing w:line="360" w:lineRule="auto"/>
              <w:rPr>
                <w:rFonts w:ascii="Arial" w:hAnsi="Arial" w:cs="Arial"/>
                <w:b/>
                <w:sz w:val="18"/>
                <w:szCs w:val="18"/>
                <w:lang w:val="en-US"/>
              </w:rPr>
            </w:pPr>
            <w:r w:rsidRPr="005218B8">
              <w:rPr>
                <w:rFonts w:ascii="Arial" w:hAnsi="Arial" w:cs="Arial"/>
                <w:b/>
                <w:sz w:val="18"/>
                <w:szCs w:val="18"/>
                <w:lang w:val="en-US"/>
              </w:rPr>
              <w:t>Adverse event</w:t>
            </w:r>
          </w:p>
        </w:tc>
        <w:tc>
          <w:tcPr>
            <w:tcW w:w="884" w:type="pct"/>
          </w:tcPr>
          <w:p w14:paraId="5E9111C9" w14:textId="77777777" w:rsidR="00D90414" w:rsidRPr="005218B8" w:rsidRDefault="00D90414" w:rsidP="00EA5F1F">
            <w:pPr>
              <w:autoSpaceDE w:val="0"/>
              <w:autoSpaceDN w:val="0"/>
              <w:adjustRightInd w:val="0"/>
              <w:spacing w:line="360" w:lineRule="auto"/>
              <w:rPr>
                <w:rFonts w:ascii="Arial" w:hAnsi="Arial" w:cs="Arial"/>
                <w:b/>
                <w:sz w:val="18"/>
                <w:szCs w:val="18"/>
                <w:lang w:val="en-US"/>
              </w:rPr>
            </w:pPr>
            <w:r w:rsidRPr="005218B8">
              <w:rPr>
                <w:rFonts w:ascii="Arial" w:hAnsi="Arial" w:cs="Arial"/>
                <w:b/>
                <w:sz w:val="18"/>
                <w:szCs w:val="18"/>
                <w:lang w:val="en-US"/>
              </w:rPr>
              <w:t>Annual probability</w:t>
            </w:r>
          </w:p>
        </w:tc>
        <w:tc>
          <w:tcPr>
            <w:tcW w:w="625" w:type="pct"/>
          </w:tcPr>
          <w:p w14:paraId="7E6425B5" w14:textId="29BC9B43" w:rsidR="00D90414" w:rsidRPr="005218B8" w:rsidRDefault="00D90414" w:rsidP="00476EB1">
            <w:pPr>
              <w:autoSpaceDE w:val="0"/>
              <w:autoSpaceDN w:val="0"/>
              <w:adjustRightInd w:val="0"/>
              <w:spacing w:line="360" w:lineRule="auto"/>
              <w:rPr>
                <w:rFonts w:ascii="Arial" w:hAnsi="Arial" w:cs="Arial"/>
                <w:b/>
                <w:sz w:val="18"/>
                <w:szCs w:val="18"/>
                <w:lang w:val="en-US"/>
              </w:rPr>
            </w:pPr>
            <w:r w:rsidRPr="005218B8">
              <w:rPr>
                <w:rFonts w:ascii="Arial" w:hAnsi="Arial" w:cs="Arial"/>
                <w:b/>
                <w:sz w:val="18"/>
                <w:szCs w:val="18"/>
                <w:lang w:val="en-US"/>
              </w:rPr>
              <w:t>Cost (€)</w:t>
            </w:r>
            <w:r w:rsidRPr="005218B8">
              <w:rPr>
                <w:rFonts w:ascii="Arial" w:hAnsi="Arial" w:cs="Arial"/>
                <w:b/>
                <w:sz w:val="18"/>
                <w:szCs w:val="18"/>
                <w:lang w:val="en-US"/>
              </w:rPr>
              <w:fldChar w:fldCharType="begin" w:fldLock="1"/>
            </w:r>
            <w:r w:rsidR="00C32FA3">
              <w:rPr>
                <w:rFonts w:ascii="Arial" w:hAnsi="Arial" w:cs="Arial"/>
                <w:b/>
                <w:sz w:val="18"/>
                <w:szCs w:val="18"/>
                <w:lang w:val="en-US"/>
              </w:rPr>
              <w:instrText>ADDIN CSL_CITATION { "citationItems" : [ { "id" : "ITEM-1", "itemData" : { "URL" : "http://dbc-zorgproducten-tarieven.nza.nl/nzaZpTarief/ZoekfunctieDot.aspx", "accessed" : { "date-parts" : [ [ "2015", "10", "13" ] ] }, "author" : [ { "dropping-particle" : "", "family" : "Nederlandse Zorgautoriteit (NZa)", "given" : "", "non-dropping-particle" : "", "parse-names" : false, "suffix" : "" } ], "id" : "ITEM-1", "issued" : { "date-parts" : [ [ "0" ] ] }, "title" : "DBC zorgproducten tariefapplicatie", "type" : "webpage" }, "uris" : [ "http://www.mendeley.com/documents/?uuid=bcd63600-8b43-4341-91a8-b82c1ead0f57" ] }, { "id" : "ITEM-2", "itemData" : { "abstract" : "Voorwoord Inleiding Hierbij presenteren wij de geactualiseerde versie van de 'Kostenhandleiding: methodologie van kosten-onderzoek en referentieprijzen voor economische evaluaties in de gezondheidszorg'. Het vakgebied van Health Technology Assessment is continue in ontwikkeling. Nieuwe theorie\u00ebn, systeemveranderingen en ontwikkelingen in kosten leiden ertoe dat kostenberekeningen van enkele jaren geleden niet meer toerei-kend zijn. Voor consistentie in gezondheidseconomische evaluaties en kwalitatief hoogwaardige beleids-adviezen is het dan ook van belang dat de handleiding periodiek wordt geactualiseerd. De eerste versie is verschenen in het voorjaar van 2000, waarna geactualiseerde versies zijn uitgebracht in 2004 en 2010. Er is met een uitgebreid projectteam gewerkt aan deze actualisatie van de kostenhandleiding, waarbij het speciale verzoek van Zorginstituut Nederland en gebruikers voor een toegankelijke handleiding in acht is genomen. Gezondheidseconomische evaluaties geven inzicht in de kosteneffectiviteit van interventies, geneesmiddelen en/of andere hulpmiddelen. Dergelijke gezondheidseconomische evaluaties moeten worden uitgevoerd conform de beschikbare richtlijnen. In 2015 heeft Zorginstituut Nederland, in samen-werking met een externe expertcommissie, een nieuwe richtlijn ontwikkeld voor het uitvoeren van eco-nomische evaluaties in de gezondheidszorg. Deze nieuwe richtlijn brengt alle beschikbare Nederlandse richtlijnen samen, sluit aan op internationale richtlijnen, geeft eenduidige instructies en is tevens breder inzetbaar binnen gezondheidseconomisch onderzoek dan alleen de geneesmiddelenzorg. De richtlijn bestaat uit een hoofddocument met daarin de feitelijke richtlijn en daarnaast losse verdiepingsmodules, waarvan de kostenhandleiding er \u00e9\u00e9n is. Doelstelling Het doel van de kostenhandleiding is om onderzoekers en beleidsmakers te faciliteren bij het uitvoeren en beoordelen van kostenonderzoek in economische evaluaties van zorginterventies. Het gebruik van de kostenhandleiding bevordert de kwaliteit en vergelijkbaarheid van economische evaluaties. De kosten-handleiding gaat uit van de theorie\u00ebn over economische evaluaties en van actuele standaard rekenwaar-den en referentieprijzen. Verder sluit de kostenhandleiding volledig aan op de aanbevelingen die zijn gedaan in de richtlijn voor economische evaluaties in de gezondheidszorg. We bevelen aan bij de opzet van een economische evaluatie altijd een HTA-expert te betrekken. Aanpassingen kost\u2026", "author" : [ { "dropping-particle" : "", "family" : "Hakkaart-van Roijen", "given" : "Leona", "non-dropping-particle" : "", "parse-names" : false, "suffix" : "" }, { "dropping-particle" : "", "family" : "Linden", "given" : "Naomi", "non-dropping-particle" : "Van der", "parse-names" : false, "suffix" : "" }, { "dropping-particle" : "", "family" : "Bouwmans", "given" : "Clazien", "non-dropping-particle" : "", "parse-names" : false, "suffix" : "" }, { "dropping-particle" : "", "family" : "Kanters", "given" : "Tim", "non-dropping-particle" : "", "parse-names" : false, "suffix" : "" }, { "dropping-particle" : "", "family" : "Tan", "given" : "Siok Swan", "non-dropping-particle" : "", "parse-names" : false, "suffix" : "" } ], "id" : "ITEM-2", "issued" : { "date-parts" : [ [ "2015" ] ] }, "title" : "Kostenhandleiding: Methodologie van kostenonderzoek en referentieprijzen voor economische evaluaties in de gezondheidszorg", "type" : "report" }, "uris" : [ "http://www.mendeley.com/documents/?uuid=b3a10446-9aee-42bc-a720-2c7dbb6e027c" ] }, { "id" : "ITEM-3", "itemData" : { "URL" : "http://stats.oecd.org/", "accessed" : { "date-parts" : [ [ "2015", "9", "29" ] ] }, "author" : [ { "dropping-particle" : "", "family" : "Organisation for Economic Co-operation and Development (OECD)", "given" : "", "non-dropping-particle" : "", "parse-names" : false, "suffix" : "" } ], "id" : "ITEM-3", "issued" : { "date-parts" : [ [ "0" ] ] }, "title" : "Harmonized consumer price index", "type" : "webpage" }, "uris" : [ "http://www.mendeley.com/documents/?uuid=41ba1c65-558b-4036-9c01-1959c6942430" ] } ], "mendeley" : { "formattedCitation" : "&lt;sup&gt;1\u20133&lt;/sup&gt;", "plainTextFormattedCitation" : "1\u20133", "previouslyFormattedCitation" : "&lt;sup&gt;1\u20133&lt;/sup&gt;" }, "properties" : { "noteIndex" : 0 }, "schema" : "https://github.com/citation-style-language/schema/raw/master/csl-citation.json" }</w:instrText>
            </w:r>
            <w:r w:rsidRPr="005218B8">
              <w:rPr>
                <w:rFonts w:ascii="Arial" w:hAnsi="Arial" w:cs="Arial"/>
                <w:b/>
                <w:sz w:val="18"/>
                <w:szCs w:val="18"/>
                <w:vertAlign w:val="superscript"/>
                <w:lang w:val="en-US"/>
              </w:rPr>
              <w:fldChar w:fldCharType="separate"/>
            </w:r>
            <w:r w:rsidR="00476EB1" w:rsidRPr="005218B8">
              <w:rPr>
                <w:rFonts w:ascii="Arial" w:hAnsi="Arial" w:cs="Arial"/>
                <w:noProof/>
                <w:sz w:val="18"/>
                <w:szCs w:val="18"/>
                <w:vertAlign w:val="superscript"/>
                <w:lang w:val="en-US"/>
              </w:rPr>
              <w:t>1–3</w:t>
            </w:r>
            <w:r w:rsidRPr="005218B8">
              <w:rPr>
                <w:rFonts w:ascii="Arial" w:hAnsi="Arial" w:cs="Arial"/>
                <w:b/>
                <w:sz w:val="18"/>
                <w:szCs w:val="18"/>
                <w:lang w:val="en-US"/>
              </w:rPr>
              <w:fldChar w:fldCharType="end"/>
            </w:r>
          </w:p>
        </w:tc>
        <w:tc>
          <w:tcPr>
            <w:tcW w:w="2406" w:type="pct"/>
          </w:tcPr>
          <w:p w14:paraId="63077ADA" w14:textId="77777777" w:rsidR="00D90414" w:rsidRPr="005218B8" w:rsidRDefault="00D90414" w:rsidP="00EA5F1F">
            <w:pPr>
              <w:autoSpaceDE w:val="0"/>
              <w:autoSpaceDN w:val="0"/>
              <w:adjustRightInd w:val="0"/>
              <w:spacing w:line="360" w:lineRule="auto"/>
              <w:rPr>
                <w:rFonts w:ascii="Arial" w:hAnsi="Arial" w:cs="Arial"/>
                <w:b/>
                <w:sz w:val="18"/>
                <w:szCs w:val="18"/>
                <w:lang w:val="en-US"/>
              </w:rPr>
            </w:pPr>
            <w:r w:rsidRPr="005218B8">
              <w:rPr>
                <w:rFonts w:ascii="Arial" w:hAnsi="Arial" w:cs="Arial"/>
                <w:b/>
                <w:sz w:val="18"/>
                <w:szCs w:val="18"/>
                <w:lang w:val="en-US"/>
              </w:rPr>
              <w:t>Assumption</w:t>
            </w:r>
          </w:p>
        </w:tc>
      </w:tr>
      <w:tr w:rsidR="00D90414" w:rsidRPr="003E2937" w14:paraId="57910C91" w14:textId="77777777" w:rsidTr="00CF137E">
        <w:tc>
          <w:tcPr>
            <w:tcW w:w="5000" w:type="pct"/>
            <w:gridSpan w:val="4"/>
          </w:tcPr>
          <w:p w14:paraId="0971387F"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b/>
                <w:sz w:val="18"/>
                <w:szCs w:val="18"/>
                <w:lang w:val="en-US"/>
              </w:rPr>
              <w:t>Alemtuzumab</w:t>
            </w:r>
          </w:p>
        </w:tc>
      </w:tr>
      <w:tr w:rsidR="00F9124B" w:rsidRPr="005218B8" w14:paraId="432F5B94" w14:textId="77777777" w:rsidTr="00C32FA3">
        <w:tc>
          <w:tcPr>
            <w:tcW w:w="1085" w:type="pct"/>
          </w:tcPr>
          <w:p w14:paraId="372C4443"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Respiratory infection</w:t>
            </w:r>
          </w:p>
        </w:tc>
        <w:tc>
          <w:tcPr>
            <w:tcW w:w="884" w:type="pct"/>
          </w:tcPr>
          <w:p w14:paraId="384394E2" w14:textId="25FAC688" w:rsidR="00D90414" w:rsidRPr="005218B8" w:rsidRDefault="00D90414" w:rsidP="00476EB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29.43%</w:t>
            </w:r>
            <w:r w:rsidRPr="005218B8">
              <w:rPr>
                <w:rFonts w:ascii="Arial" w:hAnsi="Arial" w:cs="Arial"/>
                <w:sz w:val="18"/>
                <w:szCs w:val="18"/>
                <w:lang w:val="en-US"/>
              </w:rPr>
              <w:fldChar w:fldCharType="begin" w:fldLock="1"/>
            </w:r>
            <w:r w:rsidR="00476EB1" w:rsidRPr="005218B8">
              <w:rPr>
                <w:rFonts w:ascii="Arial" w:hAnsi="Arial" w:cs="Arial"/>
                <w:sz w:val="18"/>
                <w:szCs w:val="18"/>
                <w:lang w:val="en-US"/>
              </w:rPr>
              <w:instrText>ADDIN CSL_CITATION { "citationItems" : [ { "id" : "ITEM-1", "itemData" : { "author" : [ { "dropping-particle" : "", "family" : "European Medicines Agency (EMEA)", "given" : "", "non-dropping-particle" : "", "parse-names" : false, "suffix" : "" } ], "id" : "ITEM-1", "issued" : { "date-parts" : [ [ "2013" ] ] }, "title" : "European public assessment report Lemtrada (alemtuzumab). EMA/563018/2013.", "type" : "report" }, "uris" : [ "http://www.mendeley.com/documents/?uuid=d1eb6fe1-3357-418d-a7b1-ba40dbebcdd0" ] } ], "mendeley" : { "formattedCitation" : "&lt;sup&gt;4&lt;/sup&gt;", "plainTextFormattedCitation" : "4", "previouslyFormattedCitation" : "&lt;sup&gt;4&lt;/sup&gt;"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476EB1" w:rsidRPr="005218B8">
              <w:rPr>
                <w:rFonts w:ascii="Arial" w:hAnsi="Arial" w:cs="Arial"/>
                <w:noProof/>
                <w:sz w:val="18"/>
                <w:szCs w:val="18"/>
                <w:vertAlign w:val="superscript"/>
                <w:lang w:val="en-US"/>
              </w:rPr>
              <w:t>4</w:t>
            </w:r>
            <w:r w:rsidRPr="005218B8">
              <w:rPr>
                <w:rFonts w:ascii="Arial" w:hAnsi="Arial" w:cs="Arial"/>
                <w:sz w:val="18"/>
                <w:szCs w:val="18"/>
                <w:lang w:val="en-US"/>
              </w:rPr>
              <w:fldChar w:fldCharType="end"/>
            </w:r>
          </w:p>
        </w:tc>
        <w:tc>
          <w:tcPr>
            <w:tcW w:w="625" w:type="pct"/>
          </w:tcPr>
          <w:p w14:paraId="13B37413"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124.43</w:t>
            </w:r>
          </w:p>
        </w:tc>
        <w:tc>
          <w:tcPr>
            <w:tcW w:w="2406" w:type="pct"/>
          </w:tcPr>
          <w:p w14:paraId="6678CBCD" w14:textId="64D0F1D3" w:rsidR="00D90414" w:rsidRPr="005218B8" w:rsidRDefault="00D90414" w:rsidP="00CF137E">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xml:space="preserve">Medical specialist </w:t>
            </w:r>
            <w:r w:rsidR="00CF137E" w:rsidRPr="005218B8">
              <w:rPr>
                <w:rFonts w:ascii="Arial" w:hAnsi="Arial" w:cs="Arial"/>
                <w:sz w:val="18"/>
                <w:szCs w:val="18"/>
                <w:lang w:val="en-US"/>
              </w:rPr>
              <w:t>visit</w:t>
            </w:r>
          </w:p>
        </w:tc>
      </w:tr>
      <w:tr w:rsidR="00F9124B" w:rsidRPr="00FB5DEF" w14:paraId="22FACA40" w14:textId="77777777" w:rsidTr="00C32FA3">
        <w:tc>
          <w:tcPr>
            <w:tcW w:w="1085" w:type="pct"/>
          </w:tcPr>
          <w:p w14:paraId="0AD90A05"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Herpes infection</w:t>
            </w:r>
          </w:p>
        </w:tc>
        <w:tc>
          <w:tcPr>
            <w:tcW w:w="884" w:type="pct"/>
          </w:tcPr>
          <w:p w14:paraId="43621FB5" w14:textId="78273F06" w:rsidR="00D90414" w:rsidRPr="005218B8" w:rsidRDefault="00D90414" w:rsidP="00476EB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8.62%</w:t>
            </w:r>
            <w:r w:rsidRPr="005218B8">
              <w:rPr>
                <w:rFonts w:ascii="Arial" w:hAnsi="Arial" w:cs="Arial"/>
                <w:sz w:val="18"/>
                <w:szCs w:val="18"/>
                <w:lang w:val="en-US"/>
              </w:rPr>
              <w:fldChar w:fldCharType="begin" w:fldLock="1"/>
            </w:r>
            <w:r w:rsidR="00476EB1" w:rsidRPr="005218B8">
              <w:rPr>
                <w:rFonts w:ascii="Arial" w:hAnsi="Arial" w:cs="Arial"/>
                <w:sz w:val="18"/>
                <w:szCs w:val="18"/>
                <w:lang w:val="en-US"/>
              </w:rPr>
              <w:instrText>ADDIN CSL_CITATION { "citationItems" : [ { "id" : "ITEM-1", "itemData" : { "author" : [ { "dropping-particle" : "", "family" : "European Medicines Agency (EMEA)", "given" : "", "non-dropping-particle" : "", "parse-names" : false, "suffix" : "" } ], "id" : "ITEM-1", "issued" : { "date-parts" : [ [ "2013" ] ] }, "title" : "European public assessment report Lemtrada (alemtuzumab). EMA/563018/2013.", "type" : "report" }, "uris" : [ "http://www.mendeley.com/documents/?uuid=d1eb6fe1-3357-418d-a7b1-ba40dbebcdd0" ] } ], "mendeley" : { "formattedCitation" : "&lt;sup&gt;4&lt;/sup&gt;", "plainTextFormattedCitation" : "4", "previouslyFormattedCitation" : "&lt;sup&gt;4&lt;/sup&gt;"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476EB1" w:rsidRPr="005218B8">
              <w:rPr>
                <w:rFonts w:ascii="Arial" w:hAnsi="Arial" w:cs="Arial"/>
                <w:noProof/>
                <w:sz w:val="18"/>
                <w:szCs w:val="18"/>
                <w:vertAlign w:val="superscript"/>
                <w:lang w:val="en-US"/>
              </w:rPr>
              <w:t>4</w:t>
            </w:r>
            <w:r w:rsidRPr="005218B8">
              <w:rPr>
                <w:rFonts w:ascii="Arial" w:hAnsi="Arial" w:cs="Arial"/>
                <w:sz w:val="18"/>
                <w:szCs w:val="18"/>
                <w:lang w:val="en-US"/>
              </w:rPr>
              <w:fldChar w:fldCharType="end"/>
            </w:r>
          </w:p>
        </w:tc>
        <w:tc>
          <w:tcPr>
            <w:tcW w:w="625" w:type="pct"/>
          </w:tcPr>
          <w:p w14:paraId="26673DF2"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160.64</w:t>
            </w:r>
          </w:p>
        </w:tc>
        <w:tc>
          <w:tcPr>
            <w:tcW w:w="2406" w:type="pct"/>
          </w:tcPr>
          <w:p w14:paraId="61C02290" w14:textId="317DB9A3" w:rsidR="00D90414" w:rsidRPr="005218B8" w:rsidRDefault="00D90414" w:rsidP="00CF137E">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xml:space="preserve">GP </w:t>
            </w:r>
            <w:r w:rsidR="00CF137E" w:rsidRPr="005218B8">
              <w:rPr>
                <w:rFonts w:ascii="Arial" w:hAnsi="Arial" w:cs="Arial"/>
                <w:sz w:val="18"/>
                <w:szCs w:val="18"/>
                <w:lang w:val="en-US"/>
              </w:rPr>
              <w:t>visit</w:t>
            </w:r>
            <w:r w:rsidRPr="005218B8">
              <w:rPr>
                <w:rFonts w:ascii="Arial" w:hAnsi="Arial" w:cs="Arial"/>
                <w:sz w:val="18"/>
                <w:szCs w:val="18"/>
                <w:lang w:val="en-US"/>
              </w:rPr>
              <w:t>, trea</w:t>
            </w:r>
            <w:r w:rsidR="00CF137E" w:rsidRPr="005218B8">
              <w:rPr>
                <w:rFonts w:ascii="Arial" w:hAnsi="Arial" w:cs="Arial"/>
                <w:sz w:val="18"/>
                <w:szCs w:val="18"/>
                <w:lang w:val="en-US"/>
              </w:rPr>
              <w:t>tment with zinc sulfate cream,</w:t>
            </w:r>
            <w:r w:rsidRPr="005218B8">
              <w:rPr>
                <w:rFonts w:ascii="Arial" w:hAnsi="Arial" w:cs="Arial"/>
                <w:sz w:val="18"/>
                <w:szCs w:val="18"/>
                <w:lang w:val="en-US"/>
              </w:rPr>
              <w:t xml:space="preserve"> outpatient </w:t>
            </w:r>
            <w:r w:rsidR="00CF137E" w:rsidRPr="005218B8">
              <w:rPr>
                <w:rFonts w:ascii="Arial" w:hAnsi="Arial" w:cs="Arial"/>
                <w:sz w:val="18"/>
                <w:szCs w:val="18"/>
                <w:lang w:val="en-US"/>
              </w:rPr>
              <w:t xml:space="preserve">specialist </w:t>
            </w:r>
            <w:r w:rsidRPr="005218B8">
              <w:rPr>
                <w:rFonts w:ascii="Arial" w:hAnsi="Arial" w:cs="Arial"/>
                <w:sz w:val="18"/>
                <w:szCs w:val="18"/>
                <w:lang w:val="en-US"/>
              </w:rPr>
              <w:t>visit and treatment with acyclovir</w:t>
            </w:r>
            <w:r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"Nederlands Huisartsen Genootschap", "given" : "", "non-dropping-particle" : "", "parse-names" : false, "suffix" : "" } ], "id" : "ITEM-1", "issued" : { "date-parts" : [ [ "2007" ] ] }, "title" : "NHG-standaard Herpes labialis", "type" : "report" }, "uris" : [ "http://www.mendeley.com/documents/?uuid=55524db0-50cf-439c-915c-4ee6844da9c9" ] }, { "id" : "ITEM-2", "itemData" : { "author" : [ { "dropping-particle" : "", "family" : "Nederlands Huisartsen Genootschap", "given" : "", "non-dropping-particle" : "", "parse-names" : false, "suffix" : "" } ], "id" : "ITEM-2", "issued" : { "date-parts" : [ [ "2003" ] ] }, "title" : "NHG-standaard herpes zoster", "type" : "report" }, "uris" : [ "http://www.mendeley.com/documents/?uuid=28473de9-5ce5-464f-9d8a-d9e848cc8333" ] } ], "mendeley" : { "formattedCitation" : "&lt;sup&gt;5,6&lt;/sup&gt;", "plainTextFormattedCitation" : "5,6", "previouslyFormattedCitation" : "&lt;sup&gt;5,6&lt;/sup&gt;"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5,6</w:t>
            </w:r>
            <w:r w:rsidRPr="005218B8">
              <w:rPr>
                <w:rFonts w:ascii="Arial" w:hAnsi="Arial" w:cs="Arial"/>
                <w:sz w:val="18"/>
                <w:szCs w:val="18"/>
                <w:lang w:val="en-US"/>
              </w:rPr>
              <w:fldChar w:fldCharType="end"/>
            </w:r>
          </w:p>
        </w:tc>
      </w:tr>
      <w:tr w:rsidR="00F9124B" w:rsidRPr="00FB5DEF" w14:paraId="4735367E" w14:textId="77777777" w:rsidTr="00C32FA3">
        <w:tc>
          <w:tcPr>
            <w:tcW w:w="1085" w:type="pct"/>
          </w:tcPr>
          <w:p w14:paraId="0A2DCE39"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Urinary tract infection</w:t>
            </w:r>
          </w:p>
        </w:tc>
        <w:tc>
          <w:tcPr>
            <w:tcW w:w="884" w:type="pct"/>
          </w:tcPr>
          <w:p w14:paraId="1A4D1370" w14:textId="03411898" w:rsidR="00D90414" w:rsidRPr="005218B8" w:rsidRDefault="00D90414" w:rsidP="00476EB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10.67%</w:t>
            </w:r>
            <w:r w:rsidRPr="005218B8">
              <w:rPr>
                <w:rFonts w:ascii="Arial" w:hAnsi="Arial" w:cs="Arial"/>
                <w:sz w:val="18"/>
                <w:szCs w:val="18"/>
                <w:lang w:val="en-US"/>
              </w:rPr>
              <w:fldChar w:fldCharType="begin" w:fldLock="1"/>
            </w:r>
            <w:r w:rsidR="00476EB1" w:rsidRPr="005218B8">
              <w:rPr>
                <w:rFonts w:ascii="Arial" w:hAnsi="Arial" w:cs="Arial"/>
                <w:sz w:val="18"/>
                <w:szCs w:val="18"/>
                <w:lang w:val="en-US"/>
              </w:rPr>
              <w:instrText>ADDIN CSL_CITATION { "citationItems" : [ { "id" : "ITEM-1", "itemData" : { "author" : [ { "dropping-particle" : "", "family" : "European Medicines Agency (EMEA)", "given" : "", "non-dropping-particle" : "", "parse-names" : false, "suffix" : "" } ], "id" : "ITEM-1", "issued" : { "date-parts" : [ [ "2013" ] ] }, "title" : "European public assessment report Lemtrada (alemtuzumab). EMA/563018/2013.", "type" : "report" }, "uris" : [ "http://www.mendeley.com/documents/?uuid=d1eb6fe1-3357-418d-a7b1-ba40dbebcdd0" ] } ], "mendeley" : { "formattedCitation" : "&lt;sup&gt;4&lt;/sup&gt;", "plainTextFormattedCitation" : "4", "previouslyFormattedCitation" : "&lt;sup&gt;4&lt;/sup&gt;"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476EB1" w:rsidRPr="005218B8">
              <w:rPr>
                <w:rFonts w:ascii="Arial" w:hAnsi="Arial" w:cs="Arial"/>
                <w:noProof/>
                <w:sz w:val="18"/>
                <w:szCs w:val="18"/>
                <w:vertAlign w:val="superscript"/>
                <w:lang w:val="en-US"/>
              </w:rPr>
              <w:t>4</w:t>
            </w:r>
            <w:r w:rsidRPr="005218B8">
              <w:rPr>
                <w:rFonts w:ascii="Arial" w:hAnsi="Arial" w:cs="Arial"/>
                <w:sz w:val="18"/>
                <w:szCs w:val="18"/>
                <w:lang w:val="en-US"/>
              </w:rPr>
              <w:fldChar w:fldCharType="end"/>
            </w:r>
          </w:p>
        </w:tc>
        <w:tc>
          <w:tcPr>
            <w:tcW w:w="625" w:type="pct"/>
          </w:tcPr>
          <w:p w14:paraId="19EF620B"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156.09</w:t>
            </w:r>
          </w:p>
        </w:tc>
        <w:tc>
          <w:tcPr>
            <w:tcW w:w="2406" w:type="pct"/>
          </w:tcPr>
          <w:p w14:paraId="0F90F5DF" w14:textId="6CB21599" w:rsidR="00D90414" w:rsidRPr="005218B8" w:rsidRDefault="00D90414" w:rsidP="00CF137E">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GB"/>
              </w:rPr>
              <w:t xml:space="preserve">GP </w:t>
            </w:r>
            <w:r w:rsidR="002C4206" w:rsidRPr="005218B8">
              <w:rPr>
                <w:rFonts w:ascii="Arial" w:hAnsi="Arial" w:cs="Arial"/>
                <w:sz w:val="18"/>
                <w:szCs w:val="18"/>
                <w:lang w:val="en-GB"/>
              </w:rPr>
              <w:t>visit</w:t>
            </w:r>
            <w:r w:rsidRPr="005218B8">
              <w:rPr>
                <w:rFonts w:ascii="Arial" w:hAnsi="Arial" w:cs="Arial"/>
                <w:sz w:val="18"/>
                <w:szCs w:val="18"/>
                <w:lang w:val="en-GB"/>
              </w:rPr>
              <w:t xml:space="preserve">, outpatient </w:t>
            </w:r>
            <w:r w:rsidR="00CF137E" w:rsidRPr="005218B8">
              <w:rPr>
                <w:rFonts w:ascii="Arial" w:hAnsi="Arial" w:cs="Arial"/>
                <w:sz w:val="18"/>
                <w:szCs w:val="18"/>
                <w:lang w:val="en-GB"/>
              </w:rPr>
              <w:t xml:space="preserve">specialist </w:t>
            </w:r>
            <w:r w:rsidRPr="005218B8">
              <w:rPr>
                <w:rFonts w:ascii="Arial" w:hAnsi="Arial" w:cs="Arial"/>
                <w:sz w:val="18"/>
                <w:szCs w:val="18"/>
                <w:lang w:val="en-GB"/>
              </w:rPr>
              <w:t>visit, and treatment with trimethoprim</w:t>
            </w:r>
            <w:r w:rsidRPr="005218B8">
              <w:rPr>
                <w:rFonts w:ascii="Arial" w:hAnsi="Arial" w:cs="Arial"/>
                <w:sz w:val="18"/>
                <w:szCs w:val="18"/>
              </w:rPr>
              <w:fldChar w:fldCharType="begin" w:fldLock="1"/>
            </w:r>
            <w:r w:rsidR="00F9124B">
              <w:rPr>
                <w:rFonts w:ascii="Arial" w:hAnsi="Arial" w:cs="Arial"/>
                <w:sz w:val="18"/>
                <w:szCs w:val="18"/>
                <w:lang w:val="en-GB"/>
              </w:rPr>
              <w:instrText>ADDIN CSL_CITATION { "citationItems" : [ { "id" : "ITEM-1", "itemData" : { "author" : [ { "dropping-particle" : "", "family" : "Pinxteren", "given" : "B", "non-dropping-particle" : "Van", "parse-names" : false, "suffix" : "" }, { "dropping-particle" : "", "family" : "Knottnerus", "given" : "BJ", "non-dropping-particle" : "", "parse-names" : false, "suffix" : "" }, { "dropping-particle" : "", "family" : "Geerlings", "given" : "SE", "non-dropping-particle" : "", "parse-names" : false, "suffix" : "" }, { "dropping-particle" : "", "family" : "Visser", "given" : "HS", "non-dropping-particle" : "", "parse-names" : false, "suffix" : "" }, { "dropping-particle" : "", "family" : "Klinkhamer", "given" : "S", "non-dropping-particle" : "", "parse-names" : false, "suffix" : "" }, { "dropping-particle" : "", "family" : "Weele", "given" : "GM", "non-dropping-particle" : "Van der", "parse-names" : false, "suffix" : "" }, { "dropping-particle" : "", "family" : "Verduijn", "given" : "MM", "non-dropping-particle" : "", "parse-names" : false, "suffix" : "" }, { "dropping-particle" : "", "family" : "Opstelten", "given" : "W", "non-dropping-particle" : "", "parse-names" : false, "suffix" : "" }, { "dropping-particle" : "", "family" : "Burgers", "given" : "JS", "non-dropping-particle" : "", "parse-names" : false, "suffix" : "" }, { "dropping-particle" : "", "family" : "Asselt", "given" : "KM", "non-dropping-particle" : "Van", "parse-names" : false, "suffix" : "" } ], "container-title" : "Huisarts en Wetenschap", "id" : "ITEM-1", "issue" : "6", "issued" : { "date-parts" : [ [ "2013" ] ] }, "page" : "270-80", "title" : "NHG-standaard Urineweginfecties", "type" : "article-journal", "volume" : "56" }, "uris" : [ "http://www.mendeley.com/documents/?uuid=2961b19a-a8c9-4407-b3a4-181134c4dd46" ] } ], "mendeley" : { "formattedCitation" : "&lt;sup&gt;7&lt;/sup&gt;", "plainTextFormattedCitation" : "7", "previouslyFormattedCitation" : "&lt;sup&gt;7&lt;/sup&gt;" }, "properties" : { "noteIndex" : 0 }, "schema" : "https://github.com/citation-style-language/schema/raw/master/csl-citation.json" }</w:instrText>
            </w:r>
            <w:r w:rsidRPr="005218B8">
              <w:rPr>
                <w:rFonts w:ascii="Arial" w:hAnsi="Arial" w:cs="Arial"/>
                <w:sz w:val="18"/>
                <w:szCs w:val="18"/>
                <w:vertAlign w:val="superscript"/>
              </w:rPr>
              <w:fldChar w:fldCharType="separate"/>
            </w:r>
            <w:r w:rsidR="00F9124B" w:rsidRPr="00F9124B">
              <w:rPr>
                <w:rFonts w:ascii="Arial" w:hAnsi="Arial" w:cs="Arial"/>
                <w:noProof/>
                <w:sz w:val="18"/>
                <w:szCs w:val="18"/>
                <w:vertAlign w:val="superscript"/>
                <w:lang w:val="en-GB"/>
              </w:rPr>
              <w:t>7</w:t>
            </w:r>
            <w:r w:rsidRPr="005218B8">
              <w:rPr>
                <w:rFonts w:ascii="Arial" w:hAnsi="Arial" w:cs="Arial"/>
                <w:sz w:val="18"/>
                <w:szCs w:val="18"/>
              </w:rPr>
              <w:fldChar w:fldCharType="end"/>
            </w:r>
          </w:p>
        </w:tc>
      </w:tr>
      <w:tr w:rsidR="00F9124B" w:rsidRPr="00FB5DEF" w14:paraId="43422428" w14:textId="77777777" w:rsidTr="00C32FA3">
        <w:tc>
          <w:tcPr>
            <w:tcW w:w="1085" w:type="pct"/>
            <w:tcBorders>
              <w:bottom w:val="nil"/>
            </w:tcBorders>
          </w:tcPr>
          <w:p w14:paraId="5F784861" w14:textId="3144193E" w:rsidR="00D90414" w:rsidRPr="005218B8" w:rsidRDefault="00D90414" w:rsidP="00F25206">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Autoimmune thyroid-related adverse event</w:t>
            </w:r>
            <w:r w:rsidR="00F25206" w:rsidRPr="005218B8">
              <w:rPr>
                <w:rFonts w:ascii="Arial" w:hAnsi="Arial" w:cs="Arial"/>
                <w:sz w:val="18"/>
                <w:szCs w:val="18"/>
                <w:lang w:val="en-US"/>
              </w:rPr>
              <w:t xml:space="preserve">s: </w:t>
            </w:r>
          </w:p>
        </w:tc>
        <w:tc>
          <w:tcPr>
            <w:tcW w:w="884" w:type="pct"/>
            <w:tcBorders>
              <w:bottom w:val="nil"/>
            </w:tcBorders>
          </w:tcPr>
          <w:p w14:paraId="247D8B74" w14:textId="7486BCD1" w:rsidR="00D90414" w:rsidRPr="005218B8" w:rsidRDefault="00D90414" w:rsidP="00476EB1">
            <w:pPr>
              <w:autoSpaceDE w:val="0"/>
              <w:autoSpaceDN w:val="0"/>
              <w:adjustRightInd w:val="0"/>
              <w:spacing w:line="360" w:lineRule="auto"/>
              <w:rPr>
                <w:rFonts w:ascii="Arial" w:hAnsi="Arial" w:cs="Arial"/>
                <w:sz w:val="18"/>
                <w:szCs w:val="18"/>
                <w:lang w:val="en-US"/>
              </w:rPr>
            </w:pPr>
          </w:p>
        </w:tc>
        <w:tc>
          <w:tcPr>
            <w:tcW w:w="625" w:type="pct"/>
            <w:tcBorders>
              <w:bottom w:val="nil"/>
            </w:tcBorders>
          </w:tcPr>
          <w:p w14:paraId="7F5BAF4A"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p>
        </w:tc>
        <w:tc>
          <w:tcPr>
            <w:tcW w:w="2406" w:type="pct"/>
            <w:tcBorders>
              <w:bottom w:val="nil"/>
            </w:tcBorders>
          </w:tcPr>
          <w:p w14:paraId="7B609507"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p>
        </w:tc>
      </w:tr>
      <w:tr w:rsidR="00F9124B" w:rsidRPr="00FB5DEF" w14:paraId="2589F62D" w14:textId="77777777" w:rsidTr="00C32FA3">
        <w:tc>
          <w:tcPr>
            <w:tcW w:w="1085" w:type="pct"/>
            <w:tcBorders>
              <w:top w:val="nil"/>
              <w:bottom w:val="nil"/>
            </w:tcBorders>
          </w:tcPr>
          <w:p w14:paraId="5B71DAB0" w14:textId="56E5085B" w:rsidR="00D90414" w:rsidRPr="005218B8" w:rsidRDefault="00CF137E" w:rsidP="00CF137E">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xml:space="preserve">- </w:t>
            </w:r>
            <w:r w:rsidR="00D90414" w:rsidRPr="005218B8">
              <w:rPr>
                <w:rFonts w:ascii="Arial" w:hAnsi="Arial" w:cs="Arial"/>
                <w:sz w:val="18"/>
                <w:szCs w:val="18"/>
                <w:lang w:val="en-US"/>
              </w:rPr>
              <w:t>Hypothyroidism</w:t>
            </w:r>
          </w:p>
        </w:tc>
        <w:tc>
          <w:tcPr>
            <w:tcW w:w="884" w:type="pct"/>
            <w:tcBorders>
              <w:top w:val="nil"/>
              <w:bottom w:val="nil"/>
            </w:tcBorders>
          </w:tcPr>
          <w:p w14:paraId="39DF68B5" w14:textId="7BE28BE2" w:rsidR="00D90414" w:rsidRPr="005218B8" w:rsidRDefault="00A205A6" w:rsidP="00C32FA3">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1.69% - 5.35%</w:t>
            </w:r>
            <w:r w:rsidR="00C32FA3">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"Senior", "given" : "Peter A", "non-dropping-particle" : "", "parse-names" : false, "suffix" : "" }, { "dropping-particle" : "", "family" : "Arnold", "given" : "Douglas L", "non-dropping-particle" : "", "parse-names" : false, "suffix" : "" }, { "dropping-particle" : "", "family" : "Cohen", "given" : "Jeffrey A", "non-dropping-particle" : "", "parse-names" : false, "suffix" : "" }, { "dropping-particle" : "", "family" : "Fox", "given" : "Edward J", "non-dropping-particle" : "", "parse-names" : false, "suffix" : "" }, { "dropping-particle" : "", "family" : "Hartung", "given" : "Hans-peter", "non-dropping-particle" : "", "parse-names" : false, "suffix" : "" }, { "dropping-particle" : "", "family" : "Havrdova", "given" : "Eva", "non-dropping-particle" : "", "parse-names" : false, "suffix" : "" }, { "dropping-particle" : "", "family" : "Selmaj", "given" : "Krzysztof W", "non-dropping-particle" : "", "parse-names" : false, "suffix" : "" }, { "dropping-particle" : "", "family" : "Margolin", "given" : "David H", "non-dropping-particle" : "", "parse-names" : false, "suffix" : "" }, { "dropping-particle" : "", "family" : "Kasten", "given" : "Linda", "non-dropping-particle" : "", "parse-names" : false, "suffix" : "" }, { "dropping-particle" : "", "family" : "Coles", "given" : "Alasdair J", "non-dropping-particle" : "", "parse-names" : false, "suffix" : "" }, { "dropping-particle" : "", "family" : "Senior", "given" : "Peter A", "non-dropping-particle" : "", "parse-names" : false, "suffix" : "" }, { "dropping-particle" : "", "family" : "Arnold", "given" : "Douglas L", "non-dropping-particle" : "", "parse-names" : false, "suffix" : "" }, { "dropping-particle" : "", "family" : "Cohen", "given" : "Jeffrey A", "non-dropping-particle" : "", "parse-names" : false, "suffix" : "" }, { "dropping-particle" : "", "family" : "Fox", "given" : "Edward J", "non-dropping-particle" : "", "parse-names" : false, "suffix" : "" }, { "dropping-particle" : "", "family" : "Hartung", "given" : "Hans-peter", "non-dropping-particle" : "", "parse-names" : false, "suffix" : "" }, { "dropping-particle" : "", "family" : "Havrdova", "given" : "Eva", "non-dropping-particle" : "", "parse-names" : false, "suffix" : "" }, { "dropping-particle" : "", "family" : "Selmaj", "given" : "Krzysztof W", "non-dropping-particle" : "", "parse-names" : false, "suffix" : "" }, { "dropping-particle" : "", "family" : "Margolin", "given" : "David H", "non-dropping-particle" : "", "parse-names" : false, "suffix" : "" }, { "dropping-particle" : "", "family" : "Kasten", "given" : "Linda", "non-dropping-particle" : "", "parse-names" : false, "suffix" : "" }, { "dropping-particle" : "", "family" : "Coles", "given" : "Alasdair J", "non-dropping-particle" : "", "parse-names" : false, "suffix" : "" } ], "container-title" : "Presented at the 68th American Academy of Neurology Annual Meeting", "id" : "ITEM-1", "issue" : "P2.086", "issued" : { "date-parts" : [ [ "2016" ] ] }, "title" : "Incidence and Timing of Thyroid Adverse Events in Patients With RRMS Treated With Alemtuzumab Through 5 Years of the CARE-MS Studies", "type" : "article-journal" }, "uris" : [ "http://www.mendeley.com/documents/?uuid=510cba81-00b4-49bb-950b-52f9072c7545" ] } ], "mendeley" : { "formattedCitation" : "&lt;sup&gt;8&lt;/sup&gt;", "plainTextFormattedCitation" : "8", "previouslyFormattedCitation" : "&lt;sup&gt;8&lt;/sup&gt;" }, "properties" : { "noteIndex" : 0 }, "schema" : "https://github.com/citation-style-language/schema/raw/master/csl-citation.json" }</w:instrText>
            </w:r>
            <w:r w:rsidR="00C32FA3">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8</w:t>
            </w:r>
            <w:r w:rsidR="00C32FA3">
              <w:rPr>
                <w:rFonts w:ascii="Arial" w:hAnsi="Arial" w:cs="Arial"/>
                <w:sz w:val="18"/>
                <w:szCs w:val="18"/>
                <w:lang w:val="en-US"/>
              </w:rPr>
              <w:fldChar w:fldCharType="end"/>
            </w:r>
            <w:r w:rsidR="00C32FA3">
              <w:rPr>
                <w:rFonts w:ascii="Arial" w:hAnsi="Arial" w:cs="Arial"/>
                <w:sz w:val="18"/>
                <w:szCs w:val="18"/>
                <w:lang w:val="en-US"/>
              </w:rPr>
              <w:t>*</w:t>
            </w:r>
          </w:p>
        </w:tc>
        <w:tc>
          <w:tcPr>
            <w:tcW w:w="625" w:type="pct"/>
            <w:tcBorders>
              <w:top w:val="nil"/>
              <w:bottom w:val="nil"/>
            </w:tcBorders>
          </w:tcPr>
          <w:p w14:paraId="4AC0A844"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259.52</w:t>
            </w:r>
          </w:p>
        </w:tc>
        <w:tc>
          <w:tcPr>
            <w:tcW w:w="2406" w:type="pct"/>
            <w:tcBorders>
              <w:top w:val="nil"/>
              <w:bottom w:val="nil"/>
            </w:tcBorders>
          </w:tcPr>
          <w:p w14:paraId="5C04219A" w14:textId="76DCDBB9" w:rsidR="00D90414" w:rsidRPr="005218B8" w:rsidRDefault="00CF137E"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Two specialist visit</w:t>
            </w:r>
            <w:r w:rsidR="00A943F5" w:rsidRPr="005218B8">
              <w:rPr>
                <w:rFonts w:ascii="Arial" w:hAnsi="Arial" w:cs="Arial"/>
                <w:sz w:val="18"/>
                <w:szCs w:val="18"/>
                <w:lang w:val="en-US"/>
              </w:rPr>
              <w:t>s</w:t>
            </w:r>
            <w:r w:rsidR="00D90414" w:rsidRPr="005218B8">
              <w:rPr>
                <w:rFonts w:ascii="Arial" w:hAnsi="Arial" w:cs="Arial"/>
                <w:sz w:val="18"/>
                <w:szCs w:val="18"/>
                <w:lang w:val="en-US"/>
              </w:rPr>
              <w:t>, blood t</w:t>
            </w:r>
            <w:r w:rsidR="00476EB1" w:rsidRPr="005218B8">
              <w:rPr>
                <w:rFonts w:ascii="Arial" w:hAnsi="Arial" w:cs="Arial"/>
                <w:sz w:val="18"/>
                <w:szCs w:val="18"/>
                <w:lang w:val="en-US"/>
              </w:rPr>
              <w:t xml:space="preserve">est and </w:t>
            </w:r>
            <w:r w:rsidR="001D4361">
              <w:rPr>
                <w:rFonts w:ascii="Arial" w:hAnsi="Arial" w:cs="Arial"/>
                <w:sz w:val="18"/>
                <w:szCs w:val="18"/>
                <w:lang w:val="en-US"/>
              </w:rPr>
              <w:t>treatment with</w:t>
            </w:r>
            <w:r w:rsidR="00476EB1" w:rsidRPr="005218B8">
              <w:rPr>
                <w:rFonts w:ascii="Arial" w:hAnsi="Arial" w:cs="Arial"/>
                <w:sz w:val="18"/>
                <w:szCs w:val="18"/>
                <w:lang w:val="en-US"/>
              </w:rPr>
              <w:t xml:space="preserve"> levothyroxine</w:t>
            </w:r>
            <w:r w:rsidR="00D90414"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"Lieshout", "given" : "J", "non-dropping-particle" : "Van", "parse-names" : false, "suffix" : "" }, { "dropping-particle" : "", "family" : "Felix-Schollaart", "given" : "B", "non-dropping-particle" : "", "parse-names" : false, "suffix" : "" }, { "dropping-particle" : "", "family" : "Bolsius", "given" : "EJM", "non-dropping-particle" : "", "parse-names" : false, "suffix" : "" }, { "dropping-particle" : "", "family" : "Boer", "given" : "AM", "non-dropping-particle" : "", "parse-names" : false, "suffix" : "" }, { "dropping-particle" : "", "family" : "Burgers", "given" : "JS", "non-dropping-particle" : "", "parse-names" : false, "suffix" : "" }, { "dropping-particle" : "", "family" : "Bouma", "given" : "M", "non-dropping-particle" : "", "parse-names" : false, "suffix" : "" }, { "dropping-particle" : "", "family" : "Sijbom", "given" : "M", "non-dropping-particle" : "", "parse-names" : false, "suffix" : "" } ], "container-title" : "Huisarts en Wetenschap", "id" : "ITEM-1", "issue" : "7", "issued" : { "date-parts" : [ [ "2013" ] ] }, "page" : "320-330", "title" : "NHG-standaard Schildklieraandoeningen", "type" : "article-journal", "volume" : "56" }, "uris" : [ "http://www.mendeley.com/documents/?uuid=7ac4a52b-7a52-41e3-bcea-78a662e4b39e" ] } ], "mendeley" : { "formattedCitation" : "&lt;sup&gt;9&lt;/sup&gt;", "plainTextFormattedCitation" : "9", "previouslyFormattedCitation" : "&lt;sup&gt;9&lt;/sup&gt;"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9</w:t>
            </w:r>
            <w:r w:rsidR="00D90414" w:rsidRPr="005218B8">
              <w:rPr>
                <w:rFonts w:ascii="Arial" w:hAnsi="Arial" w:cs="Arial"/>
                <w:sz w:val="18"/>
                <w:szCs w:val="18"/>
                <w:lang w:val="en-US"/>
              </w:rPr>
              <w:fldChar w:fldCharType="end"/>
            </w:r>
          </w:p>
        </w:tc>
      </w:tr>
      <w:tr w:rsidR="00F9124B" w:rsidRPr="00FB5DEF" w14:paraId="00CBA6DF" w14:textId="77777777" w:rsidTr="00C32FA3">
        <w:tc>
          <w:tcPr>
            <w:tcW w:w="1085" w:type="pct"/>
            <w:tcBorders>
              <w:top w:val="nil"/>
              <w:bottom w:val="nil"/>
            </w:tcBorders>
          </w:tcPr>
          <w:p w14:paraId="38B5DF09"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Hyperthyroidism</w:t>
            </w:r>
          </w:p>
        </w:tc>
        <w:tc>
          <w:tcPr>
            <w:tcW w:w="884" w:type="pct"/>
            <w:tcBorders>
              <w:top w:val="nil"/>
              <w:bottom w:val="nil"/>
            </w:tcBorders>
          </w:tcPr>
          <w:p w14:paraId="343A2912" w14:textId="7F57DE3A" w:rsidR="00D90414" w:rsidRPr="005218B8" w:rsidRDefault="00A205A6" w:rsidP="00C32FA3">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1.59% - 6.67%</w:t>
            </w:r>
            <w:r w:rsidR="00C32FA3">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"Senior", "given" : "Peter A", "non-dropping-particle" : "", "parse-names" : false, "suffix" : "" }, { "dropping-particle" : "", "family" : "Arnold", "given" : "Douglas L", "non-dropping-particle" : "", "parse-names" : false, "suffix" : "" }, { "dropping-particle" : "", "family" : "Cohen", "given" : "Jeffrey A", "non-dropping-particle" : "", "parse-names" : false, "suffix" : "" }, { "dropping-particle" : "", "family" : "Fox", "given" : "Edward J", "non-dropping-particle" : "", "parse-names" : false, "suffix" : "" }, { "dropping-particle" : "", "family" : "Hartung", "given" : "Hans-peter", "non-dropping-particle" : "", "parse-names" : false, "suffix" : "" }, { "dropping-particle" : "", "family" : "Havrdova", "given" : "Eva", "non-dropping-particle" : "", "parse-names" : false, "suffix" : "" }, { "dropping-particle" : "", "family" : "Selmaj", "given" : "Krzysztof W", "non-dropping-particle" : "", "parse-names" : false, "suffix" : "" }, { "dropping-particle" : "", "family" : "Margolin", "given" : "David H", "non-dropping-particle" : "", "parse-names" : false, "suffix" : "" }, { "dropping-particle" : "", "family" : "Kasten", "given" : "Linda", "non-dropping-particle" : "", "parse-names" : false, "suffix" : "" }, { "dropping-particle" : "", "family" : "Coles", "given" : "Alasdair J", "non-dropping-particle" : "", "parse-names" : false, "suffix" : "" }, { "dropping-particle" : "", "family" : "Senior", "given" : "Peter A", "non-dropping-particle" : "", "parse-names" : false, "suffix" : "" }, { "dropping-particle" : "", "family" : "Arnold", "given" : "Douglas L", "non-dropping-particle" : "", "parse-names" : false, "suffix" : "" }, { "dropping-particle" : "", "family" : "Cohen", "given" : "Jeffrey A", "non-dropping-particle" : "", "parse-names" : false, "suffix" : "" }, { "dropping-particle" : "", "family" : "Fox", "given" : "Edward J", "non-dropping-particle" : "", "parse-names" : false, "suffix" : "" }, { "dropping-particle" : "", "family" : "Hartung", "given" : "Hans-peter", "non-dropping-particle" : "", "parse-names" : false, "suffix" : "" }, { "dropping-particle" : "", "family" : "Havrdova", "given" : "Eva", "non-dropping-particle" : "", "parse-names" : false, "suffix" : "" }, { "dropping-particle" : "", "family" : "Selmaj", "given" : "Krzysztof W", "non-dropping-particle" : "", "parse-names" : false, "suffix" : "" }, { "dropping-particle" : "", "family" : "Margolin", "given" : "David H", "non-dropping-particle" : "", "parse-names" : false, "suffix" : "" }, { "dropping-particle" : "", "family" : "Kasten", "given" : "Linda", "non-dropping-particle" : "", "parse-names" : false, "suffix" : "" }, { "dropping-particle" : "", "family" : "Coles", "given" : "Alasdair J", "non-dropping-particle" : "", "parse-names" : false, "suffix" : "" } ], "container-title" : "Presented at the 68th American Academy of Neurology Annual Meeting", "id" : "ITEM-1", "issue" : "P2.086", "issued" : { "date-parts" : [ [ "2016" ] ] }, "title" : "Incidence and Timing of Thyroid Adverse Events in Patients With RRMS Treated With Alemtuzumab Through 5 Years of the CARE-MS Studies", "type" : "article-journal" }, "uris" : [ "http://www.mendeley.com/documents/?uuid=510cba81-00b4-49bb-950b-52f9072c7545" ] } ], "mendeley" : { "formattedCitation" : "&lt;sup&gt;8&lt;/sup&gt;", "plainTextFormattedCitation" : "8", "previouslyFormattedCitation" : "&lt;sup&gt;8&lt;/sup&gt;" }, "properties" : { "noteIndex" : 0 }, "schema" : "https://github.com/citation-style-language/schema/raw/master/csl-citation.json" }</w:instrText>
            </w:r>
            <w:r w:rsidR="00C32FA3">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8</w:t>
            </w:r>
            <w:r w:rsidR="00C32FA3">
              <w:rPr>
                <w:rFonts w:ascii="Arial" w:hAnsi="Arial" w:cs="Arial"/>
                <w:sz w:val="18"/>
                <w:szCs w:val="18"/>
                <w:lang w:val="en-US"/>
              </w:rPr>
              <w:fldChar w:fldCharType="end"/>
            </w:r>
            <w:r w:rsidR="00C32FA3">
              <w:rPr>
                <w:rFonts w:ascii="Arial" w:hAnsi="Arial" w:cs="Arial"/>
                <w:sz w:val="18"/>
                <w:szCs w:val="18"/>
                <w:lang w:val="en-US"/>
              </w:rPr>
              <w:t>*</w:t>
            </w:r>
          </w:p>
        </w:tc>
        <w:tc>
          <w:tcPr>
            <w:tcW w:w="625" w:type="pct"/>
            <w:tcBorders>
              <w:top w:val="nil"/>
              <w:bottom w:val="nil"/>
            </w:tcBorders>
          </w:tcPr>
          <w:p w14:paraId="36467859"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645.16</w:t>
            </w:r>
          </w:p>
        </w:tc>
        <w:tc>
          <w:tcPr>
            <w:tcW w:w="2406" w:type="pct"/>
            <w:tcBorders>
              <w:top w:val="nil"/>
              <w:bottom w:val="nil"/>
            </w:tcBorders>
          </w:tcPr>
          <w:p w14:paraId="4883BBE2" w14:textId="22BCDD89"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xml:space="preserve">Five specialist </w:t>
            </w:r>
            <w:r w:rsidR="00CF137E" w:rsidRPr="005218B8">
              <w:rPr>
                <w:rFonts w:ascii="Arial" w:hAnsi="Arial" w:cs="Arial"/>
                <w:sz w:val="18"/>
                <w:szCs w:val="18"/>
                <w:lang w:val="en-US"/>
              </w:rPr>
              <w:t>visit</w:t>
            </w:r>
            <w:r w:rsidRPr="005218B8">
              <w:rPr>
                <w:rFonts w:ascii="Arial" w:hAnsi="Arial" w:cs="Arial"/>
                <w:sz w:val="18"/>
                <w:szCs w:val="18"/>
                <w:lang w:val="en-US"/>
              </w:rPr>
              <w:t xml:space="preserve">s, blood test and </w:t>
            </w:r>
            <w:r w:rsidR="001D4361">
              <w:rPr>
                <w:rFonts w:ascii="Arial" w:hAnsi="Arial" w:cs="Arial"/>
                <w:sz w:val="18"/>
                <w:szCs w:val="18"/>
                <w:lang w:val="en-US"/>
              </w:rPr>
              <w:t>treatment with</w:t>
            </w:r>
            <w:r w:rsidRPr="005218B8">
              <w:rPr>
                <w:rFonts w:ascii="Arial" w:hAnsi="Arial" w:cs="Arial"/>
                <w:sz w:val="18"/>
                <w:szCs w:val="18"/>
                <w:lang w:val="en-US"/>
              </w:rPr>
              <w:t xml:space="preserve"> thiamazol</w:t>
            </w:r>
            <w:r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"Lieshout", "given" : "J", "non-dropping-particle" : "Van", "parse-names" : false, "suffix" : "" }, { "dropping-particle" : "", "family" : "Felix-Schollaart", "given" : "B", "non-dropping-particle" : "", "parse-names" : false, "suffix" : "" }, { "dropping-particle" : "", "family" : "Bolsius", "given" : "EJM", "non-dropping-particle" : "", "parse-names" : false, "suffix" : "" }, { "dropping-particle" : "", "family" : "Boer", "given" : "AM", "non-dropping-particle" : "", "parse-names" : false, "suffix" : "" }, { "dropping-particle" : "", "family" : "Burgers", "given" : "JS", "non-dropping-particle" : "", "parse-names" : false, "suffix" : "" }, { "dropping-particle" : "", "family" : "Bouma", "given" : "M", "non-dropping-particle" : "", "parse-names" : false, "suffix" : "" }, { "dropping-particle" : "", "family" : "Sijbom", "given" : "M", "non-dropping-particle" : "", "parse-names" : false, "suffix" : "" } ], "container-title" : "Huisarts en Wetenschap", "id" : "ITEM-1", "issue" : "7", "issued" : { "date-parts" : [ [ "2013" ] ] }, "page" : "320-330", "title" : "NHG-standaard Schildklieraandoeningen", "type" : "article-journal", "volume" : "56" }, "uris" : [ "http://www.mendeley.com/documents/?uuid=7ac4a52b-7a52-41e3-bcea-78a662e4b39e" ] } ], "mendeley" : { "formattedCitation" : "&lt;sup&gt;9&lt;/sup&gt;", "plainTextFormattedCitation" : "9", "previouslyFormattedCitation" : "&lt;sup&gt;9&lt;/sup&gt;"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9</w:t>
            </w:r>
            <w:r w:rsidRPr="005218B8">
              <w:rPr>
                <w:rFonts w:ascii="Arial" w:hAnsi="Arial" w:cs="Arial"/>
                <w:sz w:val="18"/>
                <w:szCs w:val="18"/>
                <w:lang w:val="en-US"/>
              </w:rPr>
              <w:fldChar w:fldCharType="end"/>
            </w:r>
          </w:p>
        </w:tc>
      </w:tr>
      <w:tr w:rsidR="00F9124B" w:rsidRPr="00FB5DEF" w14:paraId="281EB965" w14:textId="77777777" w:rsidTr="00C32FA3">
        <w:tc>
          <w:tcPr>
            <w:tcW w:w="1085" w:type="pct"/>
            <w:tcBorders>
              <w:top w:val="nil"/>
            </w:tcBorders>
          </w:tcPr>
          <w:p w14:paraId="1FCD5D5B" w14:textId="038AD4F0" w:rsidR="00D90414" w:rsidRPr="005218B8" w:rsidRDefault="00D90414" w:rsidP="00A205A6">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xml:space="preserve">- </w:t>
            </w:r>
            <w:r w:rsidR="00A205A6" w:rsidRPr="005218B8">
              <w:rPr>
                <w:rFonts w:ascii="Arial" w:hAnsi="Arial" w:cs="Arial"/>
                <w:sz w:val="18"/>
                <w:szCs w:val="18"/>
                <w:lang w:val="en-US"/>
              </w:rPr>
              <w:t xml:space="preserve">Graves’ </w:t>
            </w:r>
            <w:r w:rsidRPr="005218B8">
              <w:rPr>
                <w:rFonts w:ascii="Arial" w:hAnsi="Arial" w:cs="Arial"/>
                <w:sz w:val="18"/>
                <w:szCs w:val="18"/>
                <w:lang w:val="en-US"/>
              </w:rPr>
              <w:t>disease</w:t>
            </w:r>
          </w:p>
        </w:tc>
        <w:tc>
          <w:tcPr>
            <w:tcW w:w="884" w:type="pct"/>
            <w:tcBorders>
              <w:top w:val="nil"/>
            </w:tcBorders>
          </w:tcPr>
          <w:p w14:paraId="24832336" w14:textId="79A15761" w:rsidR="00D90414" w:rsidRPr="005218B8" w:rsidRDefault="00A205A6" w:rsidP="00CF137E">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1.19% - 6.11%</w:t>
            </w:r>
            <w:r w:rsidR="00C32FA3">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"Senior", "given" : "Peter A", "non-dropping-particle" : "", "parse-names" : false, "suffix" : "" }, { "dropping-particle" : "", "family" : "Arnold", "given" : "Douglas L", "non-dropping-particle" : "", "parse-names" : false, "suffix" : "" }, { "dropping-particle" : "", "family" : "Cohen", "given" : "Jeffrey A", "non-dropping-particle" : "", "parse-names" : false, "suffix" : "" }, { "dropping-particle" : "", "family" : "Fox", "given" : "Edward J", "non-dropping-particle" : "", "parse-names" : false, "suffix" : "" }, { "dropping-particle" : "", "family" : "Hartung", "given" : "Hans-peter", "non-dropping-particle" : "", "parse-names" : false, "suffix" : "" }, { "dropping-particle" : "", "family" : "Havrdova", "given" : "Eva", "non-dropping-particle" : "", "parse-names" : false, "suffix" : "" }, { "dropping-particle" : "", "family" : "Selmaj", "given" : "Krzysztof W", "non-dropping-particle" : "", "parse-names" : false, "suffix" : "" }, { "dropping-particle" : "", "family" : "Margolin", "given" : "David H", "non-dropping-particle" : "", "parse-names" : false, "suffix" : "" }, { "dropping-particle" : "", "family" : "Kasten", "given" : "Linda", "non-dropping-particle" : "", "parse-names" : false, "suffix" : "" }, { "dropping-particle" : "", "family" : "Coles", "given" : "Alasdair J", "non-dropping-particle" : "", "parse-names" : false, "suffix" : "" }, { "dropping-particle" : "", "family" : "Senior", "given" : "Peter A", "non-dropping-particle" : "", "parse-names" : false, "suffix" : "" }, { "dropping-particle" : "", "family" : "Arnold", "given" : "Douglas L", "non-dropping-particle" : "", "parse-names" : false, "suffix" : "" }, { "dropping-particle" : "", "family" : "Cohen", "given" : "Jeffrey A", "non-dropping-particle" : "", "parse-names" : false, "suffix" : "" }, { "dropping-particle" : "", "family" : "Fox", "given" : "Edward J", "non-dropping-particle" : "", "parse-names" : false, "suffix" : "" }, { "dropping-particle" : "", "family" : "Hartung", "given" : "Hans-peter", "non-dropping-particle" : "", "parse-names" : false, "suffix" : "" }, { "dropping-particle" : "", "family" : "Havrdova", "given" : "Eva", "non-dropping-particle" : "", "parse-names" : false, "suffix" : "" }, { "dropping-particle" : "", "family" : "Selmaj", "given" : "Krzysztof W", "non-dropping-particle" : "", "parse-names" : false, "suffix" : "" }, { "dropping-particle" : "", "family" : "Margolin", "given" : "David H", "non-dropping-particle" : "", "parse-names" : false, "suffix" : "" }, { "dropping-particle" : "", "family" : "Kasten", "given" : "Linda", "non-dropping-particle" : "", "parse-names" : false, "suffix" : "" }, { "dropping-particle" : "", "family" : "Coles", "given" : "Alasdair J", "non-dropping-particle" : "", "parse-names" : false, "suffix" : "" } ], "container-title" : "Presented at the 68th American Academy of Neurology Annual Meeting", "id" : "ITEM-1", "issue" : "P2.086", "issued" : { "date-parts" : [ [ "2016" ] ] }, "title" : "Incidence and Timing of Thyroid Adverse Events in Patients With RRMS Treated With Alemtuzumab Through 5 Years of the CARE-MS Studies", "type" : "article-journal" }, "uris" : [ "http://www.mendeley.com/documents/?uuid=510cba81-00b4-49bb-950b-52f9072c7545" ] } ], "mendeley" : { "formattedCitation" : "&lt;sup&gt;8&lt;/sup&gt;", "plainTextFormattedCitation" : "8", "previouslyFormattedCitation" : "&lt;sup&gt;8&lt;/sup&gt;" }, "properties" : { "noteIndex" : 0 }, "schema" : "https://github.com/citation-style-language/schema/raw/master/csl-citation.json" }</w:instrText>
            </w:r>
            <w:r w:rsidR="00C32FA3">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8</w:t>
            </w:r>
            <w:r w:rsidR="00C32FA3">
              <w:rPr>
                <w:rFonts w:ascii="Arial" w:hAnsi="Arial" w:cs="Arial"/>
                <w:sz w:val="18"/>
                <w:szCs w:val="18"/>
                <w:lang w:val="en-US"/>
              </w:rPr>
              <w:fldChar w:fldCharType="end"/>
            </w:r>
            <w:r w:rsidR="00C32FA3">
              <w:rPr>
                <w:rFonts w:ascii="Arial" w:hAnsi="Arial" w:cs="Arial"/>
                <w:sz w:val="18"/>
                <w:szCs w:val="18"/>
                <w:lang w:val="en-US"/>
              </w:rPr>
              <w:t>*</w:t>
            </w:r>
          </w:p>
        </w:tc>
        <w:tc>
          <w:tcPr>
            <w:tcW w:w="625" w:type="pct"/>
            <w:tcBorders>
              <w:top w:val="nil"/>
            </w:tcBorders>
          </w:tcPr>
          <w:p w14:paraId="55EA819B" w14:textId="3F445858" w:rsidR="00D90414" w:rsidRPr="005218B8" w:rsidRDefault="00D90414" w:rsidP="00C32FA3">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645.16</w:t>
            </w:r>
          </w:p>
        </w:tc>
        <w:tc>
          <w:tcPr>
            <w:tcW w:w="2406" w:type="pct"/>
            <w:tcBorders>
              <w:top w:val="nil"/>
            </w:tcBorders>
          </w:tcPr>
          <w:p w14:paraId="207AF53C" w14:textId="27183FA2" w:rsidR="00D90414" w:rsidRPr="005218B8" w:rsidRDefault="00CF137E"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Five specialist visit</w:t>
            </w:r>
            <w:r w:rsidR="00D90414" w:rsidRPr="005218B8">
              <w:rPr>
                <w:rFonts w:ascii="Arial" w:hAnsi="Arial" w:cs="Arial"/>
                <w:sz w:val="18"/>
                <w:szCs w:val="18"/>
                <w:lang w:val="en-US"/>
              </w:rPr>
              <w:t xml:space="preserve">s, blood test and </w:t>
            </w:r>
            <w:r w:rsidR="001D4361">
              <w:rPr>
                <w:rFonts w:ascii="Arial" w:hAnsi="Arial" w:cs="Arial"/>
                <w:sz w:val="18"/>
                <w:szCs w:val="18"/>
                <w:lang w:val="en-US"/>
              </w:rPr>
              <w:t>treatment with</w:t>
            </w:r>
            <w:r w:rsidR="00D90414" w:rsidRPr="005218B8">
              <w:rPr>
                <w:rFonts w:ascii="Arial" w:hAnsi="Arial" w:cs="Arial"/>
                <w:sz w:val="18"/>
                <w:szCs w:val="18"/>
                <w:lang w:val="en-US"/>
              </w:rPr>
              <w:t xml:space="preserve"> thiamazol</w:t>
            </w:r>
            <w:r w:rsidR="00D90414"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"Lieshout", "given" : "J", "non-dropping-particle" : "Van", "parse-names" : false, "suffix" : "" }, { "dropping-particle" : "", "family" : "Felix-Schollaart", "given" : "B", "non-dropping-particle" : "", "parse-names" : false, "suffix" : "" }, { "dropping-particle" : "", "family" : "Bolsius", "given" : "EJM", "non-dropping-particle" : "", "parse-names" : false, "suffix" : "" }, { "dropping-particle" : "", "family" : "Boer", "given" : "AM", "non-dropping-particle" : "", "parse-names" : false, "suffix" : "" }, { "dropping-particle" : "", "family" : "Burgers", "given" : "JS", "non-dropping-particle" : "", "parse-names" : false, "suffix" : "" }, { "dropping-particle" : "", "family" : "Bouma", "given" : "M", "non-dropping-particle" : "", "parse-names" : false, "suffix" : "" }, { "dropping-particle" : "", "family" : "Sijbom", "given" : "M", "non-dropping-particle" : "", "parse-names" : false, "suffix" : "" } ], "container-title" : "Huisarts en Wetenschap", "id" : "ITEM-1", "issue" : "7", "issued" : { "date-parts" : [ [ "2013" ] ] }, "page" : "320-330", "title" : "NHG-standaard Schildklieraandoeningen", "type" : "article-journal", "volume" : "56" }, "uris" : [ "http://www.mendeley.com/documents/?uuid=7ac4a52b-7a52-41e3-bcea-78a662e4b39e" ] } ], "mendeley" : { "formattedCitation" : "&lt;sup&gt;9&lt;/sup&gt;", "plainTextFormattedCitation" : "9", "previouslyFormattedCitation" : "&lt;sup&gt;9&lt;/sup&gt;"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9</w:t>
            </w:r>
            <w:r w:rsidR="00D90414" w:rsidRPr="005218B8">
              <w:rPr>
                <w:rFonts w:ascii="Arial" w:hAnsi="Arial" w:cs="Arial"/>
                <w:sz w:val="18"/>
                <w:szCs w:val="18"/>
                <w:lang w:val="en-US"/>
              </w:rPr>
              <w:fldChar w:fldCharType="end"/>
            </w:r>
          </w:p>
        </w:tc>
      </w:tr>
      <w:tr w:rsidR="00F9124B" w:rsidRPr="00FF543F" w14:paraId="4566376C" w14:textId="77777777" w:rsidTr="00C32FA3">
        <w:tc>
          <w:tcPr>
            <w:tcW w:w="1085" w:type="pct"/>
            <w:tcBorders>
              <w:top w:val="nil"/>
            </w:tcBorders>
          </w:tcPr>
          <w:p w14:paraId="1277DB71" w14:textId="7BE55F50" w:rsidR="000F1D0A" w:rsidRPr="005218B8" w:rsidRDefault="000F1D0A" w:rsidP="00A205A6">
            <w:pPr>
              <w:autoSpaceDE w:val="0"/>
              <w:autoSpaceDN w:val="0"/>
              <w:adjustRightInd w:val="0"/>
              <w:spacing w:line="360" w:lineRule="auto"/>
              <w:rPr>
                <w:rFonts w:ascii="Arial" w:hAnsi="Arial" w:cs="Arial"/>
                <w:sz w:val="18"/>
                <w:szCs w:val="18"/>
                <w:lang w:val="en-US"/>
              </w:rPr>
            </w:pPr>
            <w:r>
              <w:rPr>
                <w:rFonts w:ascii="Arial" w:hAnsi="Arial" w:cs="Arial"/>
                <w:sz w:val="18"/>
                <w:szCs w:val="18"/>
                <w:lang w:val="en-US"/>
              </w:rPr>
              <w:t>-Thyroidectomy</w:t>
            </w:r>
          </w:p>
        </w:tc>
        <w:tc>
          <w:tcPr>
            <w:tcW w:w="884" w:type="pct"/>
            <w:tcBorders>
              <w:top w:val="nil"/>
            </w:tcBorders>
          </w:tcPr>
          <w:p w14:paraId="1B2A3BF2" w14:textId="22D72711" w:rsidR="000F1D0A" w:rsidRPr="005218B8" w:rsidRDefault="000F1D0A" w:rsidP="00CF137E">
            <w:pPr>
              <w:autoSpaceDE w:val="0"/>
              <w:autoSpaceDN w:val="0"/>
              <w:adjustRightInd w:val="0"/>
              <w:spacing w:line="360" w:lineRule="auto"/>
              <w:rPr>
                <w:rFonts w:ascii="Arial" w:hAnsi="Arial" w:cs="Arial"/>
                <w:sz w:val="18"/>
                <w:szCs w:val="18"/>
                <w:lang w:val="en-US"/>
              </w:rPr>
            </w:pPr>
            <w:r>
              <w:rPr>
                <w:rFonts w:ascii="Arial" w:hAnsi="Arial" w:cs="Arial"/>
                <w:sz w:val="18"/>
                <w:szCs w:val="18"/>
                <w:lang w:val="en-US"/>
              </w:rPr>
              <w:t>3.21%</w:t>
            </w:r>
            <w:r>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"Senior", "given" : "Peter A", "non-dropping-particle" : "", "parse-names" : false, "suffix" : "" }, { "dropping-particle" : "", "family" : "Arnold", "given" : "Douglas L", "non-dropping-particle" : "", "parse-names" : false, "suffix" : "" }, { "dropping-particle" : "", "family" : "Cohen", "given" : "Jeffrey A", "non-dropping-particle" : "", "parse-names" : false, "suffix" : "" }, { "dropping-particle" : "", "family" : "Fox", "given" : "Edward J", "non-dropping-particle" : "", "parse-names" : false, "suffix" : "" }, { "dropping-particle" : "", "family" : "Hartung", "given" : "Hans-peter", "non-dropping-particle" : "", "parse-names" : false, "suffix" : "" }, { "dropping-particle" : "", "family" : "Havrdova", "given" : "Eva", "non-dropping-particle" : "", "parse-names" : false, "suffix" : "" }, { "dropping-particle" : "", "family" : "Selmaj", "given" : "Krzysztof W", "non-dropping-particle" : "", "parse-names" : false, "suffix" : "" }, { "dropping-particle" : "", "family" : "Margolin", "given" : "David H", "non-dropping-particle" : "", "parse-names" : false, "suffix" : "" }, { "dropping-particle" : "", "family" : "Kasten", "given" : "Linda", "non-dropping-particle" : "", "parse-names" : false, "suffix" : "" }, { "dropping-particle" : "", "family" : "Coles", "given" : "Alasdair J", "non-dropping-particle" : "", "parse-names" : false, "suffix" : "" }, { "dropping-particle" : "", "family" : "Senior", "given" : "Peter A", "non-dropping-particle" : "", "parse-names" : false, "suffix" : "" }, { "dropping-particle" : "", "family" : "Arnold", "given" : "Douglas L", "non-dropping-particle" : "", "parse-names" : false, "suffix" : "" }, { "dropping-particle" : "", "family" : "Cohen", "given" : "Jeffrey A", "non-dropping-particle" : "", "parse-names" : false, "suffix" : "" }, { "dropping-particle" : "", "family" : "Fox", "given" : "Edward J", "non-dropping-particle" : "", "parse-names" : false, "suffix" : "" }, { "dropping-particle" : "", "family" : "Hartung", "given" : "Hans-peter", "non-dropping-particle" : "", "parse-names" : false, "suffix" : "" }, { "dropping-particle" : "", "family" : "Havrdova", "given" : "Eva", "non-dropping-particle" : "", "parse-names" : false, "suffix" : "" }, { "dropping-particle" : "", "family" : "Selmaj", "given" : "Krzysztof W", "non-dropping-particle" : "", "parse-names" : false, "suffix" : "" }, { "dropping-particle" : "", "family" : "Margolin", "given" : "David H", "non-dropping-particle" : "", "parse-names" : false, "suffix" : "" }, { "dropping-particle" : "", "family" : "Kasten", "given" : "Linda", "non-dropping-particle" : "", "parse-names" : false, "suffix" : "" }, { "dropping-particle" : "", "family" : "Coles", "given" : "Alasdair J", "non-dropping-particle" : "", "parse-names" : false, "suffix" : "" } ], "container-title" : "Presented at the 68th American Academy of Neurology Annual Meeting", "id" : "ITEM-1", "issue" : "P2.086", "issued" : { "date-parts" : [ [ "2016" ] ] }, "title" : "Incidence and Timing of Thyroid Adverse Events in Patients With RRMS Treated With Alemtuzumab Through 5 Years of the CARE-MS Studies", "type" : "article-journal" }, "uris" : [ "http://www.mendeley.com/documents/?uuid=510cba81-00b4-49bb-950b-52f9072c7545" ] } ], "mendeley" : { "formattedCitation" : "&lt;sup&gt;8&lt;/sup&gt;", "plainTextFormattedCitation" : "8", "previouslyFormattedCitation" : "&lt;sup&gt;8&lt;/sup&gt;" }, "properties" : { "noteIndex" : 0 }, "schema" : "https://github.com/citation-style-language/schema/raw/master/csl-citation.json" }</w:instrText>
            </w:r>
            <w:r>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8</w:t>
            </w:r>
            <w:r>
              <w:rPr>
                <w:rFonts w:ascii="Arial" w:hAnsi="Arial" w:cs="Arial"/>
                <w:sz w:val="18"/>
                <w:szCs w:val="18"/>
                <w:lang w:val="en-US"/>
              </w:rPr>
              <w:fldChar w:fldCharType="end"/>
            </w:r>
            <w:r>
              <w:rPr>
                <w:rFonts w:ascii="Arial" w:hAnsi="Arial" w:cs="Arial"/>
                <w:sz w:val="18"/>
                <w:szCs w:val="18"/>
                <w:lang w:val="en-US"/>
              </w:rPr>
              <w:t>**</w:t>
            </w:r>
          </w:p>
        </w:tc>
        <w:tc>
          <w:tcPr>
            <w:tcW w:w="625" w:type="pct"/>
            <w:tcBorders>
              <w:top w:val="nil"/>
            </w:tcBorders>
          </w:tcPr>
          <w:p w14:paraId="3E4A67BD" w14:textId="2ABEEC50" w:rsidR="000F1D0A" w:rsidRPr="005218B8" w:rsidRDefault="000F1D0A" w:rsidP="000F1D0A">
            <w:pPr>
              <w:autoSpaceDE w:val="0"/>
              <w:autoSpaceDN w:val="0"/>
              <w:adjustRightInd w:val="0"/>
              <w:spacing w:line="360" w:lineRule="auto"/>
              <w:jc w:val="right"/>
              <w:rPr>
                <w:rFonts w:ascii="Arial" w:hAnsi="Arial" w:cs="Arial"/>
                <w:sz w:val="18"/>
                <w:szCs w:val="18"/>
                <w:lang w:val="en-US"/>
              </w:rPr>
            </w:pPr>
            <w:r>
              <w:rPr>
                <w:rFonts w:ascii="Arial" w:hAnsi="Arial" w:cs="Arial"/>
                <w:sz w:val="18"/>
                <w:szCs w:val="18"/>
                <w:lang w:val="en-US"/>
              </w:rPr>
              <w:t>4570.00</w:t>
            </w:r>
            <w:r>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"URL" : "http://www.opendisdata.nl/zorgproduct/", "accessed" : { "date-parts" : [ [ "2016", "3", "15" ] ] }, "author" : [ { "dropping-particle" : "", "family" : "Nederlandse Zorgautoriteit (NZa)", "given" : "", "non-dropping-particle" : "", "parse-names" : false, "suffix" : "" } ], "id" : "ITEM-1", "issued" : { "date-parts" : [ [ "0" ] ] }, "title" : "Open DIS Data", "type" : "webpage" }, "uris" : [ "http://www.mendeley.com/documents/?uuid=8d89051c-1d7b-4d07-bd66-c27bc807ee81" ] } ], "mendeley" : { "formattedCitation" : "&lt;sup&gt;10&lt;/sup&gt;", "plainTextFormattedCitation" : "10", "previouslyFormattedCitation" : "&lt;sup&gt;10&lt;/sup&gt;" }, "properties" : { "noteIndex" : 0 }, "schema" : "https://github.com/citation-style-language/schema/raw/master/csl-citation.json" }</w:instrText>
            </w:r>
            <w:r>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10</w:t>
            </w:r>
            <w:r>
              <w:rPr>
                <w:rFonts w:ascii="Arial" w:hAnsi="Arial" w:cs="Arial"/>
                <w:sz w:val="18"/>
                <w:szCs w:val="18"/>
                <w:lang w:val="en-US"/>
              </w:rPr>
              <w:fldChar w:fldCharType="end"/>
            </w:r>
          </w:p>
        </w:tc>
        <w:tc>
          <w:tcPr>
            <w:tcW w:w="2406" w:type="pct"/>
            <w:tcBorders>
              <w:top w:val="nil"/>
            </w:tcBorders>
          </w:tcPr>
          <w:p w14:paraId="477A99AC" w14:textId="0FB53B86" w:rsidR="000F1D0A" w:rsidRPr="005218B8" w:rsidRDefault="000F1D0A" w:rsidP="000F1D0A">
            <w:pPr>
              <w:autoSpaceDE w:val="0"/>
              <w:autoSpaceDN w:val="0"/>
              <w:adjustRightInd w:val="0"/>
              <w:spacing w:line="360" w:lineRule="auto"/>
              <w:rPr>
                <w:rFonts w:ascii="Arial" w:hAnsi="Arial" w:cs="Arial"/>
                <w:sz w:val="18"/>
                <w:szCs w:val="18"/>
                <w:lang w:val="en-US"/>
              </w:rPr>
            </w:pPr>
            <w:r>
              <w:rPr>
                <w:rFonts w:ascii="Arial" w:hAnsi="Arial" w:cs="Arial"/>
                <w:sz w:val="18"/>
                <w:szCs w:val="18"/>
                <w:lang w:val="en-US"/>
              </w:rPr>
              <w:t>Thyroidectomy including hospital stay</w:t>
            </w:r>
          </w:p>
        </w:tc>
      </w:tr>
      <w:tr w:rsidR="00F9124B" w:rsidRPr="00FB5DEF" w14:paraId="202F4C2E" w14:textId="77777777" w:rsidTr="00C32FA3">
        <w:tc>
          <w:tcPr>
            <w:tcW w:w="1085" w:type="pct"/>
            <w:tcBorders>
              <w:top w:val="nil"/>
            </w:tcBorders>
          </w:tcPr>
          <w:p w14:paraId="469EEB6E" w14:textId="173A76EA" w:rsidR="000F1D0A" w:rsidRDefault="000F1D0A" w:rsidP="00A205A6">
            <w:pPr>
              <w:autoSpaceDE w:val="0"/>
              <w:autoSpaceDN w:val="0"/>
              <w:adjustRightInd w:val="0"/>
              <w:spacing w:line="360" w:lineRule="auto"/>
              <w:rPr>
                <w:rFonts w:ascii="Arial" w:hAnsi="Arial" w:cs="Arial"/>
                <w:sz w:val="18"/>
                <w:szCs w:val="18"/>
                <w:lang w:val="en-US"/>
              </w:rPr>
            </w:pPr>
            <w:r>
              <w:rPr>
                <w:rFonts w:ascii="Arial" w:hAnsi="Arial" w:cs="Arial"/>
                <w:sz w:val="18"/>
                <w:szCs w:val="18"/>
                <w:lang w:val="en-US"/>
              </w:rPr>
              <w:t>-Iodine ablation</w:t>
            </w:r>
          </w:p>
        </w:tc>
        <w:tc>
          <w:tcPr>
            <w:tcW w:w="884" w:type="pct"/>
            <w:tcBorders>
              <w:top w:val="nil"/>
            </w:tcBorders>
          </w:tcPr>
          <w:p w14:paraId="59BABADE" w14:textId="038C40DB" w:rsidR="000F1D0A" w:rsidRPr="005218B8" w:rsidRDefault="000F1D0A" w:rsidP="00CF137E">
            <w:pPr>
              <w:autoSpaceDE w:val="0"/>
              <w:autoSpaceDN w:val="0"/>
              <w:adjustRightInd w:val="0"/>
              <w:spacing w:line="360" w:lineRule="auto"/>
              <w:rPr>
                <w:rFonts w:ascii="Arial" w:hAnsi="Arial" w:cs="Arial"/>
                <w:sz w:val="18"/>
                <w:szCs w:val="18"/>
                <w:lang w:val="en-US"/>
              </w:rPr>
            </w:pPr>
            <w:r>
              <w:rPr>
                <w:rFonts w:ascii="Arial" w:hAnsi="Arial" w:cs="Arial"/>
                <w:sz w:val="18"/>
                <w:szCs w:val="18"/>
                <w:lang w:val="en-US"/>
              </w:rPr>
              <w:t>2.97%</w:t>
            </w:r>
            <w:r>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"Senior", "given" : "Peter A", "non-dropping-particle" : "", "parse-names" : false, "suffix" : "" }, { "dropping-particle" : "", "family" : "Arnold", "given" : "Douglas L", "non-dropping-particle" : "", "parse-names" : false, "suffix" : "" }, { "dropping-particle" : "", "family" : "Cohen", "given" : "Jeffrey A", "non-dropping-particle" : "", "parse-names" : false, "suffix" : "" }, { "dropping-particle" : "", "family" : "Fox", "given" : "Edward J", "non-dropping-particle" : "", "parse-names" : false, "suffix" : "" }, { "dropping-particle" : "", "family" : "Hartung", "given" : "Hans-peter", "non-dropping-particle" : "", "parse-names" : false, "suffix" : "" }, { "dropping-particle" : "", "family" : "Havrdova", "given" : "Eva", "non-dropping-particle" : "", "parse-names" : false, "suffix" : "" }, { "dropping-particle" : "", "family" : "Selmaj", "given" : "Krzysztof W", "non-dropping-particle" : "", "parse-names" : false, "suffix" : "" }, { "dropping-particle" : "", "family" : "Margolin", "given" : "David H", "non-dropping-particle" : "", "parse-names" : false, "suffix" : "" }, { "dropping-particle" : "", "family" : "Kasten", "given" : "Linda", "non-dropping-particle" : "", "parse-names" : false, "suffix" : "" }, { "dropping-particle" : "", "family" : "Coles", "given" : "Alasdair J", "non-dropping-particle" : "", "parse-names" : false, "suffix" : "" }, { "dropping-particle" : "", "family" : "Senior", "given" : "Peter A", "non-dropping-particle" : "", "parse-names" : false, "suffix" : "" }, { "dropping-particle" : "", "family" : "Arnold", "given" : "Douglas L", "non-dropping-particle" : "", "parse-names" : false, "suffix" : "" }, { "dropping-particle" : "", "family" : "Cohen", "given" : "Jeffrey A", "non-dropping-particle" : "", "parse-names" : false, "suffix" : "" }, { "dropping-particle" : "", "family" : "Fox", "given" : "Edward J", "non-dropping-particle" : "", "parse-names" : false, "suffix" : "" }, { "dropping-particle" : "", "family" : "Hartung", "given" : "Hans-peter", "non-dropping-particle" : "", "parse-names" : false, "suffix" : "" }, { "dropping-particle" : "", "family" : "Havrdova", "given" : "Eva", "non-dropping-particle" : "", "parse-names" : false, "suffix" : "" }, { "dropping-particle" : "", "family" : "Selmaj", "given" : "Krzysztof W", "non-dropping-particle" : "", "parse-names" : false, "suffix" : "" }, { "dropping-particle" : "", "family" : "Margolin", "given" : "David H", "non-dropping-particle" : "", "parse-names" : false, "suffix" : "" }, { "dropping-particle" : "", "family" : "Kasten", "given" : "Linda", "non-dropping-particle" : "", "parse-names" : false, "suffix" : "" }, { "dropping-particle" : "", "family" : "Coles", "given" : "Alasdair J", "non-dropping-particle" : "", "parse-names" : false, "suffix" : "" } ], "container-title" : "Presented at the 68th American Academy of Neurology Annual Meeting", "id" : "ITEM-1", "issue" : "P2.086", "issued" : { "date-parts" : [ [ "2016" ] ] }, "title" : "Incidence and Timing of Thyroid Adverse Events in Patients With RRMS Treated With Alemtuzumab Through 5 Years of the CARE-MS Studies", "type" : "article-journal" }, "uris" : [ "http://www.mendeley.com/documents/?uuid=510cba81-00b4-49bb-950b-52f9072c7545" ] } ], "mendeley" : { "formattedCitation" : "&lt;sup&gt;8&lt;/sup&gt;", "plainTextFormattedCitation" : "8", "previouslyFormattedCitation" : "&lt;sup&gt;8&lt;/sup&gt;" }, "properties" : { "noteIndex" : 0 }, "schema" : "https://github.com/citation-style-language/schema/raw/master/csl-citation.json" }</w:instrText>
            </w:r>
            <w:r>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8</w:t>
            </w:r>
            <w:r>
              <w:rPr>
                <w:rFonts w:ascii="Arial" w:hAnsi="Arial" w:cs="Arial"/>
                <w:sz w:val="18"/>
                <w:szCs w:val="18"/>
                <w:lang w:val="en-US"/>
              </w:rPr>
              <w:fldChar w:fldCharType="end"/>
            </w:r>
            <w:r>
              <w:rPr>
                <w:rFonts w:ascii="Arial" w:hAnsi="Arial" w:cs="Arial"/>
                <w:sz w:val="18"/>
                <w:szCs w:val="18"/>
                <w:lang w:val="en-US"/>
              </w:rPr>
              <w:t>**</w:t>
            </w:r>
          </w:p>
        </w:tc>
        <w:tc>
          <w:tcPr>
            <w:tcW w:w="625" w:type="pct"/>
            <w:tcBorders>
              <w:top w:val="nil"/>
            </w:tcBorders>
          </w:tcPr>
          <w:p w14:paraId="6B9FC3AB" w14:textId="24DB4855" w:rsidR="000F1D0A" w:rsidRPr="005218B8" w:rsidRDefault="000F1D0A" w:rsidP="00C32FA3">
            <w:pPr>
              <w:autoSpaceDE w:val="0"/>
              <w:autoSpaceDN w:val="0"/>
              <w:adjustRightInd w:val="0"/>
              <w:spacing w:line="360" w:lineRule="auto"/>
              <w:jc w:val="right"/>
              <w:rPr>
                <w:rFonts w:ascii="Arial" w:hAnsi="Arial" w:cs="Arial"/>
                <w:sz w:val="18"/>
                <w:szCs w:val="18"/>
                <w:lang w:val="en-US"/>
              </w:rPr>
            </w:pPr>
            <w:r>
              <w:rPr>
                <w:rFonts w:ascii="Arial" w:hAnsi="Arial" w:cs="Arial"/>
                <w:sz w:val="18"/>
                <w:szCs w:val="18"/>
                <w:lang w:val="en-US"/>
              </w:rPr>
              <w:t>1,515.00</w:t>
            </w:r>
            <w:r>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"URL" : "http://www.opendisdata.nl/zorgproduct/", "accessed" : { "date-parts" : [ [ "2016", "3", "15" ] ] }, "author" : [ { "dropping-particle" : "", "family" : "Nederlandse Zorgautoriteit (NZa)", "given" : "", "non-dropping-particle" : "", "parse-names" : false, "suffix" : "" } ], "id" : "ITEM-1", "issued" : { "date-parts" : [ [ "0" ] ] }, "title" : "Open DIS Data", "type" : "webpage" }, "uris" : [ "http://www.mendeley.com/documents/?uuid=8d89051c-1d7b-4d07-bd66-c27bc807ee81" ] } ], "mendeley" : { "formattedCitation" : "&lt;sup&gt;10&lt;/sup&gt;", "plainTextFormattedCitation" : "10", "previouslyFormattedCitation" : "&lt;sup&gt;10&lt;/sup&gt;" }, "properties" : { "noteIndex" : 0 }, "schema" : "https://github.com/citation-style-language/schema/raw/master/csl-citation.json" }</w:instrText>
            </w:r>
            <w:r>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10</w:t>
            </w:r>
            <w:r>
              <w:rPr>
                <w:rFonts w:ascii="Arial" w:hAnsi="Arial" w:cs="Arial"/>
                <w:sz w:val="18"/>
                <w:szCs w:val="18"/>
                <w:lang w:val="en-US"/>
              </w:rPr>
              <w:fldChar w:fldCharType="end"/>
            </w:r>
          </w:p>
        </w:tc>
        <w:tc>
          <w:tcPr>
            <w:tcW w:w="2406" w:type="pct"/>
            <w:tcBorders>
              <w:top w:val="nil"/>
            </w:tcBorders>
          </w:tcPr>
          <w:p w14:paraId="6B225BF9" w14:textId="237E4795" w:rsidR="000F1D0A" w:rsidRDefault="000F1D0A" w:rsidP="000F1D0A">
            <w:pPr>
              <w:autoSpaceDE w:val="0"/>
              <w:autoSpaceDN w:val="0"/>
              <w:adjustRightInd w:val="0"/>
              <w:spacing w:line="360" w:lineRule="auto"/>
              <w:rPr>
                <w:rFonts w:ascii="Arial" w:hAnsi="Arial" w:cs="Arial"/>
                <w:sz w:val="18"/>
                <w:szCs w:val="18"/>
                <w:lang w:val="en-US"/>
              </w:rPr>
            </w:pPr>
            <w:r>
              <w:rPr>
                <w:rFonts w:ascii="Arial" w:hAnsi="Arial" w:cs="Arial"/>
                <w:sz w:val="18"/>
                <w:szCs w:val="18"/>
                <w:lang w:val="en-US"/>
              </w:rPr>
              <w:t>Iodine ablation and max. 2 hospital days</w:t>
            </w:r>
          </w:p>
        </w:tc>
      </w:tr>
      <w:tr w:rsidR="00F9124B" w:rsidRPr="005218B8" w14:paraId="5C393BEB" w14:textId="77777777" w:rsidTr="00C32FA3">
        <w:tc>
          <w:tcPr>
            <w:tcW w:w="1085" w:type="pct"/>
            <w:tcBorders>
              <w:bottom w:val="nil"/>
            </w:tcBorders>
          </w:tcPr>
          <w:p w14:paraId="3DBB0CD1" w14:textId="62B6B5B3" w:rsidR="00D90414" w:rsidRPr="005218B8" w:rsidRDefault="00D90414" w:rsidP="00F25206">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Immune thrombocytopenia</w:t>
            </w:r>
            <w:r w:rsidR="00F25206" w:rsidRPr="005218B8">
              <w:rPr>
                <w:rFonts w:ascii="Arial" w:hAnsi="Arial" w:cs="Arial"/>
                <w:sz w:val="18"/>
                <w:szCs w:val="18"/>
                <w:lang w:val="en-US"/>
              </w:rPr>
              <w:t>:</w:t>
            </w:r>
          </w:p>
        </w:tc>
        <w:tc>
          <w:tcPr>
            <w:tcW w:w="884" w:type="pct"/>
            <w:tcBorders>
              <w:bottom w:val="nil"/>
            </w:tcBorders>
          </w:tcPr>
          <w:p w14:paraId="4BE77F73" w14:textId="15F47C6C" w:rsidR="00D90414" w:rsidRPr="005218B8" w:rsidRDefault="00D90414" w:rsidP="00476EB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0.4%</w:t>
            </w:r>
            <w:r w:rsidRPr="005218B8">
              <w:rPr>
                <w:rFonts w:ascii="Arial" w:hAnsi="Arial" w:cs="Arial"/>
                <w:sz w:val="18"/>
                <w:szCs w:val="18"/>
                <w:lang w:val="en-US"/>
              </w:rPr>
              <w:fldChar w:fldCharType="begin" w:fldLock="1"/>
            </w:r>
            <w:r w:rsidR="00476EB1" w:rsidRPr="005218B8">
              <w:rPr>
                <w:rFonts w:ascii="Arial" w:hAnsi="Arial" w:cs="Arial"/>
                <w:sz w:val="18"/>
                <w:szCs w:val="18"/>
                <w:lang w:val="en-US"/>
              </w:rPr>
              <w:instrText>ADDIN CSL_CITATION { "citationItems" : [ { "id" : "ITEM-1", "itemData" : { "author" : [ { "dropping-particle" : "", "family" : "European Medicines Agency (EMEA)", "given" : "", "non-dropping-particle" : "", "parse-names" : false, "suffix" : "" } ], "id" : "ITEM-1", "issued" : { "date-parts" : [ [ "2013" ] ] }, "title" : "European public assessment report Lemtrada (alemtuzumab). EMA/563018/2013.", "type" : "report" }, "uris" : [ "http://www.mendeley.com/documents/?uuid=d1eb6fe1-3357-418d-a7b1-ba40dbebcdd0" ] } ], "mendeley" : { "formattedCitation" : "&lt;sup&gt;4&lt;/sup&gt;", "plainTextFormattedCitation" : "4", "previouslyFormattedCitation" : "&lt;sup&gt;4&lt;/sup&gt;"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476EB1" w:rsidRPr="005218B8">
              <w:rPr>
                <w:rFonts w:ascii="Arial" w:hAnsi="Arial" w:cs="Arial"/>
                <w:noProof/>
                <w:sz w:val="18"/>
                <w:szCs w:val="18"/>
                <w:vertAlign w:val="superscript"/>
                <w:lang w:val="en-US"/>
              </w:rPr>
              <w:t>4</w:t>
            </w:r>
            <w:r w:rsidRPr="005218B8">
              <w:rPr>
                <w:rFonts w:ascii="Arial" w:hAnsi="Arial" w:cs="Arial"/>
                <w:sz w:val="18"/>
                <w:szCs w:val="18"/>
                <w:lang w:val="en-US"/>
              </w:rPr>
              <w:fldChar w:fldCharType="end"/>
            </w:r>
            <w:r w:rsidR="00CF137E" w:rsidRPr="005218B8">
              <w:rPr>
                <w:rFonts w:ascii="Arial" w:hAnsi="Arial" w:cs="Arial"/>
                <w:sz w:val="18"/>
                <w:szCs w:val="18"/>
                <w:lang w:val="en-US"/>
              </w:rPr>
              <w:t>, of which:</w:t>
            </w:r>
          </w:p>
        </w:tc>
        <w:tc>
          <w:tcPr>
            <w:tcW w:w="625" w:type="pct"/>
            <w:tcBorders>
              <w:bottom w:val="nil"/>
            </w:tcBorders>
          </w:tcPr>
          <w:p w14:paraId="0B112A3C"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p>
        </w:tc>
        <w:tc>
          <w:tcPr>
            <w:tcW w:w="2406" w:type="pct"/>
            <w:tcBorders>
              <w:bottom w:val="nil"/>
            </w:tcBorders>
          </w:tcPr>
          <w:p w14:paraId="2C8DEFE7"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p>
        </w:tc>
      </w:tr>
      <w:tr w:rsidR="00F9124B" w:rsidRPr="005218B8" w14:paraId="6410E321" w14:textId="77777777" w:rsidTr="00C32FA3">
        <w:tc>
          <w:tcPr>
            <w:tcW w:w="1085" w:type="pct"/>
            <w:tcBorders>
              <w:top w:val="nil"/>
              <w:bottom w:val="nil"/>
            </w:tcBorders>
          </w:tcPr>
          <w:p w14:paraId="1ABC9FC2"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Observation only</w:t>
            </w:r>
          </w:p>
        </w:tc>
        <w:tc>
          <w:tcPr>
            <w:tcW w:w="884" w:type="pct"/>
            <w:tcBorders>
              <w:top w:val="nil"/>
              <w:bottom w:val="nil"/>
            </w:tcBorders>
          </w:tcPr>
          <w:p w14:paraId="514992D8" w14:textId="31131970" w:rsidR="00D90414" w:rsidRPr="005218B8" w:rsidRDefault="00B76EF9" w:rsidP="00B76EF9">
            <w:pPr>
              <w:autoSpaceDE w:val="0"/>
              <w:autoSpaceDN w:val="0"/>
              <w:adjustRightInd w:val="0"/>
              <w:spacing w:line="360" w:lineRule="auto"/>
              <w:rPr>
                <w:rFonts w:ascii="Arial" w:hAnsi="Arial" w:cs="Arial"/>
                <w:sz w:val="18"/>
                <w:szCs w:val="18"/>
                <w:lang w:val="en-US"/>
              </w:rPr>
            </w:pPr>
            <w:r>
              <w:rPr>
                <w:rFonts w:ascii="Arial" w:hAnsi="Arial" w:cs="Arial"/>
                <w:sz w:val="18"/>
                <w:szCs w:val="18"/>
                <w:lang w:val="en-US"/>
              </w:rPr>
              <w:t xml:space="preserve"> </w:t>
            </w:r>
            <w:r w:rsidR="00D90414" w:rsidRPr="005218B8">
              <w:rPr>
                <w:rFonts w:ascii="Arial" w:hAnsi="Arial" w:cs="Arial"/>
                <w:sz w:val="18"/>
                <w:szCs w:val="18"/>
                <w:lang w:val="en-US"/>
              </w:rPr>
              <w:t>13.33%</w:t>
            </w:r>
            <w:r w:rsidR="00D90414" w:rsidRPr="005218B8">
              <w:rPr>
                <w:rFonts w:ascii="Arial" w:hAnsi="Arial" w:cs="Arial"/>
                <w:sz w:val="18"/>
                <w:szCs w:val="18"/>
                <w:lang w:val="en-US"/>
              </w:rPr>
              <w:fldChar w:fldCharType="begin" w:fldLock="1"/>
            </w:r>
            <w:r w:rsidR="00476EB1" w:rsidRPr="005218B8">
              <w:rPr>
                <w:rFonts w:ascii="Arial" w:hAnsi="Arial" w:cs="Arial"/>
                <w:sz w:val="18"/>
                <w:szCs w:val="18"/>
                <w:lang w:val="en-US"/>
              </w:rPr>
              <w:instrText>ADDIN CSL_CITATION { "citationItems" : [ { "id" : "ITEM-1", "itemData" : { "author" : [ { "dropping-particle" : "", "family" : "European Medicines Agency (EMEA)", "given" : "", "non-dropping-particle" : "", "parse-names" : false, "suffix" : "" } ], "id" : "ITEM-1", "issued" : { "date-parts" : [ [ "2013" ] ] }, "title" : "European public assessment report Lemtrada (alemtuzumab). EMA/563018/2013.", "type" : "report" }, "uris" : [ "http://www.mendeley.com/documents/?uuid=d1eb6fe1-3357-418d-a7b1-ba40dbebcdd0" ] } ], "mendeley" : { "formattedCitation" : "&lt;sup&gt;4&lt;/sup&gt;", "plainTextFormattedCitation" : "4", "previouslyFormattedCitation" : "&lt;sup&gt;4&lt;/sup&gt;"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476EB1" w:rsidRPr="005218B8">
              <w:rPr>
                <w:rFonts w:ascii="Arial" w:hAnsi="Arial" w:cs="Arial"/>
                <w:noProof/>
                <w:sz w:val="18"/>
                <w:szCs w:val="18"/>
                <w:vertAlign w:val="superscript"/>
                <w:lang w:val="en-US"/>
              </w:rPr>
              <w:t>4</w:t>
            </w:r>
            <w:r w:rsidR="00D90414" w:rsidRPr="005218B8">
              <w:rPr>
                <w:rFonts w:ascii="Arial" w:hAnsi="Arial" w:cs="Arial"/>
                <w:sz w:val="18"/>
                <w:szCs w:val="18"/>
                <w:lang w:val="en-US"/>
              </w:rPr>
              <w:fldChar w:fldCharType="end"/>
            </w:r>
          </w:p>
        </w:tc>
        <w:tc>
          <w:tcPr>
            <w:tcW w:w="625" w:type="pct"/>
            <w:tcBorders>
              <w:top w:val="nil"/>
              <w:bottom w:val="nil"/>
            </w:tcBorders>
          </w:tcPr>
          <w:p w14:paraId="0E93393F"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1,111.12</w:t>
            </w:r>
          </w:p>
        </w:tc>
        <w:tc>
          <w:tcPr>
            <w:tcW w:w="2406" w:type="pct"/>
            <w:tcBorders>
              <w:top w:val="nil"/>
              <w:bottom w:val="nil"/>
            </w:tcBorders>
          </w:tcPr>
          <w:p w14:paraId="4107D205" w14:textId="290C3FFF" w:rsidR="00D90414" w:rsidRPr="005218B8" w:rsidRDefault="00CF137E"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Two</w:t>
            </w:r>
            <w:r w:rsidR="00D90414" w:rsidRPr="005218B8">
              <w:rPr>
                <w:rFonts w:ascii="Arial" w:hAnsi="Arial" w:cs="Arial"/>
                <w:sz w:val="18"/>
                <w:szCs w:val="18"/>
                <w:lang w:val="en-US"/>
              </w:rPr>
              <w:t xml:space="preserve"> hospital days</w:t>
            </w:r>
            <w:r w:rsidR="00D90414"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"Nederlandse Vereniging voor Hematologie", "given" : "", "non-dropping-particle" : "", "parse-names" : false, "suffix" : "" } ], "container-title" : "2013", "id" : "ITEM-1", "issued" : { "date-parts" : [ [ "0" ] ] }, "title" : "Richtlijn ITP", "type" : "article-journal" }, "uris" : [ "http://www.mendeley.com/documents/?uuid=3519874d-442c-418c-8b39-736ca8b75d62" ] } ], "mendeley" : { "formattedCitation" : "&lt;sup&gt;11&lt;/sup&gt;", "plainTextFormattedCitation" : "11", "previouslyFormattedCitation" : "&lt;sup&gt;11&lt;/sup&gt;"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11</w:t>
            </w:r>
            <w:r w:rsidR="00D90414" w:rsidRPr="005218B8">
              <w:rPr>
                <w:rFonts w:ascii="Arial" w:hAnsi="Arial" w:cs="Arial"/>
                <w:sz w:val="18"/>
                <w:szCs w:val="18"/>
                <w:lang w:val="en-US"/>
              </w:rPr>
              <w:fldChar w:fldCharType="end"/>
            </w:r>
          </w:p>
        </w:tc>
      </w:tr>
      <w:tr w:rsidR="00F9124B" w:rsidRPr="00FB5DEF" w14:paraId="2E21F6D8" w14:textId="77777777" w:rsidTr="00C32FA3">
        <w:tc>
          <w:tcPr>
            <w:tcW w:w="1085" w:type="pct"/>
            <w:tcBorders>
              <w:top w:val="nil"/>
              <w:bottom w:val="nil"/>
            </w:tcBorders>
          </w:tcPr>
          <w:p w14:paraId="76E6569B"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Steroids only</w:t>
            </w:r>
          </w:p>
        </w:tc>
        <w:tc>
          <w:tcPr>
            <w:tcW w:w="884" w:type="pct"/>
            <w:tcBorders>
              <w:top w:val="nil"/>
              <w:bottom w:val="nil"/>
            </w:tcBorders>
          </w:tcPr>
          <w:p w14:paraId="7D956E8B" w14:textId="22D62FE8" w:rsidR="00D90414" w:rsidRPr="005218B8" w:rsidRDefault="00CF137E" w:rsidP="00B76EF9">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xml:space="preserve"> </w:t>
            </w:r>
            <w:r w:rsidR="00D90414" w:rsidRPr="005218B8">
              <w:rPr>
                <w:rFonts w:ascii="Arial" w:hAnsi="Arial" w:cs="Arial"/>
                <w:sz w:val="18"/>
                <w:szCs w:val="18"/>
                <w:lang w:val="en-US"/>
              </w:rPr>
              <w:t>46.67%</w:t>
            </w:r>
            <w:r w:rsidR="00D90414" w:rsidRPr="005218B8">
              <w:rPr>
                <w:rFonts w:ascii="Arial" w:hAnsi="Arial" w:cs="Arial"/>
                <w:sz w:val="18"/>
                <w:szCs w:val="18"/>
                <w:lang w:val="en-US"/>
              </w:rPr>
              <w:fldChar w:fldCharType="begin" w:fldLock="1"/>
            </w:r>
            <w:r w:rsidR="00476EB1" w:rsidRPr="005218B8">
              <w:rPr>
                <w:rFonts w:ascii="Arial" w:hAnsi="Arial" w:cs="Arial"/>
                <w:sz w:val="18"/>
                <w:szCs w:val="18"/>
                <w:lang w:val="en-US"/>
              </w:rPr>
              <w:instrText>ADDIN CSL_CITATION { "citationItems" : [ { "id" : "ITEM-1", "itemData" : { "author" : [ { "dropping-particle" : "", "family" : "European Medicines Agency (EMEA)", "given" : "", "non-dropping-particle" : "", "parse-names" : false, "suffix" : "" } ], "id" : "ITEM-1", "issued" : { "date-parts" : [ [ "2013" ] ] }, "title" : "European public assessment report Lemtrada (alemtuzumab). EMA/563018/2013.", "type" : "report" }, "uris" : [ "http://www.mendeley.com/documents/?uuid=d1eb6fe1-3357-418d-a7b1-ba40dbebcdd0" ] } ], "mendeley" : { "formattedCitation" : "&lt;sup&gt;4&lt;/sup&gt;", "plainTextFormattedCitation" : "4", "previouslyFormattedCitation" : "&lt;sup&gt;4&lt;/sup&gt;"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476EB1" w:rsidRPr="005218B8">
              <w:rPr>
                <w:rFonts w:ascii="Arial" w:hAnsi="Arial" w:cs="Arial"/>
                <w:noProof/>
                <w:sz w:val="18"/>
                <w:szCs w:val="18"/>
                <w:vertAlign w:val="superscript"/>
                <w:lang w:val="en-US"/>
              </w:rPr>
              <w:t>4</w:t>
            </w:r>
            <w:r w:rsidR="00D90414" w:rsidRPr="005218B8">
              <w:rPr>
                <w:rFonts w:ascii="Arial" w:hAnsi="Arial" w:cs="Arial"/>
                <w:sz w:val="18"/>
                <w:szCs w:val="18"/>
                <w:lang w:val="en-US"/>
              </w:rPr>
              <w:fldChar w:fldCharType="end"/>
            </w:r>
          </w:p>
        </w:tc>
        <w:tc>
          <w:tcPr>
            <w:tcW w:w="625" w:type="pct"/>
            <w:tcBorders>
              <w:top w:val="nil"/>
              <w:bottom w:val="nil"/>
            </w:tcBorders>
          </w:tcPr>
          <w:p w14:paraId="68BEBC9C"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1,149.88</w:t>
            </w:r>
          </w:p>
        </w:tc>
        <w:tc>
          <w:tcPr>
            <w:tcW w:w="2406" w:type="pct"/>
            <w:tcBorders>
              <w:top w:val="nil"/>
              <w:bottom w:val="nil"/>
            </w:tcBorders>
          </w:tcPr>
          <w:p w14:paraId="78569F16" w14:textId="41AC8DF8" w:rsidR="00D90414" w:rsidRPr="005218B8" w:rsidRDefault="00CF137E"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T</w:t>
            </w:r>
            <w:r w:rsidR="00D90414" w:rsidRPr="005218B8">
              <w:rPr>
                <w:rFonts w:ascii="Arial" w:hAnsi="Arial" w:cs="Arial"/>
                <w:sz w:val="18"/>
                <w:szCs w:val="18"/>
                <w:lang w:val="en-US"/>
              </w:rPr>
              <w:t>wo days and treatment with IV methylprednisolone</w:t>
            </w:r>
            <w:r w:rsidR="00D90414"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"Nederlandse Vereniging voor Hematologie", "given" : "", "non-dropping-particle" : "", "parse-names" : false, "suffix" : "" } ], "container-title" : "2013", "id" : "ITEM-1", "issued" : { "date-parts" : [ [ "0" ] ] }, "title" : "Richtlijn ITP", "type" : "article-journal" }, "uris" : [ "http://www.mendeley.com/documents/?uuid=3519874d-442c-418c-8b39-736ca8b75d62" ] } ], "mendeley" : { "formattedCitation" : "&lt;sup&gt;11&lt;/sup&gt;", "plainTextFormattedCitation" : "11", "previouslyFormattedCitation" : "&lt;sup&gt;11&lt;/sup&gt;"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11</w:t>
            </w:r>
            <w:r w:rsidR="00D90414" w:rsidRPr="005218B8">
              <w:rPr>
                <w:rFonts w:ascii="Arial" w:hAnsi="Arial" w:cs="Arial"/>
                <w:sz w:val="18"/>
                <w:szCs w:val="18"/>
                <w:lang w:val="en-US"/>
              </w:rPr>
              <w:fldChar w:fldCharType="end"/>
            </w:r>
          </w:p>
        </w:tc>
      </w:tr>
      <w:tr w:rsidR="00F9124B" w:rsidRPr="00FB5DEF" w14:paraId="3F777C70" w14:textId="77777777" w:rsidTr="00C32FA3">
        <w:tc>
          <w:tcPr>
            <w:tcW w:w="1085" w:type="pct"/>
            <w:tcBorders>
              <w:top w:val="nil"/>
              <w:bottom w:val="nil"/>
            </w:tcBorders>
          </w:tcPr>
          <w:p w14:paraId="68078D04"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Steroids and immunoglobulin</w:t>
            </w:r>
          </w:p>
        </w:tc>
        <w:tc>
          <w:tcPr>
            <w:tcW w:w="884" w:type="pct"/>
            <w:tcBorders>
              <w:top w:val="nil"/>
              <w:bottom w:val="nil"/>
            </w:tcBorders>
          </w:tcPr>
          <w:p w14:paraId="04B9B669" w14:textId="47A7770A" w:rsidR="00D90414" w:rsidRPr="005218B8" w:rsidRDefault="00CF137E" w:rsidP="00B76EF9">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xml:space="preserve"> </w:t>
            </w:r>
            <w:r w:rsidR="00D90414" w:rsidRPr="005218B8">
              <w:rPr>
                <w:rFonts w:ascii="Arial" w:hAnsi="Arial" w:cs="Arial"/>
                <w:sz w:val="18"/>
                <w:szCs w:val="18"/>
                <w:lang w:val="en-US"/>
              </w:rPr>
              <w:t>13.33%</w:t>
            </w:r>
            <w:r w:rsidR="00D90414" w:rsidRPr="005218B8">
              <w:rPr>
                <w:rFonts w:ascii="Arial" w:hAnsi="Arial" w:cs="Arial"/>
                <w:sz w:val="18"/>
                <w:szCs w:val="18"/>
                <w:lang w:val="en-US"/>
              </w:rPr>
              <w:fldChar w:fldCharType="begin" w:fldLock="1"/>
            </w:r>
            <w:r w:rsidR="00476EB1" w:rsidRPr="005218B8">
              <w:rPr>
                <w:rFonts w:ascii="Arial" w:hAnsi="Arial" w:cs="Arial"/>
                <w:sz w:val="18"/>
                <w:szCs w:val="18"/>
                <w:lang w:val="en-US"/>
              </w:rPr>
              <w:instrText>ADDIN CSL_CITATION { "citationItems" : [ { "id" : "ITEM-1", "itemData" : { "author" : [ { "dropping-particle" : "", "family" : "European Medicines Agency (EMEA)", "given" : "", "non-dropping-particle" : "", "parse-names" : false, "suffix" : "" } ], "id" : "ITEM-1", "issued" : { "date-parts" : [ [ "2013" ] ] }, "title" : "European public assessment report Lemtrada (alemtuzumab). EMA/563018/2013.", "type" : "report" }, "uris" : [ "http://www.mendeley.com/documents/?uuid=d1eb6fe1-3357-418d-a7b1-ba40dbebcdd0" ] } ], "mendeley" : { "formattedCitation" : "&lt;sup&gt;4&lt;/sup&gt;", "plainTextFormattedCitation" : "4", "previouslyFormattedCitation" : "&lt;sup&gt;4&lt;/sup&gt;"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476EB1" w:rsidRPr="005218B8">
              <w:rPr>
                <w:rFonts w:ascii="Arial" w:hAnsi="Arial" w:cs="Arial"/>
                <w:noProof/>
                <w:sz w:val="18"/>
                <w:szCs w:val="18"/>
                <w:vertAlign w:val="superscript"/>
                <w:lang w:val="en-US"/>
              </w:rPr>
              <w:t>4</w:t>
            </w:r>
            <w:r w:rsidR="00D90414" w:rsidRPr="005218B8">
              <w:rPr>
                <w:rFonts w:ascii="Arial" w:hAnsi="Arial" w:cs="Arial"/>
                <w:sz w:val="18"/>
                <w:szCs w:val="18"/>
                <w:lang w:val="en-US"/>
              </w:rPr>
              <w:fldChar w:fldCharType="end"/>
            </w:r>
          </w:p>
        </w:tc>
        <w:tc>
          <w:tcPr>
            <w:tcW w:w="625" w:type="pct"/>
            <w:tcBorders>
              <w:top w:val="nil"/>
              <w:bottom w:val="nil"/>
            </w:tcBorders>
          </w:tcPr>
          <w:p w14:paraId="63979975"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8,426.20</w:t>
            </w:r>
          </w:p>
        </w:tc>
        <w:tc>
          <w:tcPr>
            <w:tcW w:w="2406" w:type="pct"/>
            <w:tcBorders>
              <w:top w:val="nil"/>
              <w:bottom w:val="nil"/>
            </w:tcBorders>
          </w:tcPr>
          <w:p w14:paraId="49E70A00" w14:textId="604A46AA" w:rsidR="00D90414" w:rsidRPr="005218B8" w:rsidRDefault="00CF137E"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Two</w:t>
            </w:r>
            <w:r w:rsidR="00D90414" w:rsidRPr="005218B8">
              <w:rPr>
                <w:rFonts w:ascii="Arial" w:hAnsi="Arial" w:cs="Arial"/>
                <w:sz w:val="18"/>
                <w:szCs w:val="18"/>
                <w:lang w:val="en-US"/>
              </w:rPr>
              <w:t xml:space="preserve"> hospital days and treatment with IV methylprednisolone and immunoglobulin</w:t>
            </w:r>
            <w:r w:rsidR="00D90414"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"Nederlandse Vereniging voor Hematologie", "given" : "", "non-dropping-particle" : "", "parse-names" : false, "suffix" : "" } ], "container-title" : "2013", "id" : "ITEM-1", "issued" : { "date-parts" : [ [ "0" ] ] }, "title" : "Richtlijn ITP", "type" : "article-journal" }, "uris" : [ "http://www.mendeley.com/documents/?uuid=3519874d-442c-418c-8b39-736ca8b75d62" ] } ], "mendeley" : { "formattedCitation" : "&lt;sup&gt;11&lt;/sup&gt;", "plainTextFormattedCitation" : "11", "previouslyFormattedCitation" : "&lt;sup&gt;11&lt;/sup&gt;"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11</w:t>
            </w:r>
            <w:r w:rsidR="00D90414" w:rsidRPr="005218B8">
              <w:rPr>
                <w:rFonts w:ascii="Arial" w:hAnsi="Arial" w:cs="Arial"/>
                <w:sz w:val="18"/>
                <w:szCs w:val="18"/>
                <w:lang w:val="en-US"/>
              </w:rPr>
              <w:fldChar w:fldCharType="end"/>
            </w:r>
          </w:p>
        </w:tc>
      </w:tr>
      <w:tr w:rsidR="00F9124B" w:rsidRPr="00FB5DEF" w14:paraId="643F964C" w14:textId="77777777" w:rsidTr="00C32FA3">
        <w:tc>
          <w:tcPr>
            <w:tcW w:w="1085" w:type="pct"/>
            <w:tcBorders>
              <w:top w:val="nil"/>
              <w:bottom w:val="nil"/>
            </w:tcBorders>
          </w:tcPr>
          <w:p w14:paraId="65EDB7BE" w14:textId="273ED8CD" w:rsidR="00D90414" w:rsidRPr="005218B8" w:rsidRDefault="00D90414" w:rsidP="0020206A">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Steroids and ritu</w:t>
            </w:r>
            <w:r w:rsidR="0020206A" w:rsidRPr="005218B8">
              <w:rPr>
                <w:rFonts w:ascii="Arial" w:hAnsi="Arial" w:cs="Arial"/>
                <w:sz w:val="18"/>
                <w:szCs w:val="18"/>
                <w:lang w:val="en-US"/>
              </w:rPr>
              <w:t>xi</w:t>
            </w:r>
            <w:r w:rsidRPr="005218B8">
              <w:rPr>
                <w:rFonts w:ascii="Arial" w:hAnsi="Arial" w:cs="Arial"/>
                <w:sz w:val="18"/>
                <w:szCs w:val="18"/>
                <w:lang w:val="en-US"/>
              </w:rPr>
              <w:t>mab ±immunoglobulin</w:t>
            </w:r>
          </w:p>
        </w:tc>
        <w:tc>
          <w:tcPr>
            <w:tcW w:w="884" w:type="pct"/>
            <w:tcBorders>
              <w:top w:val="nil"/>
              <w:bottom w:val="nil"/>
            </w:tcBorders>
          </w:tcPr>
          <w:p w14:paraId="6BAED2CE" w14:textId="2EE3CB8D" w:rsidR="00D90414" w:rsidRPr="005218B8" w:rsidRDefault="00CF137E" w:rsidP="00B76EF9">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xml:space="preserve"> </w:t>
            </w:r>
            <w:r w:rsidR="00D90414" w:rsidRPr="005218B8">
              <w:rPr>
                <w:rFonts w:ascii="Arial" w:hAnsi="Arial" w:cs="Arial"/>
                <w:sz w:val="18"/>
                <w:szCs w:val="18"/>
                <w:lang w:val="en-US"/>
              </w:rPr>
              <w:t>20.00%</w:t>
            </w:r>
            <w:r w:rsidR="00D90414" w:rsidRPr="005218B8">
              <w:rPr>
                <w:rFonts w:ascii="Arial" w:hAnsi="Arial" w:cs="Arial"/>
                <w:sz w:val="18"/>
                <w:szCs w:val="18"/>
                <w:lang w:val="en-US"/>
              </w:rPr>
              <w:fldChar w:fldCharType="begin" w:fldLock="1"/>
            </w:r>
            <w:r w:rsidR="00476EB1" w:rsidRPr="005218B8">
              <w:rPr>
                <w:rFonts w:ascii="Arial" w:hAnsi="Arial" w:cs="Arial"/>
                <w:sz w:val="18"/>
                <w:szCs w:val="18"/>
                <w:lang w:val="en-US"/>
              </w:rPr>
              <w:instrText>ADDIN CSL_CITATION { "citationItems" : [ { "id" : "ITEM-1", "itemData" : { "author" : [ { "dropping-particle" : "", "family" : "European Medicines Agency (EMEA)", "given" : "", "non-dropping-particle" : "", "parse-names" : false, "suffix" : "" } ], "id" : "ITEM-1", "issued" : { "date-parts" : [ [ "2013" ] ] }, "title" : "European public assessment report Lemtrada (alemtuzumab). EMA/563018/2013.", "type" : "report" }, "uris" : [ "http://www.mendeley.com/documents/?uuid=d1eb6fe1-3357-418d-a7b1-ba40dbebcdd0" ] } ], "mendeley" : { "formattedCitation" : "&lt;sup&gt;4&lt;/sup&gt;", "plainTextFormattedCitation" : "4", "previouslyFormattedCitation" : "&lt;sup&gt;4&lt;/sup&gt;"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476EB1" w:rsidRPr="005218B8">
              <w:rPr>
                <w:rFonts w:ascii="Arial" w:hAnsi="Arial" w:cs="Arial"/>
                <w:noProof/>
                <w:sz w:val="18"/>
                <w:szCs w:val="18"/>
                <w:vertAlign w:val="superscript"/>
                <w:lang w:val="en-US"/>
              </w:rPr>
              <w:t>4</w:t>
            </w:r>
            <w:r w:rsidR="00D90414" w:rsidRPr="005218B8">
              <w:rPr>
                <w:rFonts w:ascii="Arial" w:hAnsi="Arial" w:cs="Arial"/>
                <w:sz w:val="18"/>
                <w:szCs w:val="18"/>
                <w:lang w:val="en-US"/>
              </w:rPr>
              <w:fldChar w:fldCharType="end"/>
            </w:r>
          </w:p>
        </w:tc>
        <w:tc>
          <w:tcPr>
            <w:tcW w:w="625" w:type="pct"/>
            <w:tcBorders>
              <w:top w:val="nil"/>
              <w:bottom w:val="nil"/>
            </w:tcBorders>
          </w:tcPr>
          <w:p w14:paraId="2CDA206C"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10,055.11</w:t>
            </w:r>
          </w:p>
        </w:tc>
        <w:tc>
          <w:tcPr>
            <w:tcW w:w="2406" w:type="pct"/>
            <w:tcBorders>
              <w:top w:val="nil"/>
              <w:bottom w:val="nil"/>
            </w:tcBorders>
          </w:tcPr>
          <w:p w14:paraId="471AA52D" w14:textId="36D21FD2" w:rsidR="00D90414" w:rsidRPr="005218B8" w:rsidRDefault="00CF137E"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Two hospital</w:t>
            </w:r>
            <w:r w:rsidR="00D90414" w:rsidRPr="005218B8">
              <w:rPr>
                <w:rFonts w:ascii="Arial" w:hAnsi="Arial" w:cs="Arial"/>
                <w:sz w:val="18"/>
                <w:szCs w:val="18"/>
                <w:lang w:val="en-US"/>
              </w:rPr>
              <w:t xml:space="preserve"> days and treatment with IV methylprednisolone, treatment with immunoglobulin and rituximab</w:t>
            </w:r>
            <w:r w:rsidR="00D90414"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"Nederlandse Vereniging voor Hematologie", "given" : "", "non-dropping-particle" : "", "parse-names" : false, "suffix" : "" } ], "container-title" : "2013", "id" : "ITEM-1", "issued" : { "date-parts" : [ [ "0" ] ] }, "title" : "Richtlijn ITP", "type" : "article-journal" }, "uris" : [ "http://www.mendeley.com/documents/?uuid=3519874d-442c-418c-8b39-736ca8b75d62" ] } ], "mendeley" : { "formattedCitation" : "&lt;sup&gt;11&lt;/sup&gt;", "plainTextFormattedCitation" : "11", "previouslyFormattedCitation" : "&lt;sup&gt;11&lt;/sup&gt;"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11</w:t>
            </w:r>
            <w:r w:rsidR="00D90414" w:rsidRPr="005218B8">
              <w:rPr>
                <w:rFonts w:ascii="Arial" w:hAnsi="Arial" w:cs="Arial"/>
                <w:sz w:val="18"/>
                <w:szCs w:val="18"/>
                <w:lang w:val="en-US"/>
              </w:rPr>
              <w:fldChar w:fldCharType="end"/>
            </w:r>
          </w:p>
        </w:tc>
      </w:tr>
      <w:tr w:rsidR="00F9124B" w:rsidRPr="00FB5DEF" w14:paraId="4174F312" w14:textId="77777777" w:rsidTr="00C32FA3">
        <w:tc>
          <w:tcPr>
            <w:tcW w:w="1085" w:type="pct"/>
            <w:tcBorders>
              <w:top w:val="nil"/>
              <w:bottom w:val="nil"/>
            </w:tcBorders>
          </w:tcPr>
          <w:p w14:paraId="7675D179"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Steroids and splenectomy</w:t>
            </w:r>
          </w:p>
        </w:tc>
        <w:tc>
          <w:tcPr>
            <w:tcW w:w="884" w:type="pct"/>
            <w:tcBorders>
              <w:top w:val="nil"/>
              <w:bottom w:val="nil"/>
            </w:tcBorders>
          </w:tcPr>
          <w:p w14:paraId="20F2166E" w14:textId="700F973D" w:rsidR="00D90414" w:rsidRPr="005218B8" w:rsidRDefault="00CF137E" w:rsidP="00B76EF9">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xml:space="preserve"> </w:t>
            </w:r>
            <w:r w:rsidR="00D90414" w:rsidRPr="005218B8">
              <w:rPr>
                <w:rFonts w:ascii="Arial" w:hAnsi="Arial" w:cs="Arial"/>
                <w:sz w:val="18"/>
                <w:szCs w:val="18"/>
                <w:lang w:val="en-US"/>
              </w:rPr>
              <w:t>6.67%</w:t>
            </w:r>
            <w:r w:rsidR="00D90414" w:rsidRPr="005218B8">
              <w:rPr>
                <w:rFonts w:ascii="Arial" w:hAnsi="Arial" w:cs="Arial"/>
                <w:sz w:val="18"/>
                <w:szCs w:val="18"/>
                <w:lang w:val="en-US"/>
              </w:rPr>
              <w:fldChar w:fldCharType="begin" w:fldLock="1"/>
            </w:r>
            <w:r w:rsidR="00476EB1" w:rsidRPr="005218B8">
              <w:rPr>
                <w:rFonts w:ascii="Arial" w:hAnsi="Arial" w:cs="Arial"/>
                <w:sz w:val="18"/>
                <w:szCs w:val="18"/>
                <w:lang w:val="en-US"/>
              </w:rPr>
              <w:instrText>ADDIN CSL_CITATION { "citationItems" : [ { "id" : "ITEM-1", "itemData" : { "author" : [ { "dropping-particle" : "", "family" : "European Medicines Agency (EMEA)", "given" : "", "non-dropping-particle" : "", "parse-names" : false, "suffix" : "" } ], "id" : "ITEM-1", "issued" : { "date-parts" : [ [ "2013" ] ] }, "title" : "European public assessment report Lemtrada (alemtuzumab). EMA/563018/2013.", "type" : "report" }, "uris" : [ "http://www.mendeley.com/documents/?uuid=d1eb6fe1-3357-418d-a7b1-ba40dbebcdd0" ] } ], "mendeley" : { "formattedCitation" : "&lt;sup&gt;4&lt;/sup&gt;", "plainTextFormattedCitation" : "4", "previouslyFormattedCitation" : "&lt;sup&gt;4&lt;/sup&gt;"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476EB1" w:rsidRPr="005218B8">
              <w:rPr>
                <w:rFonts w:ascii="Arial" w:hAnsi="Arial" w:cs="Arial"/>
                <w:noProof/>
                <w:sz w:val="18"/>
                <w:szCs w:val="18"/>
                <w:vertAlign w:val="superscript"/>
                <w:lang w:val="en-US"/>
              </w:rPr>
              <w:t>4</w:t>
            </w:r>
            <w:r w:rsidR="00D90414" w:rsidRPr="005218B8">
              <w:rPr>
                <w:rFonts w:ascii="Arial" w:hAnsi="Arial" w:cs="Arial"/>
                <w:sz w:val="18"/>
                <w:szCs w:val="18"/>
                <w:lang w:val="en-US"/>
              </w:rPr>
              <w:fldChar w:fldCharType="end"/>
            </w:r>
          </w:p>
        </w:tc>
        <w:tc>
          <w:tcPr>
            <w:tcW w:w="625" w:type="pct"/>
            <w:tcBorders>
              <w:top w:val="nil"/>
              <w:bottom w:val="nil"/>
            </w:tcBorders>
          </w:tcPr>
          <w:p w14:paraId="02533D07"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2,672.76</w:t>
            </w:r>
          </w:p>
        </w:tc>
        <w:tc>
          <w:tcPr>
            <w:tcW w:w="2406" w:type="pct"/>
            <w:tcBorders>
              <w:top w:val="nil"/>
              <w:bottom w:val="nil"/>
            </w:tcBorders>
          </w:tcPr>
          <w:p w14:paraId="4E58D876" w14:textId="20CBB40E"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Treatment with IV methylprednisolone and operation of 1.5 h</w:t>
            </w:r>
            <w:r w:rsidR="002C4206" w:rsidRPr="005218B8">
              <w:rPr>
                <w:rFonts w:ascii="Arial" w:hAnsi="Arial" w:cs="Arial"/>
                <w:sz w:val="18"/>
                <w:szCs w:val="18"/>
                <w:lang w:val="en-US"/>
              </w:rPr>
              <w:t>ou</w:t>
            </w:r>
            <w:r w:rsidRPr="005218B8">
              <w:rPr>
                <w:rFonts w:ascii="Arial" w:hAnsi="Arial" w:cs="Arial"/>
                <w:sz w:val="18"/>
                <w:szCs w:val="18"/>
                <w:lang w:val="en-US"/>
              </w:rPr>
              <w:t>rs, and 2 days of stay after laparoscopic splenectomy</w:t>
            </w:r>
            <w:r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"Nederlandse Vereniging voor Hematologie", "given" : "", "non-dropping-particle" : "", "parse-names" : false, "suffix" : "" } ], "container-title" : "2013", "id" : "ITEM-1", "issued" : { "date-parts" : [ [ "0" ] ] }, "title" : "Richtlijn ITP", "type" : "article-journal" }, "uris" : [ "http://www.mendeley.com/documents/?uuid=3519874d-442c-418c-8b39-736ca8b75d62" ] } ], "mendeley" : { "formattedCitation" : "&lt;sup&gt;11&lt;/sup&gt;", "plainTextFormattedCitation" : "11", "previouslyFormattedCitation" : "&lt;sup&gt;11&lt;/sup&gt;"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11</w:t>
            </w:r>
            <w:r w:rsidRPr="005218B8">
              <w:rPr>
                <w:rFonts w:ascii="Arial" w:hAnsi="Arial" w:cs="Arial"/>
                <w:sz w:val="18"/>
                <w:szCs w:val="18"/>
                <w:lang w:val="en-US"/>
              </w:rPr>
              <w:fldChar w:fldCharType="end"/>
            </w:r>
          </w:p>
        </w:tc>
      </w:tr>
      <w:tr w:rsidR="00F9124B" w:rsidRPr="00FB5DEF" w14:paraId="4D673DE1" w14:textId="77777777" w:rsidTr="00C32FA3">
        <w:tc>
          <w:tcPr>
            <w:tcW w:w="1085" w:type="pct"/>
            <w:tcBorders>
              <w:top w:val="nil"/>
            </w:tcBorders>
          </w:tcPr>
          <w:p w14:paraId="3E9DDFF7"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Good pasture’s syndrome</w:t>
            </w:r>
          </w:p>
        </w:tc>
        <w:tc>
          <w:tcPr>
            <w:tcW w:w="884" w:type="pct"/>
            <w:tcBorders>
              <w:top w:val="nil"/>
            </w:tcBorders>
          </w:tcPr>
          <w:p w14:paraId="49A5EC2F" w14:textId="27053565" w:rsidR="00D90414" w:rsidRPr="005218B8" w:rsidRDefault="00CF137E" w:rsidP="00B76EF9">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xml:space="preserve"> </w:t>
            </w:r>
            <w:r w:rsidR="00D90414" w:rsidRPr="005218B8">
              <w:rPr>
                <w:rFonts w:ascii="Arial" w:hAnsi="Arial" w:cs="Arial"/>
                <w:sz w:val="18"/>
                <w:szCs w:val="18"/>
                <w:lang w:val="en-US"/>
              </w:rPr>
              <w:t>0.000</w:t>
            </w:r>
            <w:r w:rsidR="00DC67A6">
              <w:rPr>
                <w:rFonts w:ascii="Arial" w:hAnsi="Arial" w:cs="Arial"/>
                <w:sz w:val="18"/>
                <w:szCs w:val="18"/>
                <w:lang w:val="en-US"/>
              </w:rPr>
              <w:t>1</w:t>
            </w:r>
            <w:r w:rsidR="00D90414" w:rsidRPr="005218B8">
              <w:rPr>
                <w:rFonts w:ascii="Arial" w:hAnsi="Arial" w:cs="Arial"/>
                <w:sz w:val="18"/>
                <w:szCs w:val="18"/>
                <w:lang w:val="en-US"/>
              </w:rPr>
              <w:t>%</w:t>
            </w:r>
            <w:r w:rsidR="00D90414" w:rsidRPr="005218B8">
              <w:rPr>
                <w:rFonts w:ascii="Arial" w:hAnsi="Arial" w:cs="Arial"/>
                <w:sz w:val="18"/>
                <w:szCs w:val="18"/>
                <w:lang w:val="en-US"/>
              </w:rPr>
              <w:fldChar w:fldCharType="begin" w:fldLock="1"/>
            </w:r>
            <w:r w:rsidR="00476EB1" w:rsidRPr="005218B8">
              <w:rPr>
                <w:rFonts w:ascii="Arial" w:hAnsi="Arial" w:cs="Arial"/>
                <w:sz w:val="18"/>
                <w:szCs w:val="18"/>
                <w:lang w:val="en-US"/>
              </w:rPr>
              <w:instrText>ADDIN CSL_CITATION { "citationItems" : [ { "id" : "ITEM-1", "itemData" : { "author" : [ { "dropping-particle" : "", "family" : "European Medicines Agency (EMEA)", "given" : "", "non-dropping-particle" : "", "parse-names" : false, "suffix" : "" } ], "id" : "ITEM-1", "issued" : { "date-parts" : [ [ "2013" ] ] }, "title" : "European public assessment report Lemtrada (alemtuzumab). EMA/563018/2013.", "type" : "report" }, "uris" : [ "http://www.mendeley.com/documents/?uuid=d1eb6fe1-3357-418d-a7b1-ba40dbebcdd0" ] } ], "mendeley" : { "formattedCitation" : "&lt;sup&gt;4&lt;/sup&gt;", "plainTextFormattedCitation" : "4", "previouslyFormattedCitation" : "&lt;sup&gt;4&lt;/sup&gt;"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476EB1" w:rsidRPr="005218B8">
              <w:rPr>
                <w:rFonts w:ascii="Arial" w:hAnsi="Arial" w:cs="Arial"/>
                <w:noProof/>
                <w:sz w:val="18"/>
                <w:szCs w:val="18"/>
                <w:vertAlign w:val="superscript"/>
                <w:lang w:val="en-US"/>
              </w:rPr>
              <w:t>4</w:t>
            </w:r>
            <w:r w:rsidR="00D90414" w:rsidRPr="005218B8">
              <w:rPr>
                <w:rFonts w:ascii="Arial" w:hAnsi="Arial" w:cs="Arial"/>
                <w:sz w:val="18"/>
                <w:szCs w:val="18"/>
                <w:lang w:val="en-US"/>
              </w:rPr>
              <w:fldChar w:fldCharType="end"/>
            </w:r>
          </w:p>
        </w:tc>
        <w:tc>
          <w:tcPr>
            <w:tcW w:w="625" w:type="pct"/>
            <w:tcBorders>
              <w:top w:val="nil"/>
            </w:tcBorders>
          </w:tcPr>
          <w:p w14:paraId="7D629EA9"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7,827.28</w:t>
            </w:r>
          </w:p>
        </w:tc>
        <w:tc>
          <w:tcPr>
            <w:tcW w:w="2406" w:type="pct"/>
            <w:tcBorders>
              <w:top w:val="nil"/>
            </w:tcBorders>
          </w:tcPr>
          <w:p w14:paraId="4B6DC68F"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xml:space="preserve">Plasmapheresis, treatment with prednisone, methylprednisolone, combined with cyclophosphamide or azathioprine </w:t>
            </w:r>
          </w:p>
        </w:tc>
      </w:tr>
      <w:tr w:rsidR="00F9124B" w:rsidRPr="005218B8" w14:paraId="35D952E9" w14:textId="77777777" w:rsidTr="00C32FA3">
        <w:tc>
          <w:tcPr>
            <w:tcW w:w="1085" w:type="pct"/>
          </w:tcPr>
          <w:p w14:paraId="0CBDCA17" w14:textId="77777777" w:rsidR="00D90414" w:rsidRPr="005218B8" w:rsidRDefault="00D90414" w:rsidP="00EA5F1F">
            <w:pPr>
              <w:autoSpaceDE w:val="0"/>
              <w:autoSpaceDN w:val="0"/>
              <w:adjustRightInd w:val="0"/>
              <w:spacing w:line="360" w:lineRule="auto"/>
              <w:rPr>
                <w:rFonts w:ascii="Arial" w:hAnsi="Arial" w:cs="Arial"/>
                <w:b/>
                <w:sz w:val="18"/>
                <w:szCs w:val="18"/>
                <w:lang w:val="en-US"/>
              </w:rPr>
            </w:pPr>
            <w:r w:rsidRPr="005218B8">
              <w:rPr>
                <w:rFonts w:ascii="Arial" w:hAnsi="Arial" w:cs="Arial"/>
                <w:b/>
                <w:sz w:val="18"/>
                <w:szCs w:val="18"/>
                <w:lang w:val="en-US"/>
              </w:rPr>
              <w:t>Fingolimod</w:t>
            </w:r>
          </w:p>
        </w:tc>
        <w:tc>
          <w:tcPr>
            <w:tcW w:w="884" w:type="pct"/>
          </w:tcPr>
          <w:p w14:paraId="67FE96AA"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p>
        </w:tc>
        <w:tc>
          <w:tcPr>
            <w:tcW w:w="625" w:type="pct"/>
          </w:tcPr>
          <w:p w14:paraId="2CE6EE72"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p>
        </w:tc>
        <w:tc>
          <w:tcPr>
            <w:tcW w:w="2406" w:type="pct"/>
          </w:tcPr>
          <w:p w14:paraId="32565A77"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p>
        </w:tc>
      </w:tr>
      <w:tr w:rsidR="00F9124B" w:rsidRPr="005218B8" w14:paraId="73A38538" w14:textId="77777777" w:rsidTr="00C32FA3">
        <w:tc>
          <w:tcPr>
            <w:tcW w:w="1085" w:type="pct"/>
          </w:tcPr>
          <w:p w14:paraId="6D4E79A7"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xml:space="preserve">Macular </w:t>
            </w:r>
            <w:proofErr w:type="spellStart"/>
            <w:r w:rsidRPr="005218B8">
              <w:rPr>
                <w:rFonts w:ascii="Arial" w:hAnsi="Arial" w:cs="Arial"/>
                <w:sz w:val="18"/>
                <w:szCs w:val="18"/>
                <w:lang w:val="en-US"/>
              </w:rPr>
              <w:t>oedema</w:t>
            </w:r>
            <w:proofErr w:type="spellEnd"/>
          </w:p>
        </w:tc>
        <w:tc>
          <w:tcPr>
            <w:tcW w:w="884" w:type="pct"/>
          </w:tcPr>
          <w:p w14:paraId="769DE0AB" w14:textId="2E26A213"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0.23%</w:t>
            </w:r>
            <w:r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"Novartis Pharmaceutical UK Ltd.", "given" : "", "non-dropping-particle" : "", "parse-names" : false, "suffix" : "" } ], "id" : "ITEM-1", "issued" : { "date-parts" : [ [ "2011" ] ] }, "title" : "Fingolimod for the treatment of relapsing-remitting multiple sclerosis in adults: NICE Single Technology Appraisal.", "type" : "report" }, "uris" : [ "http://www.mendeley.com/documents/?uuid=eeccc30e-7dac-4408-a534-35414df7d4b6" ] } ], "mendeley" : { "formattedCitation" : "&lt;sup&gt;12&lt;/sup&gt;", "plainTextFormattedCitation" : "12", "previouslyFormattedCitation" : "&lt;sup&gt;12&lt;/sup&gt;"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12</w:t>
            </w:r>
            <w:r w:rsidRPr="005218B8">
              <w:rPr>
                <w:rFonts w:ascii="Arial" w:hAnsi="Arial" w:cs="Arial"/>
                <w:sz w:val="18"/>
                <w:szCs w:val="18"/>
                <w:lang w:val="en-US"/>
              </w:rPr>
              <w:fldChar w:fldCharType="end"/>
            </w:r>
          </w:p>
        </w:tc>
        <w:tc>
          <w:tcPr>
            <w:tcW w:w="625" w:type="pct"/>
          </w:tcPr>
          <w:p w14:paraId="21C0FAA2"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265.00</w:t>
            </w:r>
          </w:p>
        </w:tc>
        <w:tc>
          <w:tcPr>
            <w:tcW w:w="2406" w:type="pct"/>
          </w:tcPr>
          <w:p w14:paraId="035BCBBB" w14:textId="15973346" w:rsidR="00D90414" w:rsidRPr="005218B8" w:rsidRDefault="00CF137E"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Two</w:t>
            </w:r>
            <w:r w:rsidR="00D90414" w:rsidRPr="005218B8">
              <w:rPr>
                <w:rFonts w:ascii="Arial" w:hAnsi="Arial" w:cs="Arial"/>
                <w:sz w:val="18"/>
                <w:szCs w:val="18"/>
                <w:lang w:val="en-US"/>
              </w:rPr>
              <w:t xml:space="preserve"> ophthalmologist </w:t>
            </w:r>
            <w:r w:rsidR="002C4206" w:rsidRPr="005218B8">
              <w:rPr>
                <w:rFonts w:ascii="Arial" w:hAnsi="Arial" w:cs="Arial"/>
                <w:sz w:val="18"/>
                <w:szCs w:val="18"/>
                <w:lang w:val="en-US"/>
              </w:rPr>
              <w:t>visit</w:t>
            </w:r>
            <w:r w:rsidR="00D90414" w:rsidRPr="005218B8">
              <w:rPr>
                <w:rFonts w:ascii="Arial" w:hAnsi="Arial" w:cs="Arial"/>
                <w:sz w:val="18"/>
                <w:szCs w:val="18"/>
                <w:lang w:val="en-US"/>
              </w:rPr>
              <w:t>s</w:t>
            </w:r>
            <w:r w:rsidR="00D90414"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"Novartis Pharmaceutical UK Ltd.", "given" : "", "non-dropping-particle" : "", "parse-names" : false, "suffix" : "" } ], "id" : "ITEM-1", "issued" : { "date-parts" : [ [ "2011" ] ] }, "title" : "Fingolimod for the treatment of relapsing-remitting multiple sclerosis in adults: NICE Single Technology Appraisal.", "type" : "report" }, "uris" : [ "http://www.mendeley.com/documents/?uuid=eeccc30e-7dac-4408-a534-35414df7d4b6" ] } ], "mendeley" : { "formattedCitation" : "&lt;sup&gt;12&lt;/sup&gt;", "plainTextFormattedCitation" : "12", "previouslyFormattedCitation" : "&lt;sup&gt;12&lt;/sup&gt;"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12</w:t>
            </w:r>
            <w:r w:rsidR="00D90414" w:rsidRPr="005218B8">
              <w:rPr>
                <w:rFonts w:ascii="Arial" w:hAnsi="Arial" w:cs="Arial"/>
                <w:sz w:val="18"/>
                <w:szCs w:val="18"/>
                <w:lang w:val="en-US"/>
              </w:rPr>
              <w:fldChar w:fldCharType="end"/>
            </w:r>
          </w:p>
        </w:tc>
      </w:tr>
      <w:tr w:rsidR="00F9124B" w:rsidRPr="005218B8" w14:paraId="58188B6A" w14:textId="77777777" w:rsidTr="00C32FA3">
        <w:tc>
          <w:tcPr>
            <w:tcW w:w="1085" w:type="pct"/>
          </w:tcPr>
          <w:p w14:paraId="633AAFB3"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Atrioventricular block, first degree</w:t>
            </w:r>
          </w:p>
        </w:tc>
        <w:tc>
          <w:tcPr>
            <w:tcW w:w="884" w:type="pct"/>
          </w:tcPr>
          <w:p w14:paraId="5D7357B1" w14:textId="34D2552A"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0.12%</w:t>
            </w:r>
            <w:r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"Novartis Pharmaceutical UK Ltd.", "given" : "", "non-dropping-particle" : "", "parse-names" : false, "suffix" : "" } ], "id" : "ITEM-1", "issued" : { "date-parts" : [ [ "2011" ] ] }, "title" : "Fingolimod for the treatment of relapsing-remitting multiple sclerosis in adults: NICE Single Technology Appraisal.", "type" : "report" }, "uris" : [ "http://www.mendeley.com/documents/?uuid=eeccc30e-7dac-4408-a534-35414df7d4b6" ] } ], "mendeley" : { "formattedCitation" : "&lt;sup&gt;12&lt;/sup&gt;", "plainTextFormattedCitation" : "12", "previouslyFormattedCitation" : "&lt;sup&gt;12&lt;/sup&gt;"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12</w:t>
            </w:r>
            <w:r w:rsidRPr="005218B8">
              <w:rPr>
                <w:rFonts w:ascii="Arial" w:hAnsi="Arial" w:cs="Arial"/>
                <w:sz w:val="18"/>
                <w:szCs w:val="18"/>
                <w:lang w:val="en-US"/>
              </w:rPr>
              <w:fldChar w:fldCharType="end"/>
            </w:r>
          </w:p>
        </w:tc>
        <w:tc>
          <w:tcPr>
            <w:tcW w:w="625" w:type="pct"/>
          </w:tcPr>
          <w:p w14:paraId="2CF81032"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1,199.10</w:t>
            </w:r>
          </w:p>
        </w:tc>
        <w:tc>
          <w:tcPr>
            <w:tcW w:w="2406" w:type="pct"/>
          </w:tcPr>
          <w:p w14:paraId="43922169" w14:textId="2C9410A9" w:rsidR="00D90414" w:rsidRPr="005218B8" w:rsidRDefault="00CF137E"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Two</w:t>
            </w:r>
            <w:r w:rsidR="00D90414" w:rsidRPr="005218B8">
              <w:rPr>
                <w:rFonts w:ascii="Arial" w:hAnsi="Arial" w:cs="Arial"/>
                <w:sz w:val="18"/>
                <w:szCs w:val="18"/>
                <w:lang w:val="en-US"/>
              </w:rPr>
              <w:t xml:space="preserve"> hospital days, 2 ECGs</w:t>
            </w:r>
            <w:r w:rsidR="00D90414"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"Novartis Pharmaceutical UK Ltd.", "given" : "", "non-dropping-particle" : "", "parse-names" : false, "suffix" : "" } ], "id" : "ITEM-1", "issued" : { "date-parts" : [ [ "2011" ] ] }, "title" : "Fingolimod for the treatment of relapsing-remitting multiple sclerosis in adults: NICE Single Technology Appraisal.", "type" : "report" }, "uris" : [ "http://www.mendeley.com/documents/?uuid=eeccc30e-7dac-4408-a534-35414df7d4b6" ] } ], "mendeley" : { "formattedCitation" : "&lt;sup&gt;12&lt;/sup&gt;", "plainTextFormattedCitation" : "12", "previouslyFormattedCitation" : "&lt;sup&gt;12&lt;/sup&gt;"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12</w:t>
            </w:r>
            <w:r w:rsidR="00D90414" w:rsidRPr="005218B8">
              <w:rPr>
                <w:rFonts w:ascii="Arial" w:hAnsi="Arial" w:cs="Arial"/>
                <w:sz w:val="18"/>
                <w:szCs w:val="18"/>
                <w:lang w:val="en-US"/>
              </w:rPr>
              <w:fldChar w:fldCharType="end"/>
            </w:r>
          </w:p>
        </w:tc>
      </w:tr>
      <w:tr w:rsidR="00F9124B" w:rsidRPr="005218B8" w14:paraId="4AFCB2C0" w14:textId="77777777" w:rsidTr="00C32FA3">
        <w:tc>
          <w:tcPr>
            <w:tcW w:w="1085" w:type="pct"/>
          </w:tcPr>
          <w:p w14:paraId="40A94C48"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lastRenderedPageBreak/>
              <w:t>Atrioventricular block, second degree</w:t>
            </w:r>
          </w:p>
        </w:tc>
        <w:tc>
          <w:tcPr>
            <w:tcW w:w="884" w:type="pct"/>
          </w:tcPr>
          <w:p w14:paraId="39E039C7" w14:textId="6743C96B"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0.12%</w:t>
            </w:r>
            <w:r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"Novartis Pharmaceutical UK Ltd.", "given" : "", "non-dropping-particle" : "", "parse-names" : false, "suffix" : "" } ], "id" : "ITEM-1", "issued" : { "date-parts" : [ [ "2011" ] ] }, "title" : "Fingolimod for the treatment of relapsing-remitting multiple sclerosis in adults: NICE Single Technology Appraisal.", "type" : "report" }, "uris" : [ "http://www.mendeley.com/documents/?uuid=eeccc30e-7dac-4408-a534-35414df7d4b6" ] } ], "mendeley" : { "formattedCitation" : "&lt;sup&gt;12&lt;/sup&gt;", "plainTextFormattedCitation" : "12", "previouslyFormattedCitation" : "&lt;sup&gt;12&lt;/sup&gt;"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12</w:t>
            </w:r>
            <w:r w:rsidRPr="005218B8">
              <w:rPr>
                <w:rFonts w:ascii="Arial" w:hAnsi="Arial" w:cs="Arial"/>
                <w:sz w:val="18"/>
                <w:szCs w:val="18"/>
                <w:lang w:val="en-US"/>
              </w:rPr>
              <w:fldChar w:fldCharType="end"/>
            </w:r>
          </w:p>
        </w:tc>
        <w:tc>
          <w:tcPr>
            <w:tcW w:w="625" w:type="pct"/>
          </w:tcPr>
          <w:p w14:paraId="6A15560A"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1,199.10</w:t>
            </w:r>
          </w:p>
        </w:tc>
        <w:tc>
          <w:tcPr>
            <w:tcW w:w="2406" w:type="pct"/>
          </w:tcPr>
          <w:p w14:paraId="4F92BA2A" w14:textId="39CD139A" w:rsidR="00D90414" w:rsidRPr="005218B8" w:rsidRDefault="00CF137E"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Two</w:t>
            </w:r>
            <w:r w:rsidR="00D90414" w:rsidRPr="005218B8">
              <w:rPr>
                <w:rFonts w:ascii="Arial" w:hAnsi="Arial" w:cs="Arial"/>
                <w:sz w:val="18"/>
                <w:szCs w:val="18"/>
                <w:lang w:val="en-US"/>
              </w:rPr>
              <w:t xml:space="preserve"> hospital days, 2 ECGs</w:t>
            </w:r>
            <w:r w:rsidR="00D90414"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"Novartis Pharmaceutical UK Ltd.", "given" : "", "non-dropping-particle" : "", "parse-names" : false, "suffix" : "" } ], "id" : "ITEM-1", "issued" : { "date-parts" : [ [ "2011" ] ] }, "title" : "Fingolimod for the treatment of relapsing-remitting multiple sclerosis in adults: NICE Single Technology Appraisal.", "type" : "report" }, "uris" : [ "http://www.mendeley.com/documents/?uuid=eeccc30e-7dac-4408-a534-35414df7d4b6" ] } ], "mendeley" : { "formattedCitation" : "&lt;sup&gt;12&lt;/sup&gt;", "plainTextFormattedCitation" : "12", "previouslyFormattedCitation" : "&lt;sup&gt;12&lt;/sup&gt;"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12</w:t>
            </w:r>
            <w:r w:rsidR="00D90414" w:rsidRPr="005218B8">
              <w:rPr>
                <w:rFonts w:ascii="Arial" w:hAnsi="Arial" w:cs="Arial"/>
                <w:sz w:val="18"/>
                <w:szCs w:val="18"/>
                <w:lang w:val="en-US"/>
              </w:rPr>
              <w:fldChar w:fldCharType="end"/>
            </w:r>
          </w:p>
        </w:tc>
      </w:tr>
      <w:tr w:rsidR="00F9124B" w:rsidRPr="00FB5DEF" w14:paraId="10D9C8AB" w14:textId="77777777" w:rsidTr="00C32FA3">
        <w:tc>
          <w:tcPr>
            <w:tcW w:w="1085" w:type="pct"/>
          </w:tcPr>
          <w:p w14:paraId="7C8EB0BA"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Bronchitis</w:t>
            </w:r>
          </w:p>
        </w:tc>
        <w:tc>
          <w:tcPr>
            <w:tcW w:w="884" w:type="pct"/>
          </w:tcPr>
          <w:p w14:paraId="091EBBEC" w14:textId="22B3D02D"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4.08%</w:t>
            </w:r>
            <w:r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"Kappos", "given" : "L", "non-dropping-particle" : "", "parse-names" : false, "suffix" : "" }, { "dropping-particle" : "", "family" : "Radue", "given" : "EW", "non-dropping-particle" : "", "parse-names" : false, "suffix" : "" }, { "dropping-particle" : "", "family" : "O'Connor", "given" : "P", "non-dropping-particle" : "", "parse-names" : false, "suffix" : "" }, { "dropping-particle" : "", "family" : "Polman", "given" : "Chris", "non-dropping-particle" : "", "parse-names" : false, "suffix" : "" }, { "dropping-particle" : "", "family" : "Hohlfeld", "given" : "R", "non-dropping-particle" : "", "parse-names" : false, "suffix" : "" }, { "dropping-particle" : "", "family" : "Calabresi", "given" : "P", "non-dropping-particle" : "", "parse-names" : false, "suffix" : "" }, { "dropping-particle" : "", "family" : "Selmaj", "given" : "K", "non-dropping-particle" : "", "parse-names" : false, "suffix" : "" }, { "dropping-particle" : "", "family" : "Agoropoulou", "given" : "C", "non-dropping-particle" : "", "parse-names" : false, "suffix" : "" }, { "dropping-particle" : "", "family" : "Leyk", "given" : "M", "non-dropping-particle" : "", "parse-names" : false, "suffix" : "" }, { "dropping-particle" : "", "family" : "Zhang-Auberson", "given" : "L", "non-dropping-particle" : "", "parse-names" : false, "suffix" : "" }, { "dropping-particle" : "", "family" : "Burtin", "given" : "P", "non-dropping-particle" : "", "parse-names" : false, "suffix" : "" } ], "container-title" : "The New England journal of medicine", "id" : "ITEM-1", "issue" : "5", "issued" : { "date-parts" : [ [ "2010" ] ] }, "page" : "387-401", "title" : "A placebo-controlled trial of oral fingolimod in relapsing multiple sclerosis", "type" : "article-journal", "volume" : "362" }, "uris" : [ "http://www.mendeley.com/documents/?uuid=8060693f-e7ee-465f-8b0d-fe68dd1d0403" ] } ], "mendeley" : { "formattedCitation" : "&lt;sup&gt;13&lt;/sup&gt;", "plainTextFormattedCitation" : "13", "previouslyFormattedCitation" : "&lt;sup&gt;13&lt;/sup&gt;"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13</w:t>
            </w:r>
            <w:r w:rsidRPr="005218B8">
              <w:rPr>
                <w:rFonts w:ascii="Arial" w:hAnsi="Arial" w:cs="Arial"/>
                <w:sz w:val="18"/>
                <w:szCs w:val="18"/>
                <w:lang w:val="en-US"/>
              </w:rPr>
              <w:fldChar w:fldCharType="end"/>
            </w:r>
          </w:p>
        </w:tc>
        <w:tc>
          <w:tcPr>
            <w:tcW w:w="625" w:type="pct"/>
          </w:tcPr>
          <w:p w14:paraId="7B1BF305"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126.09</w:t>
            </w:r>
          </w:p>
        </w:tc>
        <w:tc>
          <w:tcPr>
            <w:tcW w:w="2406" w:type="pct"/>
          </w:tcPr>
          <w:p w14:paraId="7A47000C" w14:textId="0B98A2C9" w:rsidR="00D90414" w:rsidRPr="005218B8" w:rsidRDefault="00CF137E"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Specialist visi</w:t>
            </w:r>
            <w:r w:rsidR="00D90414" w:rsidRPr="005218B8">
              <w:rPr>
                <w:rFonts w:ascii="Arial" w:hAnsi="Arial" w:cs="Arial"/>
                <w:sz w:val="18"/>
                <w:szCs w:val="18"/>
                <w:lang w:val="en-US"/>
              </w:rPr>
              <w:t>t and course of amoxicillin</w:t>
            </w:r>
            <w:r w:rsidR="00D90414"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"Verheij", "given" : "ThJM", "non-dropping-particle" : "", "parse-names" : false, "suffix" : "" }, { "dropping-particle" : "", "family" : "Hopstaken", "given" : "RM", "non-dropping-particle" : "", "parse-names" : false, "suffix" : "" }, { "dropping-particle" : "", "family" : "Prins", "given" : "JM", "non-dropping-particle" : "", "parse-names" : false, "suffix" : "" }, { "dropping-particle" : "", "family" : "Salom\u00e9", "given" : "PhL", "non-dropping-particle" : "", "parse-names" : false, "suffix" : "" }, { "dropping-particle" : "", "family" : "Bindels", "given" : "PJ", "non-dropping-particle" : "", "parse-names" : false, "suffix" : "" }, { "dropping-particle" : "", "family" : "Ponsioen", "given" : "BP", "non-dropping-particle" : "", "parse-names" : false, "suffix" : "" }, { "dropping-particle" : "", "family" : "Sachs", "given" : "APE", "non-dropping-particle" : "", "parse-names" : false, "suffix" : "" }, { "dropping-particle" : "", "family" : "Thiadens", "given" : "HA", "non-dropping-particle" : "", "parse-names" : false, "suffix" : "" }, { "dropping-particle" : "", "family" : "Verlee", "given" : "E", "non-dropping-particle" : "", "parse-names" : false, "suffix" : "" } ], "container-title" : "Huisarts en Wetenschap", "id" : "ITEM-1", "issue" : "2", "issued" : { "date-parts" : [ [ "2011" ] ] }, "page" : "68-92", "title" : "NHG-standaard acuut hoesten", "type" : "article-journal", "volume" : "54" }, "uris" : [ "http://www.mendeley.com/documents/?uuid=7e3ca96a-b668-4c3e-a471-3c2caf0d1c4b" ] } ], "mendeley" : { "formattedCitation" : "&lt;sup&gt;14&lt;/sup&gt;", "plainTextFormattedCitation" : "14", "previouslyFormattedCitation" : "&lt;sup&gt;14&lt;/sup&gt;" }, "properties" : { "noteIndex" : 0 }, "schema" : "https://github.com/citation-style-language/schema/raw/master/csl-citation.json" }</w:instrText>
            </w:r>
            <w:r w:rsidR="00D90414"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14</w:t>
            </w:r>
            <w:r w:rsidR="00D90414" w:rsidRPr="005218B8">
              <w:rPr>
                <w:rFonts w:ascii="Arial" w:hAnsi="Arial" w:cs="Arial"/>
                <w:sz w:val="18"/>
                <w:szCs w:val="18"/>
                <w:lang w:val="en-US"/>
              </w:rPr>
              <w:fldChar w:fldCharType="end"/>
            </w:r>
          </w:p>
        </w:tc>
      </w:tr>
      <w:tr w:rsidR="00F9124B" w:rsidRPr="005218B8" w14:paraId="54F3568D" w14:textId="77777777" w:rsidTr="00C32FA3">
        <w:tc>
          <w:tcPr>
            <w:tcW w:w="1085" w:type="pct"/>
          </w:tcPr>
          <w:p w14:paraId="0DF408CA"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Back pain</w:t>
            </w:r>
          </w:p>
        </w:tc>
        <w:tc>
          <w:tcPr>
            <w:tcW w:w="884" w:type="pct"/>
          </w:tcPr>
          <w:p w14:paraId="6601D77E" w14:textId="33285F2C"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6.07%</w:t>
            </w:r>
            <w:r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"Kappos", "given" : "L", "non-dropping-particle" : "", "parse-names" : false, "suffix" : "" }, { "dropping-particle" : "", "family" : "Radue", "given" : "EW", "non-dropping-particle" : "", "parse-names" : false, "suffix" : "" }, { "dropping-particle" : "", "family" : "O'Connor", "given" : "P", "non-dropping-particle" : "", "parse-names" : false, "suffix" : "" }, { "dropping-particle" : "", "family" : "Polman", "given" : "Chris", "non-dropping-particle" : "", "parse-names" : false, "suffix" : "" }, { "dropping-particle" : "", "family" : "Hohlfeld", "given" : "R", "non-dropping-particle" : "", "parse-names" : false, "suffix" : "" }, { "dropping-particle" : "", "family" : "Calabresi", "given" : "P", "non-dropping-particle" : "", "parse-names" : false, "suffix" : "" }, { "dropping-particle" : "", "family" : "Selmaj", "given" : "K", "non-dropping-particle" : "", "parse-names" : false, "suffix" : "" }, { "dropping-particle" : "", "family" : "Agoropoulou", "given" : "C", "non-dropping-particle" : "", "parse-names" : false, "suffix" : "" }, { "dropping-particle" : "", "family" : "Leyk", "given" : "M", "non-dropping-particle" : "", "parse-names" : false, "suffix" : "" }, { "dropping-particle" : "", "family" : "Zhang-Auberson", "given" : "L", "non-dropping-particle" : "", "parse-names" : false, "suffix" : "" }, { "dropping-particle" : "", "family" : "Burtin", "given" : "P", "non-dropping-particle" : "", "parse-names" : false, "suffix" : "" } ], "container-title" : "The New England journal of medicine", "id" : "ITEM-1", "issue" : "5", "issued" : { "date-parts" : [ [ "2010" ] ] }, "page" : "387-401", "title" : "A placebo-controlled trial of oral fingolimod in relapsing multiple sclerosis", "type" : "article-journal", "volume" : "362" }, "uris" : [ "http://www.mendeley.com/documents/?uuid=8060693f-e7ee-465f-8b0d-fe68dd1d0403" ] } ], "mendeley" : { "formattedCitation" : "&lt;sup&gt;13&lt;/sup&gt;", "plainTextFormattedCitation" : "13", "previouslyFormattedCitation" : "&lt;sup&gt;13&lt;/sup&gt;"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13</w:t>
            </w:r>
            <w:r w:rsidRPr="005218B8">
              <w:rPr>
                <w:rFonts w:ascii="Arial" w:hAnsi="Arial" w:cs="Arial"/>
                <w:sz w:val="18"/>
                <w:szCs w:val="18"/>
                <w:lang w:val="en-US"/>
              </w:rPr>
              <w:fldChar w:fldCharType="end"/>
            </w:r>
          </w:p>
        </w:tc>
        <w:tc>
          <w:tcPr>
            <w:tcW w:w="625" w:type="pct"/>
          </w:tcPr>
          <w:p w14:paraId="6FB4D9C2" w14:textId="6AFB560B"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33</w:t>
            </w:r>
            <w:r w:rsidR="00494237" w:rsidRPr="005218B8">
              <w:rPr>
                <w:rFonts w:ascii="Arial" w:hAnsi="Arial" w:cs="Arial"/>
                <w:sz w:val="18"/>
                <w:szCs w:val="18"/>
                <w:lang w:val="en-US"/>
              </w:rPr>
              <w:t>.00</w:t>
            </w:r>
          </w:p>
        </w:tc>
        <w:tc>
          <w:tcPr>
            <w:tcW w:w="2406" w:type="pct"/>
          </w:tcPr>
          <w:p w14:paraId="0812D147" w14:textId="203011E0" w:rsidR="00D90414" w:rsidRPr="005218B8" w:rsidRDefault="00D90414" w:rsidP="00CF137E">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GP</w:t>
            </w:r>
            <w:r w:rsidR="00CF137E" w:rsidRPr="005218B8">
              <w:rPr>
                <w:rFonts w:ascii="Arial" w:hAnsi="Arial" w:cs="Arial"/>
                <w:sz w:val="18"/>
                <w:szCs w:val="18"/>
                <w:lang w:val="en-US"/>
              </w:rPr>
              <w:t xml:space="preserve"> visit</w:t>
            </w:r>
          </w:p>
        </w:tc>
      </w:tr>
      <w:tr w:rsidR="00F9124B" w:rsidRPr="005218B8" w14:paraId="16129A0F" w14:textId="77777777" w:rsidTr="00C32FA3">
        <w:tc>
          <w:tcPr>
            <w:tcW w:w="1085" w:type="pct"/>
          </w:tcPr>
          <w:p w14:paraId="164C3D30"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Diarrhea</w:t>
            </w:r>
          </w:p>
        </w:tc>
        <w:tc>
          <w:tcPr>
            <w:tcW w:w="884" w:type="pct"/>
          </w:tcPr>
          <w:p w14:paraId="05D40560" w14:textId="45367682"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6.07%</w:t>
            </w:r>
            <w:r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"Kappos", "given" : "L", "non-dropping-particle" : "", "parse-names" : false, "suffix" : "" }, { "dropping-particle" : "", "family" : "Radue", "given" : "EW", "non-dropping-particle" : "", "parse-names" : false, "suffix" : "" }, { "dropping-particle" : "", "family" : "O'Connor", "given" : "P", "non-dropping-particle" : "", "parse-names" : false, "suffix" : "" }, { "dropping-particle" : "", "family" : "Polman", "given" : "Chris", "non-dropping-particle" : "", "parse-names" : false, "suffix" : "" }, { "dropping-particle" : "", "family" : "Hohlfeld", "given" : "R", "non-dropping-particle" : "", "parse-names" : false, "suffix" : "" }, { "dropping-particle" : "", "family" : "Calabresi", "given" : "P", "non-dropping-particle" : "", "parse-names" : false, "suffix" : "" }, { "dropping-particle" : "", "family" : "Selmaj", "given" : "K", "non-dropping-particle" : "", "parse-names" : false, "suffix" : "" }, { "dropping-particle" : "", "family" : "Agoropoulou", "given" : "C", "non-dropping-particle" : "", "parse-names" : false, "suffix" : "" }, { "dropping-particle" : "", "family" : "Leyk", "given" : "M", "non-dropping-particle" : "", "parse-names" : false, "suffix" : "" }, { "dropping-particle" : "", "family" : "Zhang-Auberson", "given" : "L", "non-dropping-particle" : "", "parse-names" : false, "suffix" : "" }, { "dropping-particle" : "", "family" : "Burtin", "given" : "P", "non-dropping-particle" : "", "parse-names" : false, "suffix" : "" } ], "container-title" : "The New England journal of medicine", "id" : "ITEM-1", "issue" : "5", "issued" : { "date-parts" : [ [ "2010" ] ] }, "page" : "387-401", "title" : "A placebo-controlled trial of oral fingolimod in relapsing multiple sclerosis", "type" : "article-journal", "volume" : "362" }, "uris" : [ "http://www.mendeley.com/documents/?uuid=8060693f-e7ee-465f-8b0d-fe68dd1d0403" ] } ], "mendeley" : { "formattedCitation" : "&lt;sup&gt;13&lt;/sup&gt;", "plainTextFormattedCitation" : "13", "previouslyFormattedCitation" : "&lt;sup&gt;13&lt;/sup&gt;"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13</w:t>
            </w:r>
            <w:r w:rsidRPr="005218B8">
              <w:rPr>
                <w:rFonts w:ascii="Arial" w:hAnsi="Arial" w:cs="Arial"/>
                <w:sz w:val="18"/>
                <w:szCs w:val="18"/>
                <w:lang w:val="en-US"/>
              </w:rPr>
              <w:fldChar w:fldCharType="end"/>
            </w:r>
          </w:p>
        </w:tc>
        <w:tc>
          <w:tcPr>
            <w:tcW w:w="625" w:type="pct"/>
          </w:tcPr>
          <w:p w14:paraId="31DEEA6D"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194.61</w:t>
            </w:r>
          </w:p>
        </w:tc>
        <w:tc>
          <w:tcPr>
            <w:tcW w:w="2406" w:type="pct"/>
          </w:tcPr>
          <w:p w14:paraId="4FD41410" w14:textId="4A90568F"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xml:space="preserve">Specialist </w:t>
            </w:r>
            <w:r w:rsidR="00CF137E" w:rsidRPr="005218B8">
              <w:rPr>
                <w:rFonts w:ascii="Arial" w:hAnsi="Arial" w:cs="Arial"/>
                <w:sz w:val="18"/>
                <w:szCs w:val="18"/>
                <w:lang w:val="en-US"/>
              </w:rPr>
              <w:t>visi</w:t>
            </w:r>
            <w:r w:rsidRPr="005218B8">
              <w:rPr>
                <w:rFonts w:ascii="Arial" w:hAnsi="Arial" w:cs="Arial"/>
                <w:sz w:val="18"/>
                <w:szCs w:val="18"/>
                <w:lang w:val="en-US"/>
              </w:rPr>
              <w:t>t and medication</w:t>
            </w:r>
            <w:r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"Belo", "given" : "JN", "non-dropping-particle" : "", "parse-names" : false, "suffix" : "" }, { "dropping-particle" : "", "family" : "Bos", "given" : "ML", "non-dropping-particle" : "", "parse-names" : false, "suffix" : "" }, { "dropping-particle" : "", "family" : "Bruhl", "given" : "PhC", "non-dropping-particle" : "", "parse-names" : false, "suffix" : "" }, { "dropping-particle" : "", "family" : "Lemmen", "given" : "WH", "non-dropping-particle" : "", "parse-names" : false, "suffix" : "" }, { "dropping-particle" : "", "family" : "Pijpers", "given" : "MAM", "non-dropping-particle" : "", "parse-names" : false, "suffix" : "" }, { "dropping-particle" : "", "family" : "Donk", "given" : "M", "non-dropping-particle" : "Van den", "parse-names" : false, "suffix" : "" }, { "dropping-particle" : "", "family" : "Burgers", "given" : "JS", "non-dropping-particle" : "", "parse-names" : false, "suffix" : "" }, { "dropping-particle" : "", "family" : "Bouma", "given" : "M", "non-dropping-particle" : "", "parse-names" : false, "suffix" : "" }, { "dropping-particle" : "", "family" : "Loogman", "given" : "MCM", "non-dropping-particle" : "", "parse-names" : false, "suffix" : "" } ], "container-title" : "Huisarts en Wetenschap", "id" : "ITEM-1", "issue" : "9", "issued" : { "date-parts" : [ [ "2014" ] ] }, "page" : "462-71", "title" : "NHG-standaard acute diarree", "type" : "article-journal", "volume" : "57" }, "uris" : [ "http://www.mendeley.com/documents/?uuid=4c832ba9-d6b9-4a59-ae17-0ba5fa87cc69" ] } ], "mendeley" : { "formattedCitation" : "&lt;sup&gt;15&lt;/sup&gt;", "plainTextFormattedCitation" : "15", "previouslyFormattedCitation" : "&lt;sup&gt;15&lt;/sup&gt;"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15</w:t>
            </w:r>
            <w:r w:rsidRPr="005218B8">
              <w:rPr>
                <w:rFonts w:ascii="Arial" w:hAnsi="Arial" w:cs="Arial"/>
                <w:sz w:val="18"/>
                <w:szCs w:val="18"/>
                <w:lang w:val="en-US"/>
              </w:rPr>
              <w:fldChar w:fldCharType="end"/>
            </w:r>
          </w:p>
        </w:tc>
      </w:tr>
      <w:tr w:rsidR="00F9124B" w:rsidRPr="005218B8" w14:paraId="57209FC9" w14:textId="77777777" w:rsidTr="00C32FA3">
        <w:tc>
          <w:tcPr>
            <w:tcW w:w="1085" w:type="pct"/>
          </w:tcPr>
          <w:p w14:paraId="62ACE8AB" w14:textId="77777777" w:rsidR="00D90414" w:rsidRPr="005218B8" w:rsidRDefault="00D90414" w:rsidP="00EA5F1F">
            <w:pPr>
              <w:autoSpaceDE w:val="0"/>
              <w:autoSpaceDN w:val="0"/>
              <w:adjustRightInd w:val="0"/>
              <w:spacing w:line="360" w:lineRule="auto"/>
              <w:rPr>
                <w:rFonts w:ascii="Arial" w:hAnsi="Arial" w:cs="Arial"/>
                <w:b/>
                <w:sz w:val="18"/>
                <w:szCs w:val="18"/>
                <w:lang w:val="en-US"/>
              </w:rPr>
            </w:pPr>
            <w:r w:rsidRPr="005218B8">
              <w:rPr>
                <w:rFonts w:ascii="Arial" w:hAnsi="Arial" w:cs="Arial"/>
                <w:b/>
                <w:sz w:val="18"/>
                <w:szCs w:val="18"/>
                <w:lang w:val="en-US"/>
              </w:rPr>
              <w:t>Natalizumab</w:t>
            </w:r>
          </w:p>
        </w:tc>
        <w:tc>
          <w:tcPr>
            <w:tcW w:w="884" w:type="pct"/>
          </w:tcPr>
          <w:p w14:paraId="1E66E34E"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p>
        </w:tc>
        <w:tc>
          <w:tcPr>
            <w:tcW w:w="625" w:type="pct"/>
          </w:tcPr>
          <w:p w14:paraId="6C2AF27D"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p>
        </w:tc>
        <w:tc>
          <w:tcPr>
            <w:tcW w:w="2406" w:type="pct"/>
          </w:tcPr>
          <w:p w14:paraId="46A5865E"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p>
        </w:tc>
      </w:tr>
      <w:tr w:rsidR="00F9124B" w:rsidRPr="003E2937" w14:paraId="632049FB" w14:textId="77777777" w:rsidTr="00C32FA3">
        <w:tc>
          <w:tcPr>
            <w:tcW w:w="1085" w:type="pct"/>
          </w:tcPr>
          <w:p w14:paraId="199EC17B" w14:textId="69F209A5" w:rsidR="00D90414" w:rsidRPr="005218B8" w:rsidRDefault="00D90414" w:rsidP="00EA5F1F">
            <w:pPr>
              <w:autoSpaceDE w:val="0"/>
              <w:autoSpaceDN w:val="0"/>
              <w:adjustRightInd w:val="0"/>
              <w:spacing w:line="360" w:lineRule="auto"/>
              <w:rPr>
                <w:rFonts w:ascii="Arial" w:hAnsi="Arial" w:cs="Arial"/>
                <w:sz w:val="18"/>
                <w:szCs w:val="18"/>
                <w:lang w:val="en-US"/>
              </w:rPr>
            </w:pPr>
          </w:p>
        </w:tc>
        <w:tc>
          <w:tcPr>
            <w:tcW w:w="884" w:type="pct"/>
          </w:tcPr>
          <w:p w14:paraId="7A714EE4" w14:textId="2A1FA8B5" w:rsidR="00D90414" w:rsidRPr="005218B8" w:rsidRDefault="00D90414" w:rsidP="001D4361">
            <w:pPr>
              <w:autoSpaceDE w:val="0"/>
              <w:autoSpaceDN w:val="0"/>
              <w:adjustRightInd w:val="0"/>
              <w:spacing w:line="360" w:lineRule="auto"/>
              <w:rPr>
                <w:rFonts w:ascii="Arial" w:hAnsi="Arial" w:cs="Arial"/>
                <w:sz w:val="18"/>
                <w:szCs w:val="18"/>
                <w:lang w:val="en-US"/>
              </w:rPr>
            </w:pPr>
          </w:p>
        </w:tc>
        <w:tc>
          <w:tcPr>
            <w:tcW w:w="625" w:type="pct"/>
          </w:tcPr>
          <w:p w14:paraId="67EC7E68" w14:textId="60589594" w:rsidR="00D90414" w:rsidRPr="005218B8" w:rsidRDefault="00D90414" w:rsidP="00EA5F1F">
            <w:pPr>
              <w:autoSpaceDE w:val="0"/>
              <w:autoSpaceDN w:val="0"/>
              <w:adjustRightInd w:val="0"/>
              <w:spacing w:line="360" w:lineRule="auto"/>
              <w:jc w:val="right"/>
              <w:rPr>
                <w:rFonts w:ascii="Arial" w:hAnsi="Arial" w:cs="Arial"/>
                <w:sz w:val="18"/>
                <w:szCs w:val="18"/>
                <w:lang w:val="en-US"/>
              </w:rPr>
            </w:pPr>
          </w:p>
        </w:tc>
        <w:tc>
          <w:tcPr>
            <w:tcW w:w="2406" w:type="pct"/>
          </w:tcPr>
          <w:p w14:paraId="76BA461A" w14:textId="02F08260" w:rsidR="00D90414" w:rsidRPr="005218B8" w:rsidRDefault="00D90414" w:rsidP="00EA5F1F">
            <w:pPr>
              <w:autoSpaceDE w:val="0"/>
              <w:autoSpaceDN w:val="0"/>
              <w:adjustRightInd w:val="0"/>
              <w:spacing w:line="360" w:lineRule="auto"/>
              <w:rPr>
                <w:rFonts w:ascii="Arial" w:hAnsi="Arial" w:cs="Arial"/>
                <w:sz w:val="18"/>
                <w:szCs w:val="18"/>
                <w:lang w:val="en-US"/>
              </w:rPr>
            </w:pPr>
          </w:p>
        </w:tc>
      </w:tr>
      <w:tr w:rsidR="00F9124B" w:rsidRPr="00432E70" w14:paraId="7245457D" w14:textId="77777777" w:rsidTr="00C32FA3">
        <w:tc>
          <w:tcPr>
            <w:tcW w:w="1085" w:type="pct"/>
          </w:tcPr>
          <w:p w14:paraId="68C309CF"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Urinary tract infection</w:t>
            </w:r>
          </w:p>
        </w:tc>
        <w:tc>
          <w:tcPr>
            <w:tcW w:w="884" w:type="pct"/>
          </w:tcPr>
          <w:p w14:paraId="1D5C2C0F" w14:textId="1DF5BCEC"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2.00%</w:t>
            </w:r>
            <w:r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"Biogen Idec.", "given" : "", "non-dropping-particle" : "", "parse-names" : false, "suffix" : "" } ], "id" : "ITEM-1", "issued" : { "date-parts" : [ [ "2006" ] ] }, "title" : "Natalizumab (Tysabri) for the treatment of adults with highly active relapsing remitting multiple sclerosis: Single technology appraisal (STA) submission to the national institute for health and clinical excellence", "type" : "report" }, "uris" : [ "http://www.mendeley.com/documents/?uuid=5cdb3496-8f2a-4645-891c-f74db0bd04b8" ] } ], "mendeley" : { "formattedCitation" : "&lt;sup&gt;16&lt;/sup&gt;", "plainTextFormattedCitation" : "16", "previouslyFormattedCitation" : "&lt;sup&gt;16&lt;/sup&gt;"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16</w:t>
            </w:r>
            <w:r w:rsidRPr="005218B8">
              <w:rPr>
                <w:rFonts w:ascii="Arial" w:hAnsi="Arial" w:cs="Arial"/>
                <w:sz w:val="18"/>
                <w:szCs w:val="18"/>
                <w:lang w:val="en-US"/>
              </w:rPr>
              <w:fldChar w:fldCharType="end"/>
            </w:r>
          </w:p>
        </w:tc>
        <w:tc>
          <w:tcPr>
            <w:tcW w:w="625" w:type="pct"/>
          </w:tcPr>
          <w:p w14:paraId="7412F777"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156.09</w:t>
            </w:r>
          </w:p>
        </w:tc>
        <w:tc>
          <w:tcPr>
            <w:tcW w:w="2406" w:type="pct"/>
          </w:tcPr>
          <w:p w14:paraId="16AC7D07" w14:textId="6B2546E4" w:rsidR="00D90414" w:rsidRPr="005218B8" w:rsidRDefault="002C4206" w:rsidP="002C4206">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GB"/>
              </w:rPr>
              <w:t>GP visit</w:t>
            </w:r>
            <w:r w:rsidR="00D90414" w:rsidRPr="005218B8">
              <w:rPr>
                <w:rFonts w:ascii="Arial" w:hAnsi="Arial" w:cs="Arial"/>
                <w:sz w:val="18"/>
                <w:szCs w:val="18"/>
                <w:lang w:val="en-GB"/>
              </w:rPr>
              <w:t>, secondary outpatient visit, and treatment with trimethoprim</w:t>
            </w:r>
            <w:r w:rsidR="00D90414" w:rsidRPr="005218B8">
              <w:rPr>
                <w:rFonts w:ascii="Arial" w:hAnsi="Arial" w:cs="Arial"/>
                <w:sz w:val="18"/>
                <w:szCs w:val="18"/>
              </w:rPr>
              <w:fldChar w:fldCharType="begin" w:fldLock="1"/>
            </w:r>
            <w:r w:rsidR="00F9124B">
              <w:rPr>
                <w:rFonts w:ascii="Arial" w:hAnsi="Arial" w:cs="Arial"/>
                <w:sz w:val="18"/>
                <w:szCs w:val="18"/>
                <w:lang w:val="en-GB"/>
              </w:rPr>
              <w:instrText>ADDIN CSL_CITATION { "citationItems" : [ { "id" : "ITEM-1", "itemData" : { "author" : [ { "dropping-particle" : "", "family" : "Pinxteren", "given" : "B", "non-dropping-particle" : "Van", "parse-names" : false, "suffix" : "" }, { "dropping-particle" : "", "family" : "Knottnerus", "given" : "BJ", "non-dropping-particle" : "", "parse-names" : false, "suffix" : "" }, { "dropping-particle" : "", "family" : "Geerlings", "given" : "SE", "non-dropping-particle" : "", "parse-names" : false, "suffix" : "" }, { "dropping-particle" : "", "family" : "Visser", "given" : "HS", "non-dropping-particle" : "", "parse-names" : false, "suffix" : "" }, { "dropping-particle" : "", "family" : "Klinkhamer", "given" : "S", "non-dropping-particle" : "", "parse-names" : false, "suffix" : "" }, { "dropping-particle" : "", "family" : "Weele", "given" : "GM", "non-dropping-particle" : "Van der", "parse-names" : false, "suffix" : "" }, { "dropping-particle" : "", "family" : "Verduijn", "given" : "MM", "non-dropping-particle" : "", "parse-names" : false, "suffix" : "" }, { "dropping-particle" : "", "family" : "Opstelten", "given" : "W", "non-dropping-particle" : "", "parse-names" : false, "suffix" : "" }, { "dropping-particle" : "", "family" : "Burgers", "given" : "JS", "non-dropping-particle" : "", "parse-names" : false, "suffix" : "" }, { "dropping-particle" : "", "family" : "Asselt", "given" : "KM", "non-dropping-particle" : "Van", "parse-names" : false, "suffix" : "" } ], "container-title" : "Huisarts en Wetenschap", "id" : "ITEM-1", "issue" : "6", "issued" : { "date-parts" : [ [ "2013" ] ] }, "page" : "270-80", "title" : "NHG-standaard Urineweginfecties", "type" : "article-journal", "volume" : "56" }, "uris" : [ "http://www.mendeley.com/documents/?uuid=2961b19a-a8c9-4407-b3a4-181134c4dd46" ] } ], "mendeley" : { "formattedCitation" : "&lt;sup&gt;7&lt;/sup&gt;", "plainTextFormattedCitation" : "7", "previouslyFormattedCitation" : "&lt;sup&gt;7&lt;/sup&gt;" }, "properties" : { "noteIndex" : 0 }, "schema" : "https://github.com/citation-style-language/schema/raw/master/csl-citation.json" }</w:instrText>
            </w:r>
            <w:r w:rsidR="00D90414" w:rsidRPr="005218B8">
              <w:rPr>
                <w:rFonts w:ascii="Arial" w:hAnsi="Arial" w:cs="Arial"/>
                <w:sz w:val="18"/>
                <w:szCs w:val="18"/>
                <w:vertAlign w:val="superscript"/>
              </w:rPr>
              <w:fldChar w:fldCharType="separate"/>
            </w:r>
            <w:r w:rsidR="00F9124B" w:rsidRPr="00F9124B">
              <w:rPr>
                <w:rFonts w:ascii="Arial" w:hAnsi="Arial" w:cs="Arial"/>
                <w:noProof/>
                <w:sz w:val="18"/>
                <w:szCs w:val="18"/>
                <w:vertAlign w:val="superscript"/>
                <w:lang w:val="en-GB"/>
              </w:rPr>
              <w:t>7</w:t>
            </w:r>
            <w:r w:rsidR="00D90414" w:rsidRPr="005218B8">
              <w:rPr>
                <w:rFonts w:ascii="Arial" w:hAnsi="Arial" w:cs="Arial"/>
                <w:sz w:val="18"/>
                <w:szCs w:val="18"/>
              </w:rPr>
              <w:fldChar w:fldCharType="end"/>
            </w:r>
          </w:p>
        </w:tc>
      </w:tr>
      <w:tr w:rsidR="00F9124B" w:rsidRPr="00432E70" w14:paraId="29D9C4C2" w14:textId="77777777" w:rsidTr="00C32FA3">
        <w:tc>
          <w:tcPr>
            <w:tcW w:w="1085" w:type="pct"/>
          </w:tcPr>
          <w:p w14:paraId="15021F7B"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Progressive multifocal leukoencephalopathy</w:t>
            </w:r>
          </w:p>
        </w:tc>
        <w:tc>
          <w:tcPr>
            <w:tcW w:w="884" w:type="pct"/>
          </w:tcPr>
          <w:p w14:paraId="0D7E799E" w14:textId="7153B5DC"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1</w:t>
            </w:r>
            <w:r w:rsidRPr="005218B8">
              <w:rPr>
                <w:rFonts w:ascii="Arial" w:hAnsi="Arial" w:cs="Arial"/>
                <w:sz w:val="18"/>
                <w:szCs w:val="18"/>
                <w:vertAlign w:val="superscript"/>
                <w:lang w:val="en-US"/>
              </w:rPr>
              <w:t>st</w:t>
            </w:r>
            <w:r w:rsidRPr="005218B8">
              <w:rPr>
                <w:rFonts w:ascii="Arial" w:hAnsi="Arial" w:cs="Arial"/>
                <w:sz w:val="18"/>
                <w:szCs w:val="18"/>
                <w:lang w:val="en-US"/>
              </w:rPr>
              <w:t xml:space="preserve"> year: 0.02%, year 2+: 0.16%</w:t>
            </w:r>
            <w:r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"Kappos", "given" : "L", "non-dropping-particle" : "", "parse-names" : false, "suffix" : "" }, { "dropping-particle" : "", "family" : "Bates", "given" : "D", "non-dropping-particle" : "", "parse-names" : false, "suffix" : "" }, { "dropping-particle" : "", "family" : "Edan", "given" : "G", "non-dropping-particle" : "", "parse-names" : false, "suffix" : "" }, { "dropping-particle" : "", "family" : "Eraksoy", "given" : "M", "non-dropping-particle" : "", "parse-names" : false, "suffix" : "" }, { "dropping-particle" : "", "family" : "Garcia-Merino", "given" : "A", "non-dropping-particle" : "", "parse-names" : false, "suffix" : "" } ], "container-title" : "Lancet neurology", "id" : "ITEM-1", "issue" : "8", "issued" : { "date-parts" : [ [ "2011" ] ] }, "page" : "745-758", "title" : "Natalizumab treatment for multiple sclerosis: updated recommendations for patient selection and monitoring", "type" : "article-journal", "volume" : "10" }, "uris" : [ "http://www.mendeley.com/documents/?uuid=2ef338a4-7158-489b-8ac6-7133db17534a" ] } ], "mendeley" : { "formattedCitation" : "&lt;sup&gt;17&lt;/sup&gt;", "plainTextFormattedCitation" : "17", "previouslyFormattedCitation" : "&lt;sup&gt;17&lt;/sup&gt;"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17</w:t>
            </w:r>
            <w:r w:rsidRPr="005218B8">
              <w:rPr>
                <w:rFonts w:ascii="Arial" w:hAnsi="Arial" w:cs="Arial"/>
                <w:sz w:val="18"/>
                <w:szCs w:val="18"/>
                <w:lang w:val="en-US"/>
              </w:rPr>
              <w:fldChar w:fldCharType="end"/>
            </w:r>
          </w:p>
        </w:tc>
        <w:tc>
          <w:tcPr>
            <w:tcW w:w="625" w:type="pct"/>
          </w:tcPr>
          <w:p w14:paraId="480C6443"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6,599.21</w:t>
            </w:r>
          </w:p>
        </w:tc>
        <w:tc>
          <w:tcPr>
            <w:tcW w:w="2406" w:type="pct"/>
          </w:tcPr>
          <w:p w14:paraId="1E6F2B38" w14:textId="62C56194"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Hospitalization for two weeks, MRI, JC virus PCR and lumbar puncture</w:t>
            </w:r>
            <w:r w:rsidRPr="005218B8">
              <w:rPr>
                <w:rFonts w:ascii="Arial" w:hAnsi="Arial" w:cs="Arial"/>
                <w:sz w:val="18"/>
                <w:szCs w:val="18"/>
                <w:lang w:val="en-US"/>
              </w:rPr>
              <w:fldChar w:fldCharType="begin" w:fldLock="1"/>
            </w:r>
            <w:r w:rsidR="00F9124B">
              <w:rPr>
                <w:rFonts w:ascii="Arial" w:hAnsi="Arial" w:cs="Arial"/>
                <w:sz w:val="18"/>
                <w:szCs w:val="18"/>
                <w:lang w:val="en-US"/>
              </w:rPr>
              <w:instrText>ADDIN CSL_CITATION { "citationItems" : [ { "id" : "ITEM-1", "itemData" : { "author" : [ { "dropping-particle" : "", "family" : "Biogen Idec.", "given" : "", "non-dropping-particle" : "", "parse-names" : false, "suffix" : "" } ], "id" : "ITEM-1", "issued" : { "date-parts" : [ [ "2006" ] ] }, "title" : "Natalizumab (Tysabri) for the treatment of adults with highly active relapsing remitting multiple sclerosis: Single technology appraisal (STA) submission to the national institute for health and clinical excellence", "type" : "report" }, "uris" : [ "http://www.mendeley.com/documents/?uuid=5cdb3496-8f2a-4645-891c-f74db0bd04b8" ] }, { "id" : "ITEM-2", "itemData" : { "author" : [ { "dropping-particle" : "", "family" : "Baldwin", "given" : "KJ", "non-dropping-particle" : "", "parse-names" : false, "suffix" : "" }, { "dropping-particle" : "", "family" : "Hogg", "given" : "JP", "non-dropping-particle" : "", "parse-names" : false, "suffix" : "" } ], "container-title" : "Current opinion in neurology", "id" : "ITEM-2", "issue" : "3", "issued" : { "date-parts" : [ [ "2013" ] ] }, "page" : "318-323", "title" : "Progressive multifocal leukoencephalopathy in patients with multiple sclerosis", "type" : "article-journal", "volume" : "26" }, "uris" : [ "http://www.mendeley.com/documents/?uuid=3175ca1f-273b-466f-902b-a0f1ba23de87" ] } ], "mendeley" : { "formattedCitation" : "&lt;sup&gt;16,18&lt;/sup&gt;", "plainTextFormattedCitation" : "16,18", "previouslyFormattedCitation" : "&lt;sup&gt;16,18&lt;/sup&gt;"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F9124B" w:rsidRPr="00F9124B">
              <w:rPr>
                <w:rFonts w:ascii="Arial" w:hAnsi="Arial" w:cs="Arial"/>
                <w:noProof/>
                <w:sz w:val="18"/>
                <w:szCs w:val="18"/>
                <w:vertAlign w:val="superscript"/>
                <w:lang w:val="en-US"/>
              </w:rPr>
              <w:t>16,18</w:t>
            </w:r>
            <w:r w:rsidRPr="005218B8">
              <w:rPr>
                <w:rFonts w:ascii="Arial" w:hAnsi="Arial" w:cs="Arial"/>
                <w:sz w:val="18"/>
                <w:szCs w:val="18"/>
                <w:lang w:val="en-US"/>
              </w:rPr>
              <w:fldChar w:fldCharType="end"/>
            </w:r>
            <w:r w:rsidRPr="005218B8">
              <w:rPr>
                <w:rFonts w:ascii="Arial" w:hAnsi="Arial" w:cs="Arial"/>
                <w:sz w:val="18"/>
                <w:szCs w:val="18"/>
                <w:lang w:val="en-US"/>
              </w:rPr>
              <w:t xml:space="preserve"> </w:t>
            </w:r>
          </w:p>
        </w:tc>
      </w:tr>
      <w:tr w:rsidR="00F9124B" w:rsidRPr="005218B8" w14:paraId="2D350A05" w14:textId="77777777" w:rsidTr="00C32FA3">
        <w:tc>
          <w:tcPr>
            <w:tcW w:w="1085" w:type="pct"/>
          </w:tcPr>
          <w:p w14:paraId="225E0FE9"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Headache</w:t>
            </w:r>
          </w:p>
        </w:tc>
        <w:tc>
          <w:tcPr>
            <w:tcW w:w="884" w:type="pct"/>
          </w:tcPr>
          <w:p w14:paraId="0D95116C" w14:textId="294182FE"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21.30%</w:t>
            </w:r>
            <w:r w:rsidRPr="005218B8">
              <w:rPr>
                <w:rFonts w:ascii="Arial" w:hAnsi="Arial" w:cs="Arial"/>
                <w:sz w:val="18"/>
                <w:szCs w:val="18"/>
                <w:lang w:val="en-US"/>
              </w:rPr>
              <w:fldChar w:fldCharType="begin" w:fldLock="1"/>
            </w:r>
            <w:r w:rsidR="001D4361">
              <w:rPr>
                <w:rFonts w:ascii="Arial" w:hAnsi="Arial" w:cs="Arial"/>
                <w:sz w:val="18"/>
                <w:szCs w:val="18"/>
                <w:lang w:val="en-US"/>
              </w:rPr>
              <w:instrText>ADDIN CSL_CITATION { "citationItems" : [ { "id" : "ITEM-1", "itemData" : { "author" : [ { "dropping-particle" : "", "family" : "Polman", "given" : "CH", "non-dropping-particle" : "", "parse-names" : false, "suffix" : "" }, { "dropping-particle" : "", "family" : "O'Connor", "given" : "PW", "non-dropping-particle" : "", "parse-names" : false, "suffix" : "" }, { "dropping-particle" : "", "family" : "Havrdova", "given" : "E", "non-dropping-particle" : "", "parse-names" : false, "suffix" : "" }, { "dropping-particle" : "", "family" : "Hutchinson", "given" : "M", "non-dropping-particle" : "", "parse-names" : false, "suffix" : "" }, { "dropping-particle" : "", "family" : "Kappos", "given" : "L", "non-dropping-particle" : "", "parse-names" : false, "suffix" : "" }, { "dropping-particle" : "", "family" : "Miller", "given" : "DH", "non-dropping-particle" : "", "parse-names" : false, "suffix" : "" }, { "dropping-particle" : "", "family" : "Phillips", "given" : "JT", "non-dropping-particle" : "", "parse-names" : false, "suffix" : "" }, { "dropping-particle" : "", "family" : "Lublin", "given" : "FD", "non-dropping-particle" : "", "parse-names" : false, "suffix" : "" }, { "dropping-particle" : "", "family" : "Giovannoni", "given" : "Gavin", "non-dropping-particle" : "", "parse-names" : false, "suffix" : "" }, { "dropping-particle" : "", "family" : "Wajgt", "given" : "Andrzej", "non-dropping-particle" : "", "parse-names" : false, "suffix" : "" }, { "dropping-particle" : "", "family" : "Toal", "given" : "M", "non-dropping-particle" : "", "parse-names" : false, "suffix" : "" }, { "dropping-particle" : "", "family" : "Lynn", "given" : "F", "non-dropping-particle" : "", "parse-names" : false, "suffix" : "" }, { "dropping-particle" : "", "family" : "Panzara", "given" : "MA", "non-dropping-particle" : "", "parse-names" : false, "suffix" : "" }, { "dropping-particle" : "", "family" : "Sandrock", "given" : "AW", "non-dropping-particle" : "", "parse-names" : false, "suffix" : "" } ], "container-title" : "The New England journal of medicine", "id" : "ITEM-1", "issue" : "9", "issued" : { "date-parts" : [ [ "2006" ] ] }, "page" : "899-910", "title" : "A randomized, placebo-controlled trial of natalizumab for relapsing multiple sclerosis", "type" : "article-journal", "volume" : "354" }, "uris" : [ "http://www.mendeley.com/documents/?uuid=89512d1f-e683-4d73-89bf-b4c967c5906d" ] } ], "mendeley" : { "formattedCitation" : "&lt;sup&gt;19&lt;/sup&gt;", "plainTextFormattedCitation" : "19", "previouslyFormattedCitation" : "&lt;sup&gt;19&lt;/sup&gt;"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1D4361" w:rsidRPr="001D4361">
              <w:rPr>
                <w:rFonts w:ascii="Arial" w:hAnsi="Arial" w:cs="Arial"/>
                <w:noProof/>
                <w:sz w:val="18"/>
                <w:szCs w:val="18"/>
                <w:vertAlign w:val="superscript"/>
                <w:lang w:val="en-US"/>
              </w:rPr>
              <w:t>19</w:t>
            </w:r>
            <w:r w:rsidRPr="005218B8">
              <w:rPr>
                <w:rFonts w:ascii="Arial" w:hAnsi="Arial" w:cs="Arial"/>
                <w:sz w:val="18"/>
                <w:szCs w:val="18"/>
                <w:lang w:val="en-US"/>
              </w:rPr>
              <w:fldChar w:fldCharType="end"/>
            </w:r>
          </w:p>
        </w:tc>
        <w:tc>
          <w:tcPr>
            <w:tcW w:w="625" w:type="pct"/>
          </w:tcPr>
          <w:p w14:paraId="2ACA236B"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124.43</w:t>
            </w:r>
          </w:p>
        </w:tc>
        <w:tc>
          <w:tcPr>
            <w:tcW w:w="2406" w:type="pct"/>
          </w:tcPr>
          <w:p w14:paraId="27BD88C7"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 xml:space="preserve">Specialist visit </w:t>
            </w:r>
          </w:p>
        </w:tc>
      </w:tr>
      <w:tr w:rsidR="00F9124B" w:rsidRPr="005218B8" w14:paraId="5577481C" w14:textId="77777777" w:rsidTr="00C32FA3">
        <w:tc>
          <w:tcPr>
            <w:tcW w:w="1085" w:type="pct"/>
          </w:tcPr>
          <w:p w14:paraId="66CE1F7B"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Fatigue</w:t>
            </w:r>
          </w:p>
        </w:tc>
        <w:tc>
          <w:tcPr>
            <w:tcW w:w="884" w:type="pct"/>
          </w:tcPr>
          <w:p w14:paraId="0C9A9E55" w14:textId="6C31EE8A"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14.60%</w:t>
            </w:r>
            <w:r w:rsidRPr="005218B8">
              <w:rPr>
                <w:rFonts w:ascii="Arial" w:hAnsi="Arial" w:cs="Arial"/>
                <w:sz w:val="18"/>
                <w:szCs w:val="18"/>
                <w:lang w:val="en-US"/>
              </w:rPr>
              <w:fldChar w:fldCharType="begin" w:fldLock="1"/>
            </w:r>
            <w:r w:rsidR="001D4361">
              <w:rPr>
                <w:rFonts w:ascii="Arial" w:hAnsi="Arial" w:cs="Arial"/>
                <w:sz w:val="18"/>
                <w:szCs w:val="18"/>
                <w:lang w:val="en-US"/>
              </w:rPr>
              <w:instrText>ADDIN CSL_CITATION { "citationItems" : [ { "id" : "ITEM-1", "itemData" : { "author" : [ { "dropping-particle" : "", "family" : "Polman", "given" : "CH", "non-dropping-particle" : "", "parse-names" : false, "suffix" : "" }, { "dropping-particle" : "", "family" : "O'Connor", "given" : "PW", "non-dropping-particle" : "", "parse-names" : false, "suffix" : "" }, { "dropping-particle" : "", "family" : "Havrdova", "given" : "E", "non-dropping-particle" : "", "parse-names" : false, "suffix" : "" }, { "dropping-particle" : "", "family" : "Hutchinson", "given" : "M", "non-dropping-particle" : "", "parse-names" : false, "suffix" : "" }, { "dropping-particle" : "", "family" : "Kappos", "given" : "L", "non-dropping-particle" : "", "parse-names" : false, "suffix" : "" }, { "dropping-particle" : "", "family" : "Miller", "given" : "DH", "non-dropping-particle" : "", "parse-names" : false, "suffix" : "" }, { "dropping-particle" : "", "family" : "Phillips", "given" : "JT", "non-dropping-particle" : "", "parse-names" : false, "suffix" : "" }, { "dropping-particle" : "", "family" : "Lublin", "given" : "FD", "non-dropping-particle" : "", "parse-names" : false, "suffix" : "" }, { "dropping-particle" : "", "family" : "Giovannoni", "given" : "Gavin", "non-dropping-particle" : "", "parse-names" : false, "suffix" : "" }, { "dropping-particle" : "", "family" : "Wajgt", "given" : "Andrzej", "non-dropping-particle" : "", "parse-names" : false, "suffix" : "" }, { "dropping-particle" : "", "family" : "Toal", "given" : "M", "non-dropping-particle" : "", "parse-names" : false, "suffix" : "" }, { "dropping-particle" : "", "family" : "Lynn", "given" : "F", "non-dropping-particle" : "", "parse-names" : false, "suffix" : "" }, { "dropping-particle" : "", "family" : "Panzara", "given" : "MA", "non-dropping-particle" : "", "parse-names" : false, "suffix" : "" }, { "dropping-particle" : "", "family" : "Sandrock", "given" : "AW", "non-dropping-particle" : "", "parse-names" : false, "suffix" : "" } ], "container-title" : "The New England journal of medicine", "id" : "ITEM-1", "issue" : "9", "issued" : { "date-parts" : [ [ "2006" ] ] }, "page" : "899-910", "title" : "A randomized, placebo-controlled trial of natalizumab for relapsing multiple sclerosis", "type" : "article-journal", "volume" : "354" }, "uris" : [ "http://www.mendeley.com/documents/?uuid=89512d1f-e683-4d73-89bf-b4c967c5906d" ] } ], "mendeley" : { "formattedCitation" : "&lt;sup&gt;19&lt;/sup&gt;", "plainTextFormattedCitation" : "19", "previouslyFormattedCitation" : "&lt;sup&gt;19&lt;/sup&gt;"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1D4361" w:rsidRPr="001D4361">
              <w:rPr>
                <w:rFonts w:ascii="Arial" w:hAnsi="Arial" w:cs="Arial"/>
                <w:noProof/>
                <w:sz w:val="18"/>
                <w:szCs w:val="18"/>
                <w:vertAlign w:val="superscript"/>
                <w:lang w:val="en-US"/>
              </w:rPr>
              <w:t>19</w:t>
            </w:r>
            <w:r w:rsidRPr="005218B8">
              <w:rPr>
                <w:rFonts w:ascii="Arial" w:hAnsi="Arial" w:cs="Arial"/>
                <w:sz w:val="18"/>
                <w:szCs w:val="18"/>
                <w:lang w:val="en-US"/>
              </w:rPr>
              <w:fldChar w:fldCharType="end"/>
            </w:r>
          </w:p>
        </w:tc>
        <w:tc>
          <w:tcPr>
            <w:tcW w:w="625" w:type="pct"/>
          </w:tcPr>
          <w:p w14:paraId="22B8E4E5"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124.43</w:t>
            </w:r>
          </w:p>
        </w:tc>
        <w:tc>
          <w:tcPr>
            <w:tcW w:w="2406" w:type="pct"/>
          </w:tcPr>
          <w:p w14:paraId="2A31D9A5"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Specialist visit</w:t>
            </w:r>
          </w:p>
        </w:tc>
      </w:tr>
      <w:tr w:rsidR="00F9124B" w:rsidRPr="00432E70" w14:paraId="5FA0E2F3" w14:textId="77777777" w:rsidTr="00C32FA3">
        <w:tc>
          <w:tcPr>
            <w:tcW w:w="1085" w:type="pct"/>
          </w:tcPr>
          <w:p w14:paraId="5C164AB6"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Arthralgia</w:t>
            </w:r>
          </w:p>
        </w:tc>
        <w:tc>
          <w:tcPr>
            <w:tcW w:w="884" w:type="pct"/>
          </w:tcPr>
          <w:p w14:paraId="5E3D2193" w14:textId="5CD2165D"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10.00%</w:t>
            </w:r>
            <w:r w:rsidRPr="005218B8">
              <w:rPr>
                <w:rFonts w:ascii="Arial" w:hAnsi="Arial" w:cs="Arial"/>
                <w:sz w:val="18"/>
                <w:szCs w:val="18"/>
                <w:lang w:val="en-US"/>
              </w:rPr>
              <w:fldChar w:fldCharType="begin" w:fldLock="1"/>
            </w:r>
            <w:r w:rsidR="001D4361">
              <w:rPr>
                <w:rFonts w:ascii="Arial" w:hAnsi="Arial" w:cs="Arial"/>
                <w:sz w:val="18"/>
                <w:szCs w:val="18"/>
                <w:lang w:val="en-US"/>
              </w:rPr>
              <w:instrText>ADDIN CSL_CITATION { "citationItems" : [ { "id" : "ITEM-1", "itemData" : { "author" : [ { "dropping-particle" : "", "family" : "Polman", "given" : "CH", "non-dropping-particle" : "", "parse-names" : false, "suffix" : "" }, { "dropping-particle" : "", "family" : "O'Connor", "given" : "PW", "non-dropping-particle" : "", "parse-names" : false, "suffix" : "" }, { "dropping-particle" : "", "family" : "Havrdova", "given" : "E", "non-dropping-particle" : "", "parse-names" : false, "suffix" : "" }, { "dropping-particle" : "", "family" : "Hutchinson", "given" : "M", "non-dropping-particle" : "", "parse-names" : false, "suffix" : "" }, { "dropping-particle" : "", "family" : "Kappos", "given" : "L", "non-dropping-particle" : "", "parse-names" : false, "suffix" : "" }, { "dropping-particle" : "", "family" : "Miller", "given" : "DH", "non-dropping-particle" : "", "parse-names" : false, "suffix" : "" }, { "dropping-particle" : "", "family" : "Phillips", "given" : "JT", "non-dropping-particle" : "", "parse-names" : false, "suffix" : "" }, { "dropping-particle" : "", "family" : "Lublin", "given" : "FD", "non-dropping-particle" : "", "parse-names" : false, "suffix" : "" }, { "dropping-particle" : "", "family" : "Giovannoni", "given" : "Gavin", "non-dropping-particle" : "", "parse-names" : false, "suffix" : "" }, { "dropping-particle" : "", "family" : "Wajgt", "given" : "Andrzej", "non-dropping-particle" : "", "parse-names" : false, "suffix" : "" }, { "dropping-particle" : "", "family" : "Toal", "given" : "M", "non-dropping-particle" : "", "parse-names" : false, "suffix" : "" }, { "dropping-particle" : "", "family" : "Lynn", "given" : "F", "non-dropping-particle" : "", "parse-names" : false, "suffix" : "" }, { "dropping-particle" : "", "family" : "Panzara", "given" : "MA", "non-dropping-particle" : "", "parse-names" : false, "suffix" : "" }, { "dropping-particle" : "", "family" : "Sandrock", "given" : "AW", "non-dropping-particle" : "", "parse-names" : false, "suffix" : "" } ], "container-title" : "The New England journal of medicine", "id" : "ITEM-1", "issue" : "9", "issued" : { "date-parts" : [ [ "2006" ] ] }, "page" : "899-910", "title" : "A randomized, placebo-controlled trial of natalizumab for relapsing multiple sclerosis", "type" : "article-journal", "volume" : "354" }, "uris" : [ "http://www.mendeley.com/documents/?uuid=89512d1f-e683-4d73-89bf-b4c967c5906d" ] } ], "mendeley" : { "formattedCitation" : "&lt;sup&gt;19&lt;/sup&gt;", "plainTextFormattedCitation" : "19", "previouslyFormattedCitation" : "&lt;sup&gt;19&lt;/sup&gt;"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1D4361" w:rsidRPr="001D4361">
              <w:rPr>
                <w:rFonts w:ascii="Arial" w:hAnsi="Arial" w:cs="Arial"/>
                <w:noProof/>
                <w:sz w:val="18"/>
                <w:szCs w:val="18"/>
                <w:vertAlign w:val="superscript"/>
                <w:lang w:val="en-US"/>
              </w:rPr>
              <w:t>19</w:t>
            </w:r>
            <w:r w:rsidRPr="005218B8">
              <w:rPr>
                <w:rFonts w:ascii="Arial" w:hAnsi="Arial" w:cs="Arial"/>
                <w:sz w:val="18"/>
                <w:szCs w:val="18"/>
                <w:lang w:val="en-US"/>
              </w:rPr>
              <w:fldChar w:fldCharType="end"/>
            </w:r>
          </w:p>
        </w:tc>
        <w:tc>
          <w:tcPr>
            <w:tcW w:w="625" w:type="pct"/>
          </w:tcPr>
          <w:p w14:paraId="6A3DEF19"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261.77</w:t>
            </w:r>
          </w:p>
        </w:tc>
        <w:tc>
          <w:tcPr>
            <w:tcW w:w="2406" w:type="pct"/>
          </w:tcPr>
          <w:p w14:paraId="650A8518" w14:textId="75F94639" w:rsidR="00D90414" w:rsidRPr="005218B8" w:rsidRDefault="00CF137E"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GP visit</w:t>
            </w:r>
            <w:r w:rsidR="00D90414" w:rsidRPr="005218B8">
              <w:rPr>
                <w:rFonts w:ascii="Arial" w:hAnsi="Arial" w:cs="Arial"/>
                <w:sz w:val="18"/>
                <w:szCs w:val="18"/>
                <w:lang w:val="en-US"/>
              </w:rPr>
              <w:t>, methylprednisolone injections and outpatient pain management appo</w:t>
            </w:r>
            <w:r w:rsidRPr="005218B8">
              <w:rPr>
                <w:rFonts w:ascii="Arial" w:hAnsi="Arial" w:cs="Arial"/>
                <w:sz w:val="18"/>
                <w:szCs w:val="18"/>
                <w:lang w:val="en-US"/>
              </w:rPr>
              <w:t xml:space="preserve">intment, including 3 outpatient </w:t>
            </w:r>
            <w:r w:rsidR="00D90414" w:rsidRPr="005218B8">
              <w:rPr>
                <w:rFonts w:ascii="Arial" w:hAnsi="Arial" w:cs="Arial"/>
                <w:sz w:val="18"/>
                <w:szCs w:val="18"/>
                <w:lang w:val="en-US"/>
              </w:rPr>
              <w:t xml:space="preserve">visits. </w:t>
            </w:r>
          </w:p>
        </w:tc>
      </w:tr>
      <w:tr w:rsidR="00F9124B" w:rsidRPr="00432E70" w14:paraId="2E5F8631" w14:textId="77777777" w:rsidTr="00C32FA3">
        <w:trPr>
          <w:trHeight w:val="70"/>
        </w:trPr>
        <w:tc>
          <w:tcPr>
            <w:tcW w:w="1085" w:type="pct"/>
          </w:tcPr>
          <w:p w14:paraId="3A2F806F"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Allergic reaction</w:t>
            </w:r>
          </w:p>
        </w:tc>
        <w:tc>
          <w:tcPr>
            <w:tcW w:w="884" w:type="pct"/>
          </w:tcPr>
          <w:p w14:paraId="4B5EFB57" w14:textId="34C61417" w:rsidR="00D90414" w:rsidRPr="005218B8" w:rsidRDefault="00D90414" w:rsidP="001D4361">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4.60%</w:t>
            </w:r>
            <w:r w:rsidRPr="005218B8">
              <w:rPr>
                <w:rFonts w:ascii="Arial" w:hAnsi="Arial" w:cs="Arial"/>
                <w:sz w:val="18"/>
                <w:szCs w:val="18"/>
                <w:lang w:val="en-US"/>
              </w:rPr>
              <w:fldChar w:fldCharType="begin" w:fldLock="1"/>
            </w:r>
            <w:r w:rsidR="001D4361">
              <w:rPr>
                <w:rFonts w:ascii="Arial" w:hAnsi="Arial" w:cs="Arial"/>
                <w:sz w:val="18"/>
                <w:szCs w:val="18"/>
                <w:lang w:val="en-US"/>
              </w:rPr>
              <w:instrText>ADDIN CSL_CITATION { "citationItems" : [ { "id" : "ITEM-1", "itemData" : { "author" : [ { "dropping-particle" : "", "family" : "Polman", "given" : "CH", "non-dropping-particle" : "", "parse-names" : false, "suffix" : "" }, { "dropping-particle" : "", "family" : "O'Connor", "given" : "PW", "non-dropping-particle" : "", "parse-names" : false, "suffix" : "" }, { "dropping-particle" : "", "family" : "Havrdova", "given" : "E", "non-dropping-particle" : "", "parse-names" : false, "suffix" : "" }, { "dropping-particle" : "", "family" : "Hutchinson", "given" : "M", "non-dropping-particle" : "", "parse-names" : false, "suffix" : "" }, { "dropping-particle" : "", "family" : "Kappos", "given" : "L", "non-dropping-particle" : "", "parse-names" : false, "suffix" : "" }, { "dropping-particle" : "", "family" : "Miller", "given" : "DH", "non-dropping-particle" : "", "parse-names" : false, "suffix" : "" }, { "dropping-particle" : "", "family" : "Phillips", "given" : "JT", "non-dropping-particle" : "", "parse-names" : false, "suffix" : "" }, { "dropping-particle" : "", "family" : "Lublin", "given" : "FD", "non-dropping-particle" : "", "parse-names" : false, "suffix" : "" }, { "dropping-particle" : "", "family" : "Giovannoni", "given" : "Gavin", "non-dropping-particle" : "", "parse-names" : false, "suffix" : "" }, { "dropping-particle" : "", "family" : "Wajgt", "given" : "Andrzej", "non-dropping-particle" : "", "parse-names" : false, "suffix" : "" }, { "dropping-particle" : "", "family" : "Toal", "given" : "M", "non-dropping-particle" : "", "parse-names" : false, "suffix" : "" }, { "dropping-particle" : "", "family" : "Lynn", "given" : "F", "non-dropping-particle" : "", "parse-names" : false, "suffix" : "" }, { "dropping-particle" : "", "family" : "Panzara", "given" : "MA", "non-dropping-particle" : "", "parse-names" : false, "suffix" : "" }, { "dropping-particle" : "", "family" : "Sandrock", "given" : "AW", "non-dropping-particle" : "", "parse-names" : false, "suffix" : "" } ], "container-title" : "The New England journal of medicine", "id" : "ITEM-1", "issue" : "9", "issued" : { "date-parts" : [ [ "2006" ] ] }, "page" : "899-910", "title" : "A randomized, placebo-controlled trial of natalizumab for relapsing multiple sclerosis", "type" : "article-journal", "volume" : "354" }, "uris" : [ "http://www.mendeley.com/documents/?uuid=89512d1f-e683-4d73-89bf-b4c967c5906d" ] } ], "mendeley" : { "formattedCitation" : "&lt;sup&gt;19&lt;/sup&gt;", "plainTextFormattedCitation" : "19", "previouslyFormattedCitation" : "&lt;sup&gt;19&lt;/sup&gt;" }, "properties" : { "noteIndex" : 0 }, "schema" : "https://github.com/citation-style-language/schema/raw/master/csl-citation.json" }</w:instrText>
            </w:r>
            <w:r w:rsidRPr="005218B8">
              <w:rPr>
                <w:rFonts w:ascii="Arial" w:hAnsi="Arial" w:cs="Arial"/>
                <w:sz w:val="18"/>
                <w:szCs w:val="18"/>
                <w:vertAlign w:val="superscript"/>
                <w:lang w:val="en-US"/>
              </w:rPr>
              <w:fldChar w:fldCharType="separate"/>
            </w:r>
            <w:r w:rsidR="001D4361" w:rsidRPr="001D4361">
              <w:rPr>
                <w:rFonts w:ascii="Arial" w:hAnsi="Arial" w:cs="Arial"/>
                <w:noProof/>
                <w:sz w:val="18"/>
                <w:szCs w:val="18"/>
                <w:vertAlign w:val="superscript"/>
                <w:lang w:val="en-US"/>
              </w:rPr>
              <w:t>19</w:t>
            </w:r>
            <w:r w:rsidRPr="005218B8">
              <w:rPr>
                <w:rFonts w:ascii="Arial" w:hAnsi="Arial" w:cs="Arial"/>
                <w:sz w:val="18"/>
                <w:szCs w:val="18"/>
                <w:lang w:val="en-US"/>
              </w:rPr>
              <w:fldChar w:fldCharType="end"/>
            </w:r>
          </w:p>
        </w:tc>
        <w:tc>
          <w:tcPr>
            <w:tcW w:w="625" w:type="pct"/>
          </w:tcPr>
          <w:p w14:paraId="15DD0A5B" w14:textId="77777777" w:rsidR="00D90414" w:rsidRPr="005218B8" w:rsidRDefault="00D90414" w:rsidP="00EA5F1F">
            <w:pPr>
              <w:autoSpaceDE w:val="0"/>
              <w:autoSpaceDN w:val="0"/>
              <w:adjustRightInd w:val="0"/>
              <w:spacing w:line="360" w:lineRule="auto"/>
              <w:jc w:val="right"/>
              <w:rPr>
                <w:rFonts w:ascii="Arial" w:hAnsi="Arial" w:cs="Arial"/>
                <w:sz w:val="18"/>
                <w:szCs w:val="18"/>
                <w:lang w:val="en-US"/>
              </w:rPr>
            </w:pPr>
            <w:r w:rsidRPr="005218B8">
              <w:rPr>
                <w:rFonts w:ascii="Arial" w:hAnsi="Arial" w:cs="Arial"/>
                <w:sz w:val="18"/>
                <w:szCs w:val="18"/>
                <w:lang w:val="en-US"/>
              </w:rPr>
              <w:t>276.44</w:t>
            </w:r>
          </w:p>
        </w:tc>
        <w:tc>
          <w:tcPr>
            <w:tcW w:w="2406" w:type="pct"/>
          </w:tcPr>
          <w:p w14:paraId="5BE2FF0D" w14:textId="77777777" w:rsidR="00D90414" w:rsidRPr="005218B8" w:rsidRDefault="00D90414" w:rsidP="00EA5F1F">
            <w:pPr>
              <w:autoSpaceDE w:val="0"/>
              <w:autoSpaceDN w:val="0"/>
              <w:adjustRightInd w:val="0"/>
              <w:spacing w:line="360" w:lineRule="auto"/>
              <w:rPr>
                <w:rFonts w:ascii="Arial" w:hAnsi="Arial" w:cs="Arial"/>
                <w:sz w:val="18"/>
                <w:szCs w:val="18"/>
                <w:lang w:val="en-US"/>
              </w:rPr>
            </w:pPr>
            <w:r w:rsidRPr="005218B8">
              <w:rPr>
                <w:rFonts w:ascii="Arial" w:hAnsi="Arial" w:cs="Arial"/>
                <w:sz w:val="18"/>
                <w:szCs w:val="18"/>
                <w:lang w:val="en-US"/>
              </w:rPr>
              <w:t>One week course of treatment with methylprednisolone and cost of neurology visits in 25% of patients.</w:t>
            </w:r>
          </w:p>
        </w:tc>
      </w:tr>
    </w:tbl>
    <w:p w14:paraId="1D1AE6E1" w14:textId="01993291" w:rsidR="005218B8" w:rsidRPr="005218B8" w:rsidRDefault="005218B8" w:rsidP="005218B8">
      <w:pPr>
        <w:pStyle w:val="Caption"/>
        <w:keepNext/>
        <w:rPr>
          <w:rFonts w:ascii="Arial" w:hAnsi="Arial" w:cs="Arial"/>
          <w:i w:val="0"/>
          <w:iCs w:val="0"/>
          <w:color w:val="auto"/>
          <w:szCs w:val="22"/>
          <w:lang w:val="en-US"/>
        </w:rPr>
      </w:pPr>
      <w:r w:rsidRPr="005218B8">
        <w:rPr>
          <w:rFonts w:ascii="Arial" w:hAnsi="Arial" w:cs="Arial"/>
          <w:i w:val="0"/>
          <w:iCs w:val="0"/>
          <w:color w:val="auto"/>
          <w:szCs w:val="22"/>
          <w:lang w:val="en-US"/>
        </w:rPr>
        <w:t>*See table B</w:t>
      </w:r>
      <w:r w:rsidR="000F1D0A">
        <w:rPr>
          <w:rFonts w:ascii="Arial" w:hAnsi="Arial" w:cs="Arial"/>
          <w:i w:val="0"/>
          <w:iCs w:val="0"/>
          <w:color w:val="auto"/>
          <w:szCs w:val="22"/>
          <w:lang w:val="en-US"/>
        </w:rPr>
        <w:t xml:space="preserve">. **5-year probability calculated from the proportion of patients that experienced thyroid AE times the proportions </w:t>
      </w:r>
      <w:r w:rsidR="001D4361">
        <w:rPr>
          <w:rFonts w:ascii="Arial" w:hAnsi="Arial" w:cs="Arial"/>
          <w:i w:val="0"/>
          <w:iCs w:val="0"/>
          <w:color w:val="auto"/>
          <w:szCs w:val="22"/>
          <w:lang w:val="en-US"/>
        </w:rPr>
        <w:t xml:space="preserve">receiving thyroidectomy or iodine ablation. </w:t>
      </w:r>
      <w:r w:rsidR="000F1D0A">
        <w:rPr>
          <w:rFonts w:ascii="Arial" w:hAnsi="Arial" w:cs="Arial"/>
          <w:i w:val="0"/>
          <w:iCs w:val="0"/>
          <w:color w:val="auto"/>
          <w:szCs w:val="22"/>
          <w:lang w:val="en-US"/>
        </w:rPr>
        <w:t xml:space="preserve">Costs were conservatively applied in the first year and thus not discounted. </w:t>
      </w:r>
      <w:r w:rsidRPr="005218B8">
        <w:rPr>
          <w:rFonts w:ascii="Arial" w:hAnsi="Arial" w:cs="Arial"/>
          <w:i w:val="0"/>
          <w:iCs w:val="0"/>
          <w:color w:val="auto"/>
          <w:szCs w:val="22"/>
          <w:lang w:val="en-US"/>
        </w:rPr>
        <w:t xml:space="preserve"> </w:t>
      </w:r>
    </w:p>
    <w:p w14:paraId="4DF609A9" w14:textId="4EBD544B" w:rsidR="005218B8" w:rsidRPr="00FF543F" w:rsidRDefault="005218B8" w:rsidP="005218B8">
      <w:pPr>
        <w:pStyle w:val="Caption"/>
        <w:keepNext/>
        <w:spacing w:after="0"/>
        <w:rPr>
          <w:rFonts w:ascii="Arial" w:hAnsi="Arial" w:cs="Arial"/>
          <w:i w:val="0"/>
          <w:lang w:val="en-US"/>
        </w:rPr>
      </w:pPr>
      <w:r w:rsidRPr="00FF543F">
        <w:rPr>
          <w:rFonts w:ascii="Arial" w:hAnsi="Arial" w:cs="Arial"/>
          <w:i w:val="0"/>
          <w:color w:val="000000" w:themeColor="text1"/>
          <w:lang w:val="en-US"/>
        </w:rPr>
        <w:t xml:space="preserve">Table </w:t>
      </w:r>
      <w:r w:rsidRPr="005218B8">
        <w:rPr>
          <w:rFonts w:ascii="Arial" w:hAnsi="Arial" w:cs="Arial"/>
          <w:i w:val="0"/>
          <w:color w:val="000000" w:themeColor="text1"/>
        </w:rPr>
        <w:fldChar w:fldCharType="begin"/>
      </w:r>
      <w:r w:rsidRPr="00FF543F">
        <w:rPr>
          <w:rFonts w:ascii="Arial" w:hAnsi="Arial" w:cs="Arial"/>
          <w:i w:val="0"/>
          <w:color w:val="000000" w:themeColor="text1"/>
          <w:lang w:val="en-US"/>
        </w:rPr>
        <w:instrText xml:space="preserve"> SEQ Table \* ALPHABETIC </w:instrText>
      </w:r>
      <w:r w:rsidRPr="005218B8">
        <w:rPr>
          <w:rFonts w:ascii="Arial" w:hAnsi="Arial" w:cs="Arial"/>
          <w:i w:val="0"/>
          <w:color w:val="000000" w:themeColor="text1"/>
        </w:rPr>
        <w:fldChar w:fldCharType="separate"/>
      </w:r>
      <w:r w:rsidR="001A37C3" w:rsidRPr="00FF543F">
        <w:rPr>
          <w:rFonts w:ascii="Arial" w:hAnsi="Arial" w:cs="Arial"/>
          <w:i w:val="0"/>
          <w:noProof/>
          <w:color w:val="000000" w:themeColor="text1"/>
          <w:lang w:val="en-US"/>
        </w:rPr>
        <w:t>B</w:t>
      </w:r>
      <w:r w:rsidRPr="005218B8">
        <w:rPr>
          <w:rFonts w:ascii="Arial" w:hAnsi="Arial" w:cs="Arial"/>
          <w:i w:val="0"/>
          <w:color w:val="000000" w:themeColor="text1"/>
        </w:rPr>
        <w:fldChar w:fldCharType="end"/>
      </w:r>
      <w:r w:rsidRPr="00FF543F">
        <w:rPr>
          <w:rFonts w:ascii="Arial" w:hAnsi="Arial" w:cs="Arial"/>
          <w:i w:val="0"/>
          <w:color w:val="000000" w:themeColor="text1"/>
          <w:lang w:val="en-US"/>
        </w:rPr>
        <w:t xml:space="preserve"> Annual probabilities of </w:t>
      </w:r>
      <w:r w:rsidR="000F1D0A">
        <w:rPr>
          <w:rFonts w:ascii="Arial" w:hAnsi="Arial" w:cs="Arial"/>
          <w:i w:val="0"/>
          <w:color w:val="000000" w:themeColor="text1"/>
          <w:lang w:val="en-US"/>
        </w:rPr>
        <w:t xml:space="preserve">acquiring </w:t>
      </w:r>
      <w:r w:rsidR="00FF543F">
        <w:rPr>
          <w:rFonts w:ascii="Arial" w:hAnsi="Arial" w:cs="Arial"/>
          <w:i w:val="0"/>
          <w:color w:val="000000" w:themeColor="text1"/>
          <w:lang w:val="en-US"/>
        </w:rPr>
        <w:t xml:space="preserve">autoimmune </w:t>
      </w:r>
      <w:r w:rsidRPr="00FF543F">
        <w:rPr>
          <w:rFonts w:ascii="Arial" w:hAnsi="Arial" w:cs="Arial"/>
          <w:i w:val="0"/>
          <w:color w:val="000000" w:themeColor="text1"/>
          <w:lang w:val="en-US"/>
        </w:rPr>
        <w:t>thyroid</w:t>
      </w:r>
      <w:r w:rsidR="00FF543F">
        <w:rPr>
          <w:rFonts w:ascii="Arial" w:hAnsi="Arial" w:cs="Arial"/>
          <w:i w:val="0"/>
          <w:color w:val="000000" w:themeColor="text1"/>
          <w:lang w:val="en-US"/>
        </w:rPr>
        <w:t xml:space="preserve">-related </w:t>
      </w:r>
      <w:r w:rsidRPr="00FF543F">
        <w:rPr>
          <w:rFonts w:ascii="Arial" w:hAnsi="Arial" w:cs="Arial"/>
          <w:i w:val="0"/>
          <w:color w:val="000000" w:themeColor="text1"/>
          <w:lang w:val="en-US"/>
        </w:rPr>
        <w:t>adverse events by year</w:t>
      </w:r>
      <w:r w:rsidR="00A37747">
        <w:rPr>
          <w:rFonts w:ascii="Arial" w:hAnsi="Arial" w:cs="Arial"/>
          <w:i w:val="0"/>
          <w:color w:val="000000" w:themeColor="text1"/>
          <w:lang w:val="en-US"/>
        </w:rPr>
        <w:t xml:space="preserve"> from alemtuzumab initiation</w:t>
      </w:r>
      <w:r w:rsidR="00FF543F" w:rsidRPr="00FF543F">
        <w:rPr>
          <w:rFonts w:ascii="Arial" w:hAnsi="Arial" w:cs="Arial"/>
          <w:i w:val="0"/>
          <w:color w:val="000000" w:themeColor="text1"/>
          <w:lang w:val="en-US"/>
        </w:rPr>
        <w:fldChar w:fldCharType="begin" w:fldLock="1"/>
      </w:r>
      <w:r w:rsidR="00F9124B">
        <w:rPr>
          <w:rFonts w:ascii="Arial" w:hAnsi="Arial" w:cs="Arial"/>
          <w:i w:val="0"/>
          <w:color w:val="000000" w:themeColor="text1"/>
          <w:lang w:val="en-US"/>
        </w:rPr>
        <w:instrText>ADDIN CSL_CITATION { "citationItems" : [ { "id" : "ITEM-1", "itemData" : { "author" : [ { "dropping-particle" : "", "family" : "Senior", "given" : "Peter A", "non-dropping-particle" : "", "parse-names" : false, "suffix" : "" }, { "dropping-particle" : "", "family" : "Arnold", "given" : "Douglas L", "non-dropping-particle" : "", "parse-names" : false, "suffix" : "" }, { "dropping-particle" : "", "family" : "Cohen", "given" : "Jeffrey A", "non-dropping-particle" : "", "parse-names" : false, "suffix" : "" }, { "dropping-particle" : "", "family" : "Fox", "given" : "Edward J", "non-dropping-particle" : "", "parse-names" : false, "suffix" : "" }, { "dropping-particle" : "", "family" : "Hartung", "given" : "Hans-peter", "non-dropping-particle" : "", "parse-names" : false, "suffix" : "" }, { "dropping-particle" : "", "family" : "Havrdova", "given" : "Eva", "non-dropping-particle" : "", "parse-names" : false, "suffix" : "" }, { "dropping-particle" : "", "family" : "Selmaj", "given" : "Krzysztof W", "non-dropping-particle" : "", "parse-names" : false, "suffix" : "" }, { "dropping-particle" : "", "family" : "Margolin", "given" : "David H", "non-dropping-particle" : "", "parse-names" : false, "suffix" : "" }, { "dropping-particle" : "", "family" : "Kasten", "given" : "Linda", "non-dropping-particle" : "", "parse-names" : false, "suffix" : "" }, { "dropping-particle" : "", "family" : "Coles", "given" : "Alasdair J", "non-dropping-particle" : "", "parse-names" : false, "suffix" : "" }, { "dropping-particle" : "", "family" : "Senior", "given" : "Peter A", "non-dropping-particle" : "", "parse-names" : false, "suffix" : "" }, { "dropping-particle" : "", "family" : "Arnold", "given" : "Douglas L", "non-dropping-particle" : "", "parse-names" : false, "suffix" : "" }, { "dropping-particle" : "", "family" : "Cohen", "given" : "Jeffrey A", "non-dropping-particle" : "", "parse-names" : false, "suffix" : "" }, { "dropping-particle" : "", "family" : "Fox", "given" : "Edward J", "non-dropping-particle" : "", "parse-names" : false, "suffix" : "" }, { "dropping-particle" : "", "family" : "Hartung", "given" : "Hans-peter", "non-dropping-particle" : "", "parse-names" : false, "suffix" : "" }, { "dropping-particle" : "", "family" : "Havrdova", "given" : "Eva", "non-dropping-particle" : "", "parse-names" : false, "suffix" : "" }, { "dropping-particle" : "", "family" : "Selmaj", "given" : "Krzysztof W", "non-dropping-particle" : "", "parse-names" : false, "suffix" : "" }, { "dropping-particle" : "", "family" : "Margolin", "given" : "David H", "non-dropping-particle" : "", "parse-names" : false, "suffix" : "" }, { "dropping-particle" : "", "family" : "Kasten", "given" : "Linda", "non-dropping-particle" : "", "parse-names" : false, "suffix" : "" }, { "dropping-particle" : "", "family" : "Coles", "given" : "Alasdair J", "non-dropping-particle" : "", "parse-names" : false, "suffix" : "" } ], "container-title" : "Presented at the 68th American Academy of Neurology Annual Meeting", "id" : "ITEM-1", "issue" : "P2.086", "issued" : { "date-parts" : [ [ "2016" ] ] }, "title" : "Incidence and Timing of Thyroid Adverse Events in Patients With RRMS Treated With Alemtuzumab Through 5 Years of the CARE-MS Studies", "type" : "article-journal" }, "uris" : [ "http://www.mendeley.com/documents/?uuid=510cba81-00b4-49bb-950b-52f9072c7545" ] } ], "mendeley" : { "formattedCitation" : "&lt;sup&gt;8&lt;/sup&gt;", "plainTextFormattedCitation" : "8", "previouslyFormattedCitation" : "&lt;sup&gt;8&lt;/sup&gt;" }, "properties" : { "noteIndex" : 0 }, "schema" : "https://github.com/citation-style-language/schema/raw/master/csl-citation.json" }</w:instrText>
      </w:r>
      <w:r w:rsidR="00FF543F" w:rsidRPr="00FF543F">
        <w:rPr>
          <w:rFonts w:ascii="Arial" w:hAnsi="Arial" w:cs="Arial"/>
          <w:i w:val="0"/>
          <w:color w:val="000000" w:themeColor="text1"/>
          <w:vertAlign w:val="superscript"/>
          <w:lang w:val="en-US"/>
        </w:rPr>
        <w:fldChar w:fldCharType="separate"/>
      </w:r>
      <w:r w:rsidR="00F9124B" w:rsidRPr="00F9124B">
        <w:rPr>
          <w:rFonts w:ascii="Arial" w:hAnsi="Arial" w:cs="Arial"/>
          <w:i w:val="0"/>
          <w:noProof/>
          <w:color w:val="000000" w:themeColor="text1"/>
          <w:vertAlign w:val="superscript"/>
          <w:lang w:val="en-US"/>
        </w:rPr>
        <w:t>8</w:t>
      </w:r>
      <w:r w:rsidR="00FF543F" w:rsidRPr="00FF543F">
        <w:rPr>
          <w:rFonts w:ascii="Arial" w:hAnsi="Arial" w:cs="Arial"/>
          <w:i w:val="0"/>
          <w:color w:val="000000" w:themeColor="text1"/>
          <w:lang w:val="en-US"/>
        </w:rPr>
        <w:fldChar w:fldCharType="end"/>
      </w:r>
    </w:p>
    <w:tbl>
      <w:tblPr>
        <w:tblStyle w:val="TableGrid"/>
        <w:tblW w:w="0" w:type="auto"/>
        <w:tblLook w:val="04A0" w:firstRow="1" w:lastRow="0" w:firstColumn="1" w:lastColumn="0" w:noHBand="0" w:noVBand="1"/>
      </w:tblPr>
      <w:tblGrid>
        <w:gridCol w:w="1716"/>
        <w:gridCol w:w="1488"/>
        <w:gridCol w:w="1488"/>
        <w:gridCol w:w="1488"/>
        <w:gridCol w:w="1489"/>
      </w:tblGrid>
      <w:tr w:rsidR="001A37C3" w:rsidRPr="00432E70" w14:paraId="6CE04214" w14:textId="16EAE55E" w:rsidTr="001A37C3">
        <w:tc>
          <w:tcPr>
            <w:tcW w:w="1716" w:type="dxa"/>
          </w:tcPr>
          <w:p w14:paraId="1F2B7E17" w14:textId="77777777" w:rsidR="001A37C3" w:rsidRPr="001A37C3" w:rsidRDefault="001A37C3" w:rsidP="001A37C3">
            <w:pPr>
              <w:spacing w:line="360" w:lineRule="auto"/>
              <w:rPr>
                <w:rFonts w:ascii="Arial" w:hAnsi="Arial" w:cs="Arial"/>
                <w:sz w:val="18"/>
                <w:szCs w:val="18"/>
                <w:lang w:val="en-US"/>
              </w:rPr>
            </w:pPr>
          </w:p>
        </w:tc>
        <w:tc>
          <w:tcPr>
            <w:tcW w:w="1488" w:type="dxa"/>
          </w:tcPr>
          <w:p w14:paraId="6290F0A0" w14:textId="196AB398" w:rsidR="001A37C3" w:rsidRPr="001A37C3" w:rsidRDefault="001A37C3" w:rsidP="001A37C3">
            <w:pPr>
              <w:spacing w:line="360" w:lineRule="auto"/>
              <w:rPr>
                <w:rFonts w:ascii="Arial" w:hAnsi="Arial" w:cs="Arial"/>
                <w:sz w:val="18"/>
                <w:szCs w:val="18"/>
                <w:lang w:val="en-US"/>
              </w:rPr>
            </w:pPr>
            <w:r w:rsidRPr="001A37C3">
              <w:rPr>
                <w:rFonts w:ascii="Arial" w:hAnsi="Arial" w:cs="Arial"/>
                <w:sz w:val="18"/>
                <w:szCs w:val="18"/>
                <w:lang w:val="en-US"/>
              </w:rPr>
              <w:t>Year 1 &amp; 2</w:t>
            </w:r>
          </w:p>
        </w:tc>
        <w:tc>
          <w:tcPr>
            <w:tcW w:w="1488" w:type="dxa"/>
          </w:tcPr>
          <w:p w14:paraId="663F711D" w14:textId="092A065F" w:rsidR="001A37C3" w:rsidRPr="001A37C3" w:rsidRDefault="001A37C3" w:rsidP="001A37C3">
            <w:pPr>
              <w:spacing w:line="360" w:lineRule="auto"/>
              <w:rPr>
                <w:rFonts w:ascii="Arial" w:hAnsi="Arial" w:cs="Arial"/>
                <w:sz w:val="18"/>
                <w:szCs w:val="18"/>
                <w:lang w:val="en-US"/>
              </w:rPr>
            </w:pPr>
            <w:r w:rsidRPr="001A37C3">
              <w:rPr>
                <w:rFonts w:ascii="Arial" w:hAnsi="Arial" w:cs="Arial"/>
                <w:sz w:val="18"/>
                <w:szCs w:val="18"/>
                <w:lang w:val="en-US"/>
              </w:rPr>
              <w:t>Year 3</w:t>
            </w:r>
          </w:p>
        </w:tc>
        <w:tc>
          <w:tcPr>
            <w:tcW w:w="1488" w:type="dxa"/>
          </w:tcPr>
          <w:p w14:paraId="2AE34BD0" w14:textId="53622D5C" w:rsidR="001A37C3" w:rsidRPr="001A37C3" w:rsidRDefault="001A37C3" w:rsidP="001A37C3">
            <w:pPr>
              <w:spacing w:line="360" w:lineRule="auto"/>
              <w:rPr>
                <w:rFonts w:ascii="Arial" w:hAnsi="Arial" w:cs="Arial"/>
                <w:sz w:val="18"/>
                <w:szCs w:val="18"/>
                <w:lang w:val="en-US"/>
              </w:rPr>
            </w:pPr>
            <w:r w:rsidRPr="001A37C3">
              <w:rPr>
                <w:rFonts w:ascii="Arial" w:hAnsi="Arial" w:cs="Arial"/>
                <w:sz w:val="18"/>
                <w:szCs w:val="18"/>
                <w:lang w:val="en-US"/>
              </w:rPr>
              <w:t>Year 4</w:t>
            </w:r>
          </w:p>
        </w:tc>
        <w:tc>
          <w:tcPr>
            <w:tcW w:w="1489" w:type="dxa"/>
          </w:tcPr>
          <w:p w14:paraId="4C6E1333" w14:textId="19A65342" w:rsidR="001A37C3" w:rsidRPr="001A37C3" w:rsidRDefault="001A37C3" w:rsidP="001A37C3">
            <w:pPr>
              <w:spacing w:line="360" w:lineRule="auto"/>
              <w:rPr>
                <w:rFonts w:ascii="Arial" w:hAnsi="Arial" w:cs="Arial"/>
                <w:sz w:val="18"/>
                <w:szCs w:val="18"/>
                <w:lang w:val="en-US"/>
              </w:rPr>
            </w:pPr>
            <w:r w:rsidRPr="001A37C3">
              <w:rPr>
                <w:rFonts w:ascii="Arial" w:hAnsi="Arial" w:cs="Arial"/>
                <w:sz w:val="18"/>
                <w:szCs w:val="18"/>
                <w:lang w:val="en-US"/>
              </w:rPr>
              <w:t>Year 5</w:t>
            </w:r>
          </w:p>
        </w:tc>
      </w:tr>
      <w:tr w:rsidR="001A37C3" w:rsidRPr="00432E70" w14:paraId="454008D4" w14:textId="35E37361" w:rsidTr="001A37C3">
        <w:tc>
          <w:tcPr>
            <w:tcW w:w="1716" w:type="dxa"/>
          </w:tcPr>
          <w:p w14:paraId="7253D919" w14:textId="512C9BF4" w:rsidR="001A37C3" w:rsidRPr="001A37C3" w:rsidRDefault="001A37C3" w:rsidP="001A37C3">
            <w:pPr>
              <w:spacing w:line="360" w:lineRule="auto"/>
              <w:rPr>
                <w:rFonts w:ascii="Arial" w:hAnsi="Arial" w:cs="Arial"/>
                <w:sz w:val="18"/>
                <w:szCs w:val="18"/>
                <w:lang w:val="en-US"/>
              </w:rPr>
            </w:pPr>
            <w:r w:rsidRPr="001A37C3">
              <w:rPr>
                <w:rFonts w:ascii="Arial" w:hAnsi="Arial" w:cs="Arial"/>
                <w:sz w:val="18"/>
                <w:szCs w:val="18"/>
                <w:lang w:val="en-US"/>
              </w:rPr>
              <w:t>Hypothyroidism</w:t>
            </w:r>
          </w:p>
        </w:tc>
        <w:tc>
          <w:tcPr>
            <w:tcW w:w="1488" w:type="dxa"/>
            <w:vAlign w:val="bottom"/>
          </w:tcPr>
          <w:p w14:paraId="15BC7A36" w14:textId="06BEDADB" w:rsidR="001A37C3" w:rsidRPr="001A37C3" w:rsidRDefault="001A37C3" w:rsidP="001A37C3">
            <w:pPr>
              <w:spacing w:line="360" w:lineRule="auto"/>
              <w:rPr>
                <w:rFonts w:ascii="Arial" w:hAnsi="Arial" w:cs="Arial"/>
                <w:sz w:val="18"/>
                <w:szCs w:val="18"/>
                <w:lang w:val="en-US"/>
              </w:rPr>
            </w:pPr>
            <w:r w:rsidRPr="00FF543F">
              <w:rPr>
                <w:rFonts w:ascii="Arial" w:hAnsi="Arial" w:cs="Arial"/>
                <w:color w:val="000000"/>
                <w:sz w:val="18"/>
                <w:szCs w:val="18"/>
                <w:lang w:val="en-US"/>
              </w:rPr>
              <w:t>2.18%</w:t>
            </w:r>
          </w:p>
        </w:tc>
        <w:tc>
          <w:tcPr>
            <w:tcW w:w="1488" w:type="dxa"/>
            <w:shd w:val="clear" w:color="auto" w:fill="auto"/>
            <w:vAlign w:val="bottom"/>
          </w:tcPr>
          <w:p w14:paraId="4820CD1C" w14:textId="13CE2666" w:rsidR="001A37C3" w:rsidRPr="001A37C3" w:rsidRDefault="001A37C3" w:rsidP="001A37C3">
            <w:pPr>
              <w:spacing w:line="360" w:lineRule="auto"/>
              <w:rPr>
                <w:rFonts w:ascii="Arial" w:hAnsi="Arial" w:cs="Arial"/>
                <w:sz w:val="18"/>
                <w:szCs w:val="18"/>
                <w:lang w:val="en-US"/>
              </w:rPr>
            </w:pPr>
            <w:r w:rsidRPr="00FF543F">
              <w:rPr>
                <w:rFonts w:ascii="Arial" w:hAnsi="Arial" w:cs="Arial"/>
                <w:color w:val="000000"/>
                <w:sz w:val="18"/>
                <w:szCs w:val="18"/>
                <w:lang w:val="en-US"/>
              </w:rPr>
              <w:t>5.35%</w:t>
            </w:r>
          </w:p>
        </w:tc>
        <w:tc>
          <w:tcPr>
            <w:tcW w:w="1488" w:type="dxa"/>
            <w:shd w:val="clear" w:color="auto" w:fill="auto"/>
            <w:vAlign w:val="bottom"/>
          </w:tcPr>
          <w:p w14:paraId="2D698C81" w14:textId="66A3DDC9" w:rsidR="001A37C3" w:rsidRPr="001A37C3" w:rsidRDefault="001A37C3" w:rsidP="001A37C3">
            <w:pPr>
              <w:spacing w:line="360" w:lineRule="auto"/>
              <w:rPr>
                <w:rFonts w:ascii="Arial" w:hAnsi="Arial" w:cs="Arial"/>
                <w:sz w:val="18"/>
                <w:szCs w:val="18"/>
                <w:lang w:val="en-US"/>
              </w:rPr>
            </w:pPr>
            <w:r w:rsidRPr="00FF543F">
              <w:rPr>
                <w:rFonts w:ascii="Arial" w:hAnsi="Arial" w:cs="Arial"/>
                <w:color w:val="000000"/>
                <w:sz w:val="18"/>
                <w:szCs w:val="18"/>
                <w:lang w:val="en-US"/>
              </w:rPr>
              <w:t>2.76%</w:t>
            </w:r>
          </w:p>
        </w:tc>
        <w:tc>
          <w:tcPr>
            <w:tcW w:w="1489" w:type="dxa"/>
            <w:shd w:val="clear" w:color="auto" w:fill="auto"/>
            <w:vAlign w:val="bottom"/>
          </w:tcPr>
          <w:p w14:paraId="71CE20A2" w14:textId="378053D8" w:rsidR="001A37C3" w:rsidRPr="001A37C3" w:rsidRDefault="001A37C3" w:rsidP="001A37C3">
            <w:pPr>
              <w:spacing w:line="360" w:lineRule="auto"/>
              <w:rPr>
                <w:rFonts w:ascii="Arial" w:hAnsi="Arial" w:cs="Arial"/>
                <w:sz w:val="18"/>
                <w:szCs w:val="18"/>
                <w:lang w:val="en-US"/>
              </w:rPr>
            </w:pPr>
            <w:r w:rsidRPr="00FF543F">
              <w:rPr>
                <w:rFonts w:ascii="Arial" w:hAnsi="Arial" w:cs="Arial"/>
                <w:color w:val="000000"/>
                <w:sz w:val="18"/>
                <w:szCs w:val="18"/>
                <w:lang w:val="en-US"/>
              </w:rPr>
              <w:t>1.69%</w:t>
            </w:r>
          </w:p>
        </w:tc>
      </w:tr>
      <w:tr w:rsidR="001A37C3" w:rsidRPr="00432E70" w14:paraId="72438FF6" w14:textId="0BC6E33C" w:rsidTr="001A37C3">
        <w:tc>
          <w:tcPr>
            <w:tcW w:w="1716" w:type="dxa"/>
          </w:tcPr>
          <w:p w14:paraId="449F904C" w14:textId="3EA058E4" w:rsidR="001A37C3" w:rsidRPr="001A37C3" w:rsidRDefault="001A37C3" w:rsidP="001A37C3">
            <w:pPr>
              <w:spacing w:line="360" w:lineRule="auto"/>
              <w:rPr>
                <w:rFonts w:ascii="Arial" w:hAnsi="Arial" w:cs="Arial"/>
                <w:sz w:val="18"/>
                <w:szCs w:val="18"/>
                <w:lang w:val="en-US"/>
              </w:rPr>
            </w:pPr>
            <w:r w:rsidRPr="001A37C3">
              <w:rPr>
                <w:rFonts w:ascii="Arial" w:hAnsi="Arial" w:cs="Arial"/>
                <w:sz w:val="18"/>
                <w:szCs w:val="18"/>
                <w:lang w:val="en-US"/>
              </w:rPr>
              <w:t>Hyperthyroidism</w:t>
            </w:r>
          </w:p>
        </w:tc>
        <w:tc>
          <w:tcPr>
            <w:tcW w:w="1488" w:type="dxa"/>
            <w:vAlign w:val="bottom"/>
          </w:tcPr>
          <w:p w14:paraId="386F80F0" w14:textId="62DEAF8A" w:rsidR="001A37C3" w:rsidRPr="001A37C3" w:rsidRDefault="001A37C3" w:rsidP="001A37C3">
            <w:pPr>
              <w:spacing w:line="360" w:lineRule="auto"/>
              <w:rPr>
                <w:rFonts w:ascii="Arial" w:hAnsi="Arial" w:cs="Arial"/>
                <w:sz w:val="18"/>
                <w:szCs w:val="18"/>
                <w:lang w:val="en-US"/>
              </w:rPr>
            </w:pPr>
            <w:r w:rsidRPr="00FF543F">
              <w:rPr>
                <w:rFonts w:ascii="Arial" w:hAnsi="Arial" w:cs="Arial"/>
                <w:color w:val="000000"/>
                <w:sz w:val="18"/>
                <w:szCs w:val="18"/>
                <w:lang w:val="en-US"/>
              </w:rPr>
              <w:t>1.59%</w:t>
            </w:r>
          </w:p>
        </w:tc>
        <w:tc>
          <w:tcPr>
            <w:tcW w:w="1488" w:type="dxa"/>
            <w:shd w:val="clear" w:color="auto" w:fill="auto"/>
            <w:vAlign w:val="bottom"/>
          </w:tcPr>
          <w:p w14:paraId="58B66F6D" w14:textId="6B4EF45D" w:rsidR="001A37C3" w:rsidRPr="001A37C3" w:rsidRDefault="001A37C3" w:rsidP="001A37C3">
            <w:pPr>
              <w:spacing w:line="360" w:lineRule="auto"/>
              <w:rPr>
                <w:rFonts w:ascii="Arial" w:hAnsi="Arial" w:cs="Arial"/>
                <w:sz w:val="18"/>
                <w:szCs w:val="18"/>
                <w:lang w:val="en-US"/>
              </w:rPr>
            </w:pPr>
            <w:r w:rsidRPr="00FF543F">
              <w:rPr>
                <w:rFonts w:ascii="Arial" w:hAnsi="Arial" w:cs="Arial"/>
                <w:color w:val="000000"/>
                <w:sz w:val="18"/>
                <w:szCs w:val="18"/>
                <w:lang w:val="en-US"/>
              </w:rPr>
              <w:t>6.67%</w:t>
            </w:r>
          </w:p>
        </w:tc>
        <w:tc>
          <w:tcPr>
            <w:tcW w:w="1488" w:type="dxa"/>
            <w:shd w:val="clear" w:color="auto" w:fill="auto"/>
            <w:vAlign w:val="bottom"/>
          </w:tcPr>
          <w:p w14:paraId="69DD84FB" w14:textId="4F01958F" w:rsidR="001A37C3" w:rsidRPr="001A37C3" w:rsidRDefault="001A37C3" w:rsidP="001A37C3">
            <w:pPr>
              <w:spacing w:line="360" w:lineRule="auto"/>
              <w:rPr>
                <w:rFonts w:ascii="Arial" w:hAnsi="Arial" w:cs="Arial"/>
                <w:sz w:val="18"/>
                <w:szCs w:val="18"/>
                <w:lang w:val="en-US"/>
              </w:rPr>
            </w:pPr>
            <w:r w:rsidRPr="00FF543F">
              <w:rPr>
                <w:rFonts w:ascii="Arial" w:hAnsi="Arial" w:cs="Arial"/>
                <w:color w:val="000000"/>
                <w:sz w:val="18"/>
                <w:szCs w:val="18"/>
                <w:lang w:val="en-US"/>
              </w:rPr>
              <w:t>3.73%</w:t>
            </w:r>
          </w:p>
        </w:tc>
        <w:tc>
          <w:tcPr>
            <w:tcW w:w="1489" w:type="dxa"/>
            <w:shd w:val="clear" w:color="auto" w:fill="auto"/>
            <w:vAlign w:val="bottom"/>
          </w:tcPr>
          <w:p w14:paraId="68083C5A" w14:textId="0AD37FDF" w:rsidR="001A37C3" w:rsidRPr="001A37C3" w:rsidRDefault="001A37C3" w:rsidP="001A37C3">
            <w:pPr>
              <w:spacing w:line="360" w:lineRule="auto"/>
              <w:rPr>
                <w:rFonts w:ascii="Arial" w:hAnsi="Arial" w:cs="Arial"/>
                <w:sz w:val="18"/>
                <w:szCs w:val="18"/>
                <w:lang w:val="en-US"/>
              </w:rPr>
            </w:pPr>
            <w:r w:rsidRPr="00FF543F">
              <w:rPr>
                <w:rFonts w:ascii="Arial" w:hAnsi="Arial" w:cs="Arial"/>
                <w:color w:val="000000"/>
                <w:sz w:val="18"/>
                <w:szCs w:val="18"/>
                <w:lang w:val="en-US"/>
              </w:rPr>
              <w:t>2.96%</w:t>
            </w:r>
          </w:p>
        </w:tc>
      </w:tr>
      <w:tr w:rsidR="001A37C3" w:rsidRPr="00432E70" w14:paraId="0B123F5A" w14:textId="1F003472" w:rsidTr="001A37C3">
        <w:tc>
          <w:tcPr>
            <w:tcW w:w="1716" w:type="dxa"/>
          </w:tcPr>
          <w:p w14:paraId="24F6B719" w14:textId="7625D888" w:rsidR="001A37C3" w:rsidRPr="001A37C3" w:rsidRDefault="001A37C3" w:rsidP="001A37C3">
            <w:pPr>
              <w:spacing w:line="360" w:lineRule="auto"/>
              <w:rPr>
                <w:rFonts w:ascii="Arial" w:hAnsi="Arial" w:cs="Arial"/>
                <w:sz w:val="18"/>
                <w:szCs w:val="18"/>
                <w:lang w:val="en-US"/>
              </w:rPr>
            </w:pPr>
            <w:r w:rsidRPr="001A37C3">
              <w:rPr>
                <w:rFonts w:ascii="Arial" w:hAnsi="Arial" w:cs="Arial"/>
                <w:sz w:val="18"/>
                <w:szCs w:val="18"/>
                <w:lang w:val="en-US"/>
              </w:rPr>
              <w:t>Graves’ disease</w:t>
            </w:r>
          </w:p>
        </w:tc>
        <w:tc>
          <w:tcPr>
            <w:tcW w:w="1488" w:type="dxa"/>
            <w:vAlign w:val="bottom"/>
          </w:tcPr>
          <w:p w14:paraId="27DAEEC2" w14:textId="140132E1" w:rsidR="001A37C3" w:rsidRPr="001A37C3" w:rsidRDefault="001A37C3" w:rsidP="001A37C3">
            <w:pPr>
              <w:spacing w:line="360" w:lineRule="auto"/>
              <w:rPr>
                <w:rFonts w:ascii="Arial" w:hAnsi="Arial" w:cs="Arial"/>
                <w:sz w:val="18"/>
                <w:szCs w:val="18"/>
                <w:lang w:val="en-US"/>
              </w:rPr>
            </w:pPr>
            <w:r w:rsidRPr="00FF543F">
              <w:rPr>
                <w:rFonts w:ascii="Arial" w:hAnsi="Arial" w:cs="Arial"/>
                <w:color w:val="000000"/>
                <w:sz w:val="18"/>
                <w:szCs w:val="18"/>
                <w:lang w:val="en-US"/>
              </w:rPr>
              <w:t>1.19%</w:t>
            </w:r>
          </w:p>
        </w:tc>
        <w:tc>
          <w:tcPr>
            <w:tcW w:w="1488" w:type="dxa"/>
            <w:shd w:val="clear" w:color="auto" w:fill="auto"/>
            <w:vAlign w:val="bottom"/>
          </w:tcPr>
          <w:p w14:paraId="2F334367" w14:textId="379C5BCD" w:rsidR="001A37C3" w:rsidRPr="001A37C3" w:rsidRDefault="001A37C3" w:rsidP="001A37C3">
            <w:pPr>
              <w:spacing w:line="360" w:lineRule="auto"/>
              <w:rPr>
                <w:rFonts w:ascii="Arial" w:hAnsi="Arial" w:cs="Arial"/>
                <w:sz w:val="18"/>
                <w:szCs w:val="18"/>
                <w:lang w:val="en-US"/>
              </w:rPr>
            </w:pPr>
            <w:r w:rsidRPr="00FF543F">
              <w:rPr>
                <w:rFonts w:ascii="Arial" w:hAnsi="Arial" w:cs="Arial"/>
                <w:color w:val="000000"/>
                <w:sz w:val="18"/>
                <w:szCs w:val="18"/>
                <w:lang w:val="en-US"/>
              </w:rPr>
              <w:t>6.11%</w:t>
            </w:r>
          </w:p>
        </w:tc>
        <w:tc>
          <w:tcPr>
            <w:tcW w:w="1488" w:type="dxa"/>
            <w:shd w:val="clear" w:color="auto" w:fill="auto"/>
            <w:vAlign w:val="bottom"/>
          </w:tcPr>
          <w:p w14:paraId="5CAD9AA3" w14:textId="047A9614" w:rsidR="001A37C3" w:rsidRPr="001A37C3" w:rsidRDefault="001A37C3" w:rsidP="001A37C3">
            <w:pPr>
              <w:spacing w:line="360" w:lineRule="auto"/>
              <w:rPr>
                <w:rFonts w:ascii="Arial" w:hAnsi="Arial" w:cs="Arial"/>
                <w:sz w:val="18"/>
                <w:szCs w:val="18"/>
                <w:lang w:val="en-US"/>
              </w:rPr>
            </w:pPr>
            <w:r w:rsidRPr="00FF543F">
              <w:rPr>
                <w:rFonts w:ascii="Arial" w:hAnsi="Arial" w:cs="Arial"/>
                <w:color w:val="000000"/>
                <w:sz w:val="18"/>
                <w:szCs w:val="18"/>
                <w:lang w:val="en-US"/>
              </w:rPr>
              <w:t>2.57%</w:t>
            </w:r>
          </w:p>
        </w:tc>
        <w:tc>
          <w:tcPr>
            <w:tcW w:w="1489" w:type="dxa"/>
            <w:shd w:val="clear" w:color="auto" w:fill="auto"/>
            <w:vAlign w:val="bottom"/>
          </w:tcPr>
          <w:p w14:paraId="65E8B488" w14:textId="54116BD5" w:rsidR="001A37C3" w:rsidRPr="001A37C3" w:rsidRDefault="001A37C3" w:rsidP="001A37C3">
            <w:pPr>
              <w:spacing w:line="360" w:lineRule="auto"/>
              <w:rPr>
                <w:rFonts w:ascii="Arial" w:hAnsi="Arial" w:cs="Arial"/>
                <w:sz w:val="18"/>
                <w:szCs w:val="18"/>
                <w:lang w:val="en-US"/>
              </w:rPr>
            </w:pPr>
            <w:r w:rsidRPr="00FF543F">
              <w:rPr>
                <w:rFonts w:ascii="Arial" w:hAnsi="Arial" w:cs="Arial"/>
                <w:color w:val="000000"/>
                <w:sz w:val="18"/>
                <w:szCs w:val="18"/>
                <w:lang w:val="en-US"/>
              </w:rPr>
              <w:t>1.69%</w:t>
            </w:r>
          </w:p>
        </w:tc>
      </w:tr>
    </w:tbl>
    <w:p w14:paraId="05FBC8EA" w14:textId="78123E6F" w:rsidR="001D4361" w:rsidRDefault="001A37C3" w:rsidP="00A37747">
      <w:pPr>
        <w:rPr>
          <w:rFonts w:ascii="Arial" w:hAnsi="Arial" w:cs="Arial"/>
          <w:sz w:val="18"/>
          <w:szCs w:val="20"/>
          <w:lang w:val="en-US"/>
        </w:rPr>
      </w:pPr>
      <w:r w:rsidRPr="00FF543F">
        <w:rPr>
          <w:rFonts w:ascii="Arial" w:hAnsi="Arial" w:cs="Arial"/>
          <w:sz w:val="18"/>
          <w:szCs w:val="20"/>
          <w:lang w:val="en-US"/>
        </w:rPr>
        <w:t xml:space="preserve">Annual probabilities </w:t>
      </w:r>
      <w:r w:rsidR="00885D98" w:rsidRPr="00FF543F">
        <w:rPr>
          <w:rFonts w:ascii="Arial" w:hAnsi="Arial" w:cs="Arial"/>
          <w:sz w:val="18"/>
          <w:szCs w:val="20"/>
          <w:lang w:val="en-US"/>
        </w:rPr>
        <w:t>were</w:t>
      </w:r>
      <w:r w:rsidRPr="00FF543F">
        <w:rPr>
          <w:rFonts w:ascii="Arial" w:hAnsi="Arial" w:cs="Arial"/>
          <w:sz w:val="18"/>
          <w:szCs w:val="20"/>
          <w:lang w:val="en-US"/>
        </w:rPr>
        <w:t xml:space="preserve"> </w:t>
      </w:r>
      <w:r w:rsidR="00FF543F">
        <w:rPr>
          <w:rFonts w:ascii="Arial" w:hAnsi="Arial" w:cs="Arial"/>
          <w:sz w:val="18"/>
          <w:szCs w:val="20"/>
          <w:lang w:val="en-US"/>
        </w:rPr>
        <w:t xml:space="preserve">derived from the reported </w:t>
      </w:r>
      <w:r w:rsidR="000F1D0A">
        <w:rPr>
          <w:rFonts w:ascii="Arial" w:hAnsi="Arial" w:cs="Arial"/>
          <w:sz w:val="18"/>
          <w:szCs w:val="20"/>
          <w:lang w:val="en-US"/>
        </w:rPr>
        <w:t xml:space="preserve">incidence </w:t>
      </w:r>
      <w:r w:rsidRPr="00FF543F">
        <w:rPr>
          <w:rFonts w:ascii="Arial" w:hAnsi="Arial" w:cs="Arial"/>
          <w:sz w:val="18"/>
          <w:szCs w:val="20"/>
          <w:lang w:val="en-US"/>
        </w:rPr>
        <w:t xml:space="preserve">rates using </w:t>
      </w:r>
      <w:r w:rsidRPr="00FF543F">
        <w:rPr>
          <w:rFonts w:ascii="Arial" w:hAnsi="Arial" w:cs="Arial"/>
          <w:i/>
          <w:sz w:val="18"/>
          <w:szCs w:val="20"/>
          <w:lang w:val="en-US"/>
        </w:rPr>
        <w:t>p=1-exp(-r</w:t>
      </w:r>
      <w:r w:rsidR="00885D98" w:rsidRPr="00FF543F">
        <w:rPr>
          <w:rFonts w:ascii="Arial" w:hAnsi="Arial" w:cs="Arial"/>
          <w:i/>
          <w:sz w:val="18"/>
          <w:szCs w:val="20"/>
          <w:lang w:val="en-US"/>
        </w:rPr>
        <w:t>/100</w:t>
      </w:r>
      <w:r w:rsidRPr="00FF543F">
        <w:rPr>
          <w:rFonts w:ascii="Arial" w:hAnsi="Arial" w:cs="Arial"/>
          <w:i/>
          <w:sz w:val="18"/>
          <w:szCs w:val="20"/>
          <w:lang w:val="en-US"/>
        </w:rPr>
        <w:t>)</w:t>
      </w:r>
      <w:r w:rsidRPr="00FF543F">
        <w:rPr>
          <w:rFonts w:ascii="Arial" w:hAnsi="Arial" w:cs="Arial"/>
          <w:sz w:val="18"/>
          <w:szCs w:val="20"/>
          <w:lang w:val="en-US"/>
        </w:rPr>
        <w:t xml:space="preserve">, with </w:t>
      </w:r>
      <w:r w:rsidR="00885D98" w:rsidRPr="00FF543F">
        <w:rPr>
          <w:rFonts w:ascii="Arial" w:hAnsi="Arial" w:cs="Arial"/>
          <w:i/>
          <w:sz w:val="18"/>
          <w:szCs w:val="20"/>
          <w:lang w:val="en-US"/>
        </w:rPr>
        <w:t>p</w:t>
      </w:r>
      <w:r w:rsidR="00885D98" w:rsidRPr="00FF543F">
        <w:rPr>
          <w:rFonts w:ascii="Arial" w:hAnsi="Arial" w:cs="Arial"/>
          <w:sz w:val="18"/>
          <w:szCs w:val="20"/>
          <w:lang w:val="en-US"/>
        </w:rPr>
        <w:t xml:space="preserve"> being the probability and </w:t>
      </w:r>
      <w:r w:rsidR="00885D98" w:rsidRPr="00FF543F">
        <w:rPr>
          <w:rFonts w:ascii="Arial" w:hAnsi="Arial" w:cs="Arial"/>
          <w:i/>
          <w:sz w:val="18"/>
          <w:szCs w:val="20"/>
          <w:lang w:val="en-US"/>
        </w:rPr>
        <w:t>r</w:t>
      </w:r>
      <w:r w:rsidR="00885D98" w:rsidRPr="00FF543F">
        <w:rPr>
          <w:rFonts w:ascii="Arial" w:hAnsi="Arial" w:cs="Arial"/>
          <w:sz w:val="18"/>
          <w:szCs w:val="20"/>
          <w:lang w:val="en-US"/>
        </w:rPr>
        <w:t xml:space="preserve"> the rate in events per 100 patient-years. </w:t>
      </w:r>
      <w:r w:rsidR="00FF543F">
        <w:rPr>
          <w:rFonts w:ascii="Arial" w:hAnsi="Arial" w:cs="Arial"/>
          <w:sz w:val="18"/>
          <w:szCs w:val="20"/>
          <w:lang w:val="en-US"/>
        </w:rPr>
        <w:t>Events and time periods are not mutually exclusive, meaning that a single patient can be represented in multiple figures.</w:t>
      </w:r>
      <w:r w:rsidR="001D4361">
        <w:rPr>
          <w:rFonts w:ascii="Arial" w:hAnsi="Arial" w:cs="Arial"/>
          <w:sz w:val="18"/>
          <w:szCs w:val="20"/>
          <w:lang w:val="en-US"/>
        </w:rPr>
        <w:t xml:space="preserve"> To avoid double-counting of patients, a</w:t>
      </w:r>
      <w:r w:rsidR="00A37747">
        <w:rPr>
          <w:rFonts w:ascii="Arial" w:hAnsi="Arial" w:cs="Arial"/>
          <w:sz w:val="18"/>
          <w:szCs w:val="20"/>
          <w:lang w:val="en-US"/>
        </w:rPr>
        <w:t xml:space="preserve">nd due to a lack of data on the </w:t>
      </w:r>
      <w:r w:rsidR="001D4361">
        <w:rPr>
          <w:rFonts w:ascii="Arial" w:hAnsi="Arial" w:cs="Arial"/>
          <w:sz w:val="18"/>
          <w:szCs w:val="20"/>
          <w:lang w:val="en-US"/>
        </w:rPr>
        <w:t>duration</w:t>
      </w:r>
      <w:r w:rsidR="00A37747">
        <w:rPr>
          <w:rFonts w:ascii="Arial" w:hAnsi="Arial" w:cs="Arial"/>
          <w:sz w:val="18"/>
          <w:szCs w:val="20"/>
          <w:lang w:val="en-US"/>
        </w:rPr>
        <w:t xml:space="preserve"> of the </w:t>
      </w:r>
      <w:r w:rsidR="000303CA">
        <w:rPr>
          <w:rFonts w:ascii="Arial" w:hAnsi="Arial" w:cs="Arial"/>
          <w:sz w:val="18"/>
          <w:szCs w:val="20"/>
          <w:lang w:val="en-US"/>
        </w:rPr>
        <w:t>thyroid-related adverse events</w:t>
      </w:r>
      <w:r w:rsidR="001D4361">
        <w:rPr>
          <w:rFonts w:ascii="Arial" w:hAnsi="Arial" w:cs="Arial"/>
          <w:sz w:val="18"/>
          <w:szCs w:val="20"/>
          <w:lang w:val="en-US"/>
        </w:rPr>
        <w:t xml:space="preserve">, costs reported in table A are applied to the year of </w:t>
      </w:r>
      <w:r w:rsidR="000303CA">
        <w:rPr>
          <w:rFonts w:ascii="Arial" w:hAnsi="Arial" w:cs="Arial"/>
          <w:sz w:val="18"/>
          <w:szCs w:val="20"/>
          <w:lang w:val="en-US"/>
        </w:rPr>
        <w:t>thyroid-related adverse event</w:t>
      </w:r>
      <w:r w:rsidR="001D4361">
        <w:rPr>
          <w:rFonts w:ascii="Arial" w:hAnsi="Arial" w:cs="Arial"/>
          <w:sz w:val="18"/>
          <w:szCs w:val="20"/>
          <w:lang w:val="en-US"/>
        </w:rPr>
        <w:t xml:space="preserve"> diagnosis.</w:t>
      </w:r>
    </w:p>
    <w:p w14:paraId="500AC65D" w14:textId="77777777" w:rsidR="001D4361" w:rsidRDefault="001D4361" w:rsidP="00D90414">
      <w:pPr>
        <w:rPr>
          <w:rFonts w:ascii="Arial" w:hAnsi="Arial" w:cs="Arial"/>
          <w:sz w:val="18"/>
          <w:szCs w:val="20"/>
          <w:lang w:val="en-US"/>
        </w:rPr>
      </w:pPr>
    </w:p>
    <w:p w14:paraId="57A15FEA" w14:textId="7D7B921E" w:rsidR="00D90414" w:rsidRPr="00FF543F" w:rsidRDefault="00D90414" w:rsidP="00D90414">
      <w:pPr>
        <w:rPr>
          <w:rFonts w:ascii="Arial" w:hAnsi="Arial" w:cs="Arial"/>
          <w:b/>
          <w:sz w:val="20"/>
          <w:szCs w:val="20"/>
          <w:lang w:val="en-US"/>
        </w:rPr>
      </w:pPr>
      <w:r w:rsidRPr="00FF543F">
        <w:rPr>
          <w:rFonts w:ascii="Arial" w:hAnsi="Arial" w:cs="Arial"/>
          <w:b/>
          <w:sz w:val="20"/>
          <w:szCs w:val="20"/>
          <w:lang w:val="en-US"/>
        </w:rPr>
        <w:t>References</w:t>
      </w:r>
    </w:p>
    <w:p w14:paraId="3B005978" w14:textId="1748EE32" w:rsidR="002379C6" w:rsidRPr="00432E70" w:rsidRDefault="00D90414" w:rsidP="002379C6">
      <w:pPr>
        <w:widowControl w:val="0"/>
        <w:autoSpaceDE w:val="0"/>
        <w:autoSpaceDN w:val="0"/>
        <w:adjustRightInd w:val="0"/>
        <w:spacing w:line="240" w:lineRule="auto"/>
        <w:ind w:left="640" w:hanging="640"/>
        <w:rPr>
          <w:rFonts w:ascii="Arial" w:hAnsi="Arial" w:cs="Arial"/>
          <w:noProof/>
          <w:sz w:val="20"/>
          <w:szCs w:val="24"/>
          <w:lang w:val="en-US"/>
        </w:rPr>
      </w:pPr>
      <w:r w:rsidRPr="005218B8">
        <w:rPr>
          <w:rFonts w:ascii="Arial" w:hAnsi="Arial" w:cs="Arial"/>
          <w:sz w:val="20"/>
          <w:szCs w:val="20"/>
        </w:rPr>
        <w:fldChar w:fldCharType="begin" w:fldLock="1"/>
      </w:r>
      <w:r w:rsidRPr="00FF543F">
        <w:rPr>
          <w:rFonts w:ascii="Arial" w:hAnsi="Arial" w:cs="Arial"/>
          <w:sz w:val="20"/>
          <w:szCs w:val="20"/>
          <w:lang w:val="en-US"/>
        </w:rPr>
        <w:instrText xml:space="preserve">ADDIN Mendeley Bibliography CSL_BIBLIOGRAPHY </w:instrText>
      </w:r>
      <w:r w:rsidRPr="005218B8">
        <w:rPr>
          <w:rFonts w:ascii="Arial" w:hAnsi="Arial" w:cs="Arial"/>
          <w:sz w:val="20"/>
          <w:szCs w:val="20"/>
        </w:rPr>
        <w:fldChar w:fldCharType="separate"/>
      </w:r>
      <w:r w:rsidR="002379C6" w:rsidRPr="00432E70">
        <w:rPr>
          <w:rFonts w:ascii="Arial" w:hAnsi="Arial" w:cs="Arial"/>
          <w:noProof/>
          <w:sz w:val="20"/>
          <w:szCs w:val="24"/>
          <w:lang w:val="en-US"/>
        </w:rPr>
        <w:t xml:space="preserve">1. </w:t>
      </w:r>
      <w:r w:rsidR="002379C6" w:rsidRPr="00432E70">
        <w:rPr>
          <w:rFonts w:ascii="Arial" w:hAnsi="Arial" w:cs="Arial"/>
          <w:noProof/>
          <w:sz w:val="20"/>
          <w:szCs w:val="24"/>
          <w:lang w:val="en-US"/>
        </w:rPr>
        <w:tab/>
        <w:t>Nederlandse Zorgautoriteit (NZa). DBC zorgproducten tariefapplicatie. http://dbc-zorgproducten-tarieven.nza.nl/nzaZpTarief/ZoekfunctieDot.aspx. Accessed October 13, 2015.</w:t>
      </w:r>
    </w:p>
    <w:p w14:paraId="1775274A" w14:textId="77777777" w:rsidR="002379C6" w:rsidRPr="00432E70" w:rsidRDefault="002379C6" w:rsidP="002379C6">
      <w:pPr>
        <w:widowControl w:val="0"/>
        <w:autoSpaceDE w:val="0"/>
        <w:autoSpaceDN w:val="0"/>
        <w:adjustRightInd w:val="0"/>
        <w:spacing w:line="240" w:lineRule="auto"/>
        <w:ind w:left="640" w:hanging="640"/>
        <w:rPr>
          <w:rFonts w:ascii="Arial" w:hAnsi="Arial" w:cs="Arial"/>
          <w:noProof/>
          <w:sz w:val="20"/>
          <w:szCs w:val="24"/>
          <w:lang w:val="en-US"/>
        </w:rPr>
      </w:pPr>
      <w:r w:rsidRPr="00432E70">
        <w:rPr>
          <w:rFonts w:ascii="Arial" w:hAnsi="Arial" w:cs="Arial"/>
          <w:noProof/>
          <w:sz w:val="20"/>
          <w:szCs w:val="24"/>
          <w:lang w:val="en-US"/>
        </w:rPr>
        <w:t xml:space="preserve">2. </w:t>
      </w:r>
      <w:r w:rsidRPr="00432E70">
        <w:rPr>
          <w:rFonts w:ascii="Arial" w:hAnsi="Arial" w:cs="Arial"/>
          <w:noProof/>
          <w:sz w:val="20"/>
          <w:szCs w:val="24"/>
          <w:lang w:val="en-US"/>
        </w:rPr>
        <w:tab/>
        <w:t xml:space="preserve">Hakkaart-van Roijen L, Van der Linden N, Bouwmans C, Kanters T, Tan SS. </w:t>
      </w:r>
      <w:r w:rsidRPr="00432E70">
        <w:rPr>
          <w:rFonts w:ascii="Arial" w:hAnsi="Arial" w:cs="Arial"/>
          <w:i/>
          <w:iCs/>
          <w:noProof/>
          <w:sz w:val="20"/>
          <w:szCs w:val="24"/>
          <w:lang w:val="en-US"/>
        </w:rPr>
        <w:t>Kostenhandleiding: Methodologie van Kostenonderzoek En Referentieprijzen Voor Economische Evaluaties in de Gezondheidszorg</w:t>
      </w:r>
      <w:r w:rsidRPr="00432E70">
        <w:rPr>
          <w:rFonts w:ascii="Arial" w:hAnsi="Arial" w:cs="Arial"/>
          <w:noProof/>
          <w:sz w:val="20"/>
          <w:szCs w:val="24"/>
          <w:lang w:val="en-US"/>
        </w:rPr>
        <w:t>.; 2015.</w:t>
      </w:r>
    </w:p>
    <w:p w14:paraId="0470FB6F" w14:textId="77777777" w:rsidR="002379C6" w:rsidRPr="00432E70" w:rsidRDefault="002379C6" w:rsidP="002379C6">
      <w:pPr>
        <w:widowControl w:val="0"/>
        <w:autoSpaceDE w:val="0"/>
        <w:autoSpaceDN w:val="0"/>
        <w:adjustRightInd w:val="0"/>
        <w:spacing w:line="240" w:lineRule="auto"/>
        <w:ind w:left="640" w:hanging="640"/>
        <w:rPr>
          <w:rFonts w:ascii="Arial" w:hAnsi="Arial" w:cs="Arial"/>
          <w:noProof/>
          <w:sz w:val="20"/>
          <w:szCs w:val="24"/>
          <w:lang w:val="en-US"/>
        </w:rPr>
      </w:pPr>
      <w:r w:rsidRPr="00432E70">
        <w:rPr>
          <w:rFonts w:ascii="Arial" w:hAnsi="Arial" w:cs="Arial"/>
          <w:noProof/>
          <w:sz w:val="20"/>
          <w:szCs w:val="24"/>
          <w:lang w:val="en-US"/>
        </w:rPr>
        <w:t xml:space="preserve">3. </w:t>
      </w:r>
      <w:r w:rsidRPr="00432E70">
        <w:rPr>
          <w:rFonts w:ascii="Arial" w:hAnsi="Arial" w:cs="Arial"/>
          <w:noProof/>
          <w:sz w:val="20"/>
          <w:szCs w:val="24"/>
          <w:lang w:val="en-US"/>
        </w:rPr>
        <w:tab/>
        <w:t>Organisation for Economic Co-operation and Development (OECD). Harmonized consumer price index. http://stats.oecd.org/. Accessed September 29, 2015.</w:t>
      </w:r>
    </w:p>
    <w:p w14:paraId="7D6A719D" w14:textId="77777777" w:rsidR="002379C6" w:rsidRPr="00432E70" w:rsidRDefault="002379C6" w:rsidP="002379C6">
      <w:pPr>
        <w:widowControl w:val="0"/>
        <w:autoSpaceDE w:val="0"/>
        <w:autoSpaceDN w:val="0"/>
        <w:adjustRightInd w:val="0"/>
        <w:spacing w:line="240" w:lineRule="auto"/>
        <w:ind w:left="640" w:hanging="640"/>
        <w:rPr>
          <w:rFonts w:ascii="Arial" w:hAnsi="Arial" w:cs="Arial"/>
          <w:noProof/>
          <w:sz w:val="20"/>
          <w:szCs w:val="24"/>
          <w:lang w:val="en-US"/>
        </w:rPr>
      </w:pPr>
      <w:r w:rsidRPr="00432E70">
        <w:rPr>
          <w:rFonts w:ascii="Arial" w:hAnsi="Arial" w:cs="Arial"/>
          <w:noProof/>
          <w:sz w:val="20"/>
          <w:szCs w:val="24"/>
          <w:lang w:val="en-US"/>
        </w:rPr>
        <w:t xml:space="preserve">4. </w:t>
      </w:r>
      <w:r w:rsidRPr="00432E70">
        <w:rPr>
          <w:rFonts w:ascii="Arial" w:hAnsi="Arial" w:cs="Arial"/>
          <w:noProof/>
          <w:sz w:val="20"/>
          <w:szCs w:val="24"/>
          <w:lang w:val="en-US"/>
        </w:rPr>
        <w:tab/>
        <w:t xml:space="preserve">European Medicines Agency (EMEA). </w:t>
      </w:r>
      <w:r w:rsidRPr="00432E70">
        <w:rPr>
          <w:rFonts w:ascii="Arial" w:hAnsi="Arial" w:cs="Arial"/>
          <w:i/>
          <w:iCs/>
          <w:noProof/>
          <w:sz w:val="20"/>
          <w:szCs w:val="24"/>
          <w:lang w:val="en-US"/>
        </w:rPr>
        <w:t xml:space="preserve">European Public Assessment Report Lemtrada </w:t>
      </w:r>
      <w:r w:rsidRPr="00432E70">
        <w:rPr>
          <w:rFonts w:ascii="Arial" w:hAnsi="Arial" w:cs="Arial"/>
          <w:i/>
          <w:iCs/>
          <w:noProof/>
          <w:sz w:val="20"/>
          <w:szCs w:val="24"/>
          <w:lang w:val="en-US"/>
        </w:rPr>
        <w:lastRenderedPageBreak/>
        <w:t>(Alemtuzumab). EMA/563018/2013.</w:t>
      </w:r>
      <w:r w:rsidRPr="00432E70">
        <w:rPr>
          <w:rFonts w:ascii="Arial" w:hAnsi="Arial" w:cs="Arial"/>
          <w:noProof/>
          <w:sz w:val="20"/>
          <w:szCs w:val="24"/>
          <w:lang w:val="en-US"/>
        </w:rPr>
        <w:t>; 2013.</w:t>
      </w:r>
    </w:p>
    <w:p w14:paraId="77959F40" w14:textId="77777777" w:rsidR="002379C6" w:rsidRPr="00432E70" w:rsidRDefault="002379C6" w:rsidP="002379C6">
      <w:pPr>
        <w:widowControl w:val="0"/>
        <w:autoSpaceDE w:val="0"/>
        <w:autoSpaceDN w:val="0"/>
        <w:adjustRightInd w:val="0"/>
        <w:spacing w:line="240" w:lineRule="auto"/>
        <w:ind w:left="640" w:hanging="640"/>
        <w:rPr>
          <w:rFonts w:ascii="Arial" w:hAnsi="Arial" w:cs="Arial"/>
          <w:noProof/>
          <w:sz w:val="20"/>
          <w:szCs w:val="24"/>
          <w:lang w:val="en-US"/>
        </w:rPr>
      </w:pPr>
      <w:r w:rsidRPr="00432E70">
        <w:rPr>
          <w:rFonts w:ascii="Arial" w:hAnsi="Arial" w:cs="Arial"/>
          <w:noProof/>
          <w:sz w:val="20"/>
          <w:szCs w:val="24"/>
          <w:lang w:val="en-US"/>
        </w:rPr>
        <w:t xml:space="preserve">5. </w:t>
      </w:r>
      <w:r w:rsidRPr="00432E70">
        <w:rPr>
          <w:rFonts w:ascii="Arial" w:hAnsi="Arial" w:cs="Arial"/>
          <w:noProof/>
          <w:sz w:val="20"/>
          <w:szCs w:val="24"/>
          <w:lang w:val="en-US"/>
        </w:rPr>
        <w:tab/>
        <w:t xml:space="preserve">Nederlands Huisartsen Genootschap. </w:t>
      </w:r>
      <w:r w:rsidRPr="00432E70">
        <w:rPr>
          <w:rFonts w:ascii="Arial" w:hAnsi="Arial" w:cs="Arial"/>
          <w:i/>
          <w:iCs/>
          <w:noProof/>
          <w:sz w:val="20"/>
          <w:szCs w:val="24"/>
          <w:lang w:val="en-US"/>
        </w:rPr>
        <w:t>NHG-Standaard Herpes Labialis</w:t>
      </w:r>
      <w:r w:rsidRPr="00432E70">
        <w:rPr>
          <w:rFonts w:ascii="Arial" w:hAnsi="Arial" w:cs="Arial"/>
          <w:noProof/>
          <w:sz w:val="20"/>
          <w:szCs w:val="24"/>
          <w:lang w:val="en-US"/>
        </w:rPr>
        <w:t>.; 2007.</w:t>
      </w:r>
    </w:p>
    <w:p w14:paraId="420B46F9" w14:textId="77777777" w:rsidR="002379C6" w:rsidRPr="002379C6" w:rsidRDefault="002379C6" w:rsidP="002379C6">
      <w:pPr>
        <w:widowControl w:val="0"/>
        <w:autoSpaceDE w:val="0"/>
        <w:autoSpaceDN w:val="0"/>
        <w:adjustRightInd w:val="0"/>
        <w:spacing w:line="240" w:lineRule="auto"/>
        <w:ind w:left="640" w:hanging="640"/>
        <w:rPr>
          <w:rFonts w:ascii="Arial" w:hAnsi="Arial" w:cs="Arial"/>
          <w:noProof/>
          <w:sz w:val="20"/>
          <w:szCs w:val="24"/>
        </w:rPr>
      </w:pPr>
      <w:r w:rsidRPr="00432E70">
        <w:rPr>
          <w:rFonts w:ascii="Arial" w:hAnsi="Arial" w:cs="Arial"/>
          <w:noProof/>
          <w:sz w:val="20"/>
          <w:szCs w:val="24"/>
          <w:lang w:val="en-US"/>
        </w:rPr>
        <w:t xml:space="preserve">6. </w:t>
      </w:r>
      <w:r w:rsidRPr="00432E70">
        <w:rPr>
          <w:rFonts w:ascii="Arial" w:hAnsi="Arial" w:cs="Arial"/>
          <w:noProof/>
          <w:sz w:val="20"/>
          <w:szCs w:val="24"/>
          <w:lang w:val="en-US"/>
        </w:rPr>
        <w:tab/>
        <w:t xml:space="preserve">Nederlands Huisartsen Genootschap. </w:t>
      </w:r>
      <w:r w:rsidRPr="00432E70">
        <w:rPr>
          <w:rFonts w:ascii="Arial" w:hAnsi="Arial" w:cs="Arial"/>
          <w:i/>
          <w:iCs/>
          <w:noProof/>
          <w:sz w:val="20"/>
          <w:szCs w:val="24"/>
        </w:rPr>
        <w:t>NHG-Stan</w:t>
      </w:r>
      <w:r w:rsidRPr="002379C6">
        <w:rPr>
          <w:rFonts w:ascii="Arial" w:hAnsi="Arial" w:cs="Arial"/>
          <w:i/>
          <w:iCs/>
          <w:noProof/>
          <w:sz w:val="20"/>
          <w:szCs w:val="24"/>
        </w:rPr>
        <w:t>daard Herpes Zoster</w:t>
      </w:r>
      <w:r w:rsidRPr="002379C6">
        <w:rPr>
          <w:rFonts w:ascii="Arial" w:hAnsi="Arial" w:cs="Arial"/>
          <w:noProof/>
          <w:sz w:val="20"/>
          <w:szCs w:val="24"/>
        </w:rPr>
        <w:t>.; 2003.</w:t>
      </w:r>
    </w:p>
    <w:p w14:paraId="45AE8783" w14:textId="77777777" w:rsidR="002379C6" w:rsidRPr="002379C6" w:rsidRDefault="002379C6" w:rsidP="002379C6">
      <w:pPr>
        <w:widowControl w:val="0"/>
        <w:autoSpaceDE w:val="0"/>
        <w:autoSpaceDN w:val="0"/>
        <w:adjustRightInd w:val="0"/>
        <w:spacing w:line="240" w:lineRule="auto"/>
        <w:ind w:left="640" w:hanging="640"/>
        <w:rPr>
          <w:rFonts w:ascii="Arial" w:hAnsi="Arial" w:cs="Arial"/>
          <w:noProof/>
          <w:sz w:val="20"/>
          <w:szCs w:val="24"/>
        </w:rPr>
      </w:pPr>
      <w:r w:rsidRPr="002379C6">
        <w:rPr>
          <w:rFonts w:ascii="Arial" w:hAnsi="Arial" w:cs="Arial"/>
          <w:noProof/>
          <w:sz w:val="20"/>
          <w:szCs w:val="24"/>
        </w:rPr>
        <w:t xml:space="preserve">7. </w:t>
      </w:r>
      <w:r w:rsidRPr="002379C6">
        <w:rPr>
          <w:rFonts w:ascii="Arial" w:hAnsi="Arial" w:cs="Arial"/>
          <w:noProof/>
          <w:sz w:val="20"/>
          <w:szCs w:val="24"/>
        </w:rPr>
        <w:tab/>
        <w:t xml:space="preserve">Van Pinxteren B, Knottnerus B, Geerlings S, et al. NHG-standaard Urineweginfecties. </w:t>
      </w:r>
      <w:r w:rsidRPr="002379C6">
        <w:rPr>
          <w:rFonts w:ascii="Arial" w:hAnsi="Arial" w:cs="Arial"/>
          <w:i/>
          <w:iCs/>
          <w:noProof/>
          <w:sz w:val="20"/>
          <w:szCs w:val="24"/>
        </w:rPr>
        <w:t>Huisarts Wet</w:t>
      </w:r>
      <w:r w:rsidRPr="002379C6">
        <w:rPr>
          <w:rFonts w:ascii="Arial" w:hAnsi="Arial" w:cs="Arial"/>
          <w:noProof/>
          <w:sz w:val="20"/>
          <w:szCs w:val="24"/>
        </w:rPr>
        <w:t>. 2013;56(6):270-280.</w:t>
      </w:r>
    </w:p>
    <w:p w14:paraId="53918A40" w14:textId="77777777" w:rsidR="002379C6" w:rsidRPr="00432E70" w:rsidRDefault="002379C6" w:rsidP="002379C6">
      <w:pPr>
        <w:widowControl w:val="0"/>
        <w:autoSpaceDE w:val="0"/>
        <w:autoSpaceDN w:val="0"/>
        <w:adjustRightInd w:val="0"/>
        <w:spacing w:line="240" w:lineRule="auto"/>
        <w:ind w:left="640" w:hanging="640"/>
        <w:rPr>
          <w:rFonts w:ascii="Arial" w:hAnsi="Arial" w:cs="Arial"/>
          <w:noProof/>
          <w:sz w:val="20"/>
          <w:szCs w:val="24"/>
          <w:lang w:val="en-US"/>
        </w:rPr>
      </w:pPr>
      <w:r w:rsidRPr="00432E70">
        <w:rPr>
          <w:rFonts w:ascii="Arial" w:hAnsi="Arial" w:cs="Arial"/>
          <w:noProof/>
          <w:sz w:val="20"/>
          <w:szCs w:val="24"/>
          <w:lang w:val="en-US"/>
        </w:rPr>
        <w:t xml:space="preserve">8. </w:t>
      </w:r>
      <w:r w:rsidRPr="00432E70">
        <w:rPr>
          <w:rFonts w:ascii="Arial" w:hAnsi="Arial" w:cs="Arial"/>
          <w:noProof/>
          <w:sz w:val="20"/>
          <w:szCs w:val="24"/>
          <w:lang w:val="en-US"/>
        </w:rPr>
        <w:tab/>
        <w:t xml:space="preserve">Senior PA, Arnold DL, Cohen JA, et al. Incidence and Timing of Thyroid Adverse Events in Patients With RRMS Treated With Alemtuzumab Through 5 Years of the CARE-MS Studies. </w:t>
      </w:r>
      <w:r w:rsidRPr="00432E70">
        <w:rPr>
          <w:rFonts w:ascii="Arial" w:hAnsi="Arial" w:cs="Arial"/>
          <w:i/>
          <w:iCs/>
          <w:noProof/>
          <w:sz w:val="20"/>
          <w:szCs w:val="24"/>
          <w:lang w:val="en-US"/>
        </w:rPr>
        <w:t>Present 68th Am Acad Neurol Annu Meet</w:t>
      </w:r>
      <w:r w:rsidRPr="00432E70">
        <w:rPr>
          <w:rFonts w:ascii="Arial" w:hAnsi="Arial" w:cs="Arial"/>
          <w:noProof/>
          <w:sz w:val="20"/>
          <w:szCs w:val="24"/>
          <w:lang w:val="en-US"/>
        </w:rPr>
        <w:t>. 2016;(P2.086).</w:t>
      </w:r>
    </w:p>
    <w:p w14:paraId="1171950A" w14:textId="77777777" w:rsidR="002379C6" w:rsidRPr="002379C6" w:rsidRDefault="002379C6" w:rsidP="002379C6">
      <w:pPr>
        <w:widowControl w:val="0"/>
        <w:autoSpaceDE w:val="0"/>
        <w:autoSpaceDN w:val="0"/>
        <w:adjustRightInd w:val="0"/>
        <w:spacing w:line="240" w:lineRule="auto"/>
        <w:ind w:left="640" w:hanging="640"/>
        <w:rPr>
          <w:rFonts w:ascii="Arial" w:hAnsi="Arial" w:cs="Arial"/>
          <w:noProof/>
          <w:sz w:val="20"/>
          <w:szCs w:val="24"/>
        </w:rPr>
      </w:pPr>
      <w:r w:rsidRPr="00432E70">
        <w:rPr>
          <w:rFonts w:ascii="Arial" w:hAnsi="Arial" w:cs="Arial"/>
          <w:noProof/>
          <w:sz w:val="20"/>
          <w:szCs w:val="24"/>
          <w:lang w:val="en-US"/>
        </w:rPr>
        <w:t xml:space="preserve">9. </w:t>
      </w:r>
      <w:r w:rsidRPr="00432E70">
        <w:rPr>
          <w:rFonts w:ascii="Arial" w:hAnsi="Arial" w:cs="Arial"/>
          <w:noProof/>
          <w:sz w:val="20"/>
          <w:szCs w:val="24"/>
          <w:lang w:val="en-US"/>
        </w:rPr>
        <w:tab/>
        <w:t xml:space="preserve">Van Lieshout J, Felix-Schollaart B, Bolsius E, et al. </w:t>
      </w:r>
      <w:r w:rsidRPr="002379C6">
        <w:rPr>
          <w:rFonts w:ascii="Arial" w:hAnsi="Arial" w:cs="Arial"/>
          <w:noProof/>
          <w:sz w:val="20"/>
          <w:szCs w:val="24"/>
        </w:rPr>
        <w:t xml:space="preserve">NHG-standaard Schildklieraandoeningen. </w:t>
      </w:r>
      <w:r w:rsidRPr="002379C6">
        <w:rPr>
          <w:rFonts w:ascii="Arial" w:hAnsi="Arial" w:cs="Arial"/>
          <w:i/>
          <w:iCs/>
          <w:noProof/>
          <w:sz w:val="20"/>
          <w:szCs w:val="24"/>
        </w:rPr>
        <w:t>Huisarts Wet</w:t>
      </w:r>
      <w:r w:rsidRPr="002379C6">
        <w:rPr>
          <w:rFonts w:ascii="Arial" w:hAnsi="Arial" w:cs="Arial"/>
          <w:noProof/>
          <w:sz w:val="20"/>
          <w:szCs w:val="24"/>
        </w:rPr>
        <w:t>. 2013;56(7):320-330.</w:t>
      </w:r>
    </w:p>
    <w:p w14:paraId="4D6F67AA" w14:textId="77777777" w:rsidR="002379C6" w:rsidRPr="002379C6" w:rsidRDefault="002379C6" w:rsidP="002379C6">
      <w:pPr>
        <w:widowControl w:val="0"/>
        <w:autoSpaceDE w:val="0"/>
        <w:autoSpaceDN w:val="0"/>
        <w:adjustRightInd w:val="0"/>
        <w:spacing w:line="240" w:lineRule="auto"/>
        <w:ind w:left="640" w:hanging="640"/>
        <w:rPr>
          <w:rFonts w:ascii="Arial" w:hAnsi="Arial" w:cs="Arial"/>
          <w:noProof/>
          <w:sz w:val="20"/>
          <w:szCs w:val="24"/>
        </w:rPr>
      </w:pPr>
      <w:r w:rsidRPr="002379C6">
        <w:rPr>
          <w:rFonts w:ascii="Arial" w:hAnsi="Arial" w:cs="Arial"/>
          <w:noProof/>
          <w:sz w:val="20"/>
          <w:szCs w:val="24"/>
        </w:rPr>
        <w:t xml:space="preserve">10. </w:t>
      </w:r>
      <w:r w:rsidRPr="002379C6">
        <w:rPr>
          <w:rFonts w:ascii="Arial" w:hAnsi="Arial" w:cs="Arial"/>
          <w:noProof/>
          <w:sz w:val="20"/>
          <w:szCs w:val="24"/>
        </w:rPr>
        <w:tab/>
        <w:t>Nederlandse Zorgautoriteit (NZa). Open DIS Data. http://www.opendisdata.nl/zorgproduct/. Accessed March 15, 2016.</w:t>
      </w:r>
    </w:p>
    <w:p w14:paraId="45E8C617" w14:textId="77777777" w:rsidR="002379C6" w:rsidRPr="002379C6" w:rsidRDefault="002379C6" w:rsidP="002379C6">
      <w:pPr>
        <w:widowControl w:val="0"/>
        <w:autoSpaceDE w:val="0"/>
        <w:autoSpaceDN w:val="0"/>
        <w:adjustRightInd w:val="0"/>
        <w:spacing w:line="240" w:lineRule="auto"/>
        <w:ind w:left="640" w:hanging="640"/>
        <w:rPr>
          <w:rFonts w:ascii="Arial" w:hAnsi="Arial" w:cs="Arial"/>
          <w:noProof/>
          <w:sz w:val="20"/>
          <w:szCs w:val="24"/>
        </w:rPr>
      </w:pPr>
      <w:r w:rsidRPr="002379C6">
        <w:rPr>
          <w:rFonts w:ascii="Arial" w:hAnsi="Arial" w:cs="Arial"/>
          <w:noProof/>
          <w:sz w:val="20"/>
          <w:szCs w:val="24"/>
        </w:rPr>
        <w:t xml:space="preserve">11. </w:t>
      </w:r>
      <w:r w:rsidRPr="002379C6">
        <w:rPr>
          <w:rFonts w:ascii="Arial" w:hAnsi="Arial" w:cs="Arial"/>
          <w:noProof/>
          <w:sz w:val="20"/>
          <w:szCs w:val="24"/>
        </w:rPr>
        <w:tab/>
        <w:t xml:space="preserve">Nederlandse Vereniging voor Hematologie. Richtlijn ITP. </w:t>
      </w:r>
      <w:r w:rsidRPr="002379C6">
        <w:rPr>
          <w:rFonts w:ascii="Arial" w:hAnsi="Arial" w:cs="Arial"/>
          <w:i/>
          <w:iCs/>
          <w:noProof/>
          <w:sz w:val="20"/>
          <w:szCs w:val="24"/>
        </w:rPr>
        <w:t>2013</w:t>
      </w:r>
      <w:r w:rsidRPr="002379C6">
        <w:rPr>
          <w:rFonts w:ascii="Arial" w:hAnsi="Arial" w:cs="Arial"/>
          <w:noProof/>
          <w:sz w:val="20"/>
          <w:szCs w:val="24"/>
        </w:rPr>
        <w:t>.</w:t>
      </w:r>
    </w:p>
    <w:p w14:paraId="0E043853" w14:textId="77777777" w:rsidR="002379C6" w:rsidRPr="00432E70" w:rsidRDefault="002379C6" w:rsidP="002379C6">
      <w:pPr>
        <w:widowControl w:val="0"/>
        <w:autoSpaceDE w:val="0"/>
        <w:autoSpaceDN w:val="0"/>
        <w:adjustRightInd w:val="0"/>
        <w:spacing w:line="240" w:lineRule="auto"/>
        <w:ind w:left="640" w:hanging="640"/>
        <w:rPr>
          <w:rFonts w:ascii="Arial" w:hAnsi="Arial" w:cs="Arial"/>
          <w:noProof/>
          <w:sz w:val="20"/>
          <w:szCs w:val="24"/>
          <w:lang w:val="en-US"/>
        </w:rPr>
      </w:pPr>
      <w:r w:rsidRPr="002379C6">
        <w:rPr>
          <w:rFonts w:ascii="Arial" w:hAnsi="Arial" w:cs="Arial"/>
          <w:noProof/>
          <w:sz w:val="20"/>
          <w:szCs w:val="24"/>
        </w:rPr>
        <w:t xml:space="preserve">12. </w:t>
      </w:r>
      <w:r w:rsidRPr="002379C6">
        <w:rPr>
          <w:rFonts w:ascii="Arial" w:hAnsi="Arial" w:cs="Arial"/>
          <w:noProof/>
          <w:sz w:val="20"/>
          <w:szCs w:val="24"/>
        </w:rPr>
        <w:tab/>
        <w:t xml:space="preserve">Novartis Pharmaceutical UK Ltd. </w:t>
      </w:r>
      <w:r w:rsidRPr="00432E70">
        <w:rPr>
          <w:rFonts w:ascii="Arial" w:hAnsi="Arial" w:cs="Arial"/>
          <w:i/>
          <w:iCs/>
          <w:noProof/>
          <w:sz w:val="20"/>
          <w:szCs w:val="24"/>
          <w:lang w:val="en-US"/>
        </w:rPr>
        <w:t>Fingolimod for the Treatment of Relapsing-Remitting Multiple Sclerosis in Adults: NICE Single Technology Appraisal.</w:t>
      </w:r>
      <w:r w:rsidRPr="00432E70">
        <w:rPr>
          <w:rFonts w:ascii="Arial" w:hAnsi="Arial" w:cs="Arial"/>
          <w:noProof/>
          <w:sz w:val="20"/>
          <w:szCs w:val="24"/>
          <w:lang w:val="en-US"/>
        </w:rPr>
        <w:t>; 2011.</w:t>
      </w:r>
    </w:p>
    <w:p w14:paraId="52F18511" w14:textId="77777777" w:rsidR="002379C6" w:rsidRPr="002379C6" w:rsidRDefault="002379C6" w:rsidP="002379C6">
      <w:pPr>
        <w:widowControl w:val="0"/>
        <w:autoSpaceDE w:val="0"/>
        <w:autoSpaceDN w:val="0"/>
        <w:adjustRightInd w:val="0"/>
        <w:spacing w:line="240" w:lineRule="auto"/>
        <w:ind w:left="640" w:hanging="640"/>
        <w:rPr>
          <w:rFonts w:ascii="Arial" w:hAnsi="Arial" w:cs="Arial"/>
          <w:noProof/>
          <w:sz w:val="20"/>
          <w:szCs w:val="24"/>
        </w:rPr>
      </w:pPr>
      <w:r w:rsidRPr="00432E70">
        <w:rPr>
          <w:rFonts w:ascii="Arial" w:hAnsi="Arial" w:cs="Arial"/>
          <w:noProof/>
          <w:sz w:val="20"/>
          <w:szCs w:val="24"/>
          <w:lang w:val="en-US"/>
        </w:rPr>
        <w:t xml:space="preserve">13. </w:t>
      </w:r>
      <w:r w:rsidRPr="00432E70">
        <w:rPr>
          <w:rFonts w:ascii="Arial" w:hAnsi="Arial" w:cs="Arial"/>
          <w:noProof/>
          <w:sz w:val="20"/>
          <w:szCs w:val="24"/>
          <w:lang w:val="en-US"/>
        </w:rPr>
        <w:tab/>
        <w:t xml:space="preserve">Kappos L, Radue E, O’Connor P, et al. A placebo-controlled trial of oral fingolimod in relapsing multiple sclerosis. </w:t>
      </w:r>
      <w:r w:rsidRPr="002379C6">
        <w:rPr>
          <w:rFonts w:ascii="Arial" w:hAnsi="Arial" w:cs="Arial"/>
          <w:i/>
          <w:iCs/>
          <w:noProof/>
          <w:sz w:val="20"/>
          <w:szCs w:val="24"/>
        </w:rPr>
        <w:t>N Engl J Med</w:t>
      </w:r>
      <w:r w:rsidRPr="002379C6">
        <w:rPr>
          <w:rFonts w:ascii="Arial" w:hAnsi="Arial" w:cs="Arial"/>
          <w:noProof/>
          <w:sz w:val="20"/>
          <w:szCs w:val="24"/>
        </w:rPr>
        <w:t>. 2010;362(5):387-401.</w:t>
      </w:r>
    </w:p>
    <w:p w14:paraId="168AD0DE" w14:textId="77777777" w:rsidR="002379C6" w:rsidRPr="002379C6" w:rsidRDefault="002379C6" w:rsidP="002379C6">
      <w:pPr>
        <w:widowControl w:val="0"/>
        <w:autoSpaceDE w:val="0"/>
        <w:autoSpaceDN w:val="0"/>
        <w:adjustRightInd w:val="0"/>
        <w:spacing w:line="240" w:lineRule="auto"/>
        <w:ind w:left="640" w:hanging="640"/>
        <w:rPr>
          <w:rFonts w:ascii="Arial" w:hAnsi="Arial" w:cs="Arial"/>
          <w:noProof/>
          <w:sz w:val="20"/>
          <w:szCs w:val="24"/>
        </w:rPr>
      </w:pPr>
      <w:r w:rsidRPr="002379C6">
        <w:rPr>
          <w:rFonts w:ascii="Arial" w:hAnsi="Arial" w:cs="Arial"/>
          <w:noProof/>
          <w:sz w:val="20"/>
          <w:szCs w:val="24"/>
        </w:rPr>
        <w:t xml:space="preserve">14. </w:t>
      </w:r>
      <w:r w:rsidRPr="002379C6">
        <w:rPr>
          <w:rFonts w:ascii="Arial" w:hAnsi="Arial" w:cs="Arial"/>
          <w:noProof/>
          <w:sz w:val="20"/>
          <w:szCs w:val="24"/>
        </w:rPr>
        <w:tab/>
        <w:t xml:space="preserve">Verheij T, Hopstaken R, Prins J, et al. NHG-standaard acuut hoesten. </w:t>
      </w:r>
      <w:r w:rsidRPr="002379C6">
        <w:rPr>
          <w:rFonts w:ascii="Arial" w:hAnsi="Arial" w:cs="Arial"/>
          <w:i/>
          <w:iCs/>
          <w:noProof/>
          <w:sz w:val="20"/>
          <w:szCs w:val="24"/>
        </w:rPr>
        <w:t>Huisarts Wet</w:t>
      </w:r>
      <w:r w:rsidRPr="002379C6">
        <w:rPr>
          <w:rFonts w:ascii="Arial" w:hAnsi="Arial" w:cs="Arial"/>
          <w:noProof/>
          <w:sz w:val="20"/>
          <w:szCs w:val="24"/>
        </w:rPr>
        <w:t>. 2011;54(2):68-92.</w:t>
      </w:r>
    </w:p>
    <w:p w14:paraId="667B9981" w14:textId="77777777" w:rsidR="002379C6" w:rsidRPr="002379C6" w:rsidRDefault="002379C6" w:rsidP="002379C6">
      <w:pPr>
        <w:widowControl w:val="0"/>
        <w:autoSpaceDE w:val="0"/>
        <w:autoSpaceDN w:val="0"/>
        <w:adjustRightInd w:val="0"/>
        <w:spacing w:line="240" w:lineRule="auto"/>
        <w:ind w:left="640" w:hanging="640"/>
        <w:rPr>
          <w:rFonts w:ascii="Arial" w:hAnsi="Arial" w:cs="Arial"/>
          <w:noProof/>
          <w:sz w:val="20"/>
          <w:szCs w:val="24"/>
        </w:rPr>
      </w:pPr>
      <w:r w:rsidRPr="002379C6">
        <w:rPr>
          <w:rFonts w:ascii="Arial" w:hAnsi="Arial" w:cs="Arial"/>
          <w:noProof/>
          <w:sz w:val="20"/>
          <w:szCs w:val="24"/>
        </w:rPr>
        <w:t xml:space="preserve">15. </w:t>
      </w:r>
      <w:r w:rsidRPr="002379C6">
        <w:rPr>
          <w:rFonts w:ascii="Arial" w:hAnsi="Arial" w:cs="Arial"/>
          <w:noProof/>
          <w:sz w:val="20"/>
          <w:szCs w:val="24"/>
        </w:rPr>
        <w:tab/>
        <w:t xml:space="preserve">Belo J, Bos M, Bruhl P, et al. NHG-standaard acute diarree. </w:t>
      </w:r>
      <w:r w:rsidRPr="002379C6">
        <w:rPr>
          <w:rFonts w:ascii="Arial" w:hAnsi="Arial" w:cs="Arial"/>
          <w:i/>
          <w:iCs/>
          <w:noProof/>
          <w:sz w:val="20"/>
          <w:szCs w:val="24"/>
        </w:rPr>
        <w:t>Huisarts Wet</w:t>
      </w:r>
      <w:r w:rsidRPr="002379C6">
        <w:rPr>
          <w:rFonts w:ascii="Arial" w:hAnsi="Arial" w:cs="Arial"/>
          <w:noProof/>
          <w:sz w:val="20"/>
          <w:szCs w:val="24"/>
        </w:rPr>
        <w:t>. 2014;57(9):462-471.</w:t>
      </w:r>
    </w:p>
    <w:p w14:paraId="2EBCE74B" w14:textId="77777777" w:rsidR="002379C6" w:rsidRPr="00432E70" w:rsidRDefault="002379C6" w:rsidP="002379C6">
      <w:pPr>
        <w:widowControl w:val="0"/>
        <w:autoSpaceDE w:val="0"/>
        <w:autoSpaceDN w:val="0"/>
        <w:adjustRightInd w:val="0"/>
        <w:spacing w:line="240" w:lineRule="auto"/>
        <w:ind w:left="640" w:hanging="640"/>
        <w:rPr>
          <w:rFonts w:ascii="Arial" w:hAnsi="Arial" w:cs="Arial"/>
          <w:noProof/>
          <w:sz w:val="20"/>
          <w:szCs w:val="24"/>
          <w:lang w:val="en-US"/>
        </w:rPr>
      </w:pPr>
      <w:r w:rsidRPr="00432E70">
        <w:rPr>
          <w:rFonts w:ascii="Arial" w:hAnsi="Arial" w:cs="Arial"/>
          <w:noProof/>
          <w:sz w:val="20"/>
          <w:szCs w:val="24"/>
          <w:lang w:val="en-US"/>
        </w:rPr>
        <w:t xml:space="preserve">16. </w:t>
      </w:r>
      <w:r w:rsidRPr="00432E70">
        <w:rPr>
          <w:rFonts w:ascii="Arial" w:hAnsi="Arial" w:cs="Arial"/>
          <w:noProof/>
          <w:sz w:val="20"/>
          <w:szCs w:val="24"/>
          <w:lang w:val="en-US"/>
        </w:rPr>
        <w:tab/>
        <w:t xml:space="preserve">Biogen Idec. </w:t>
      </w:r>
      <w:r w:rsidRPr="00432E70">
        <w:rPr>
          <w:rFonts w:ascii="Arial" w:hAnsi="Arial" w:cs="Arial"/>
          <w:i/>
          <w:iCs/>
          <w:noProof/>
          <w:sz w:val="20"/>
          <w:szCs w:val="24"/>
          <w:lang w:val="en-US"/>
        </w:rPr>
        <w:t>Natalizumab (Tysabri) for the Treatment of Adults with Highly Active Relapsing Remitting Multiple Sclerosis: Single Technology Appraisal (STA) Submission to the National Institute for Health and Clinical Excellence</w:t>
      </w:r>
      <w:r w:rsidRPr="00432E70">
        <w:rPr>
          <w:rFonts w:ascii="Arial" w:hAnsi="Arial" w:cs="Arial"/>
          <w:noProof/>
          <w:sz w:val="20"/>
          <w:szCs w:val="24"/>
          <w:lang w:val="en-US"/>
        </w:rPr>
        <w:t>.; 2006.</w:t>
      </w:r>
    </w:p>
    <w:p w14:paraId="200204A3" w14:textId="77777777" w:rsidR="002379C6" w:rsidRPr="00432E70" w:rsidRDefault="002379C6" w:rsidP="002379C6">
      <w:pPr>
        <w:widowControl w:val="0"/>
        <w:autoSpaceDE w:val="0"/>
        <w:autoSpaceDN w:val="0"/>
        <w:adjustRightInd w:val="0"/>
        <w:spacing w:line="240" w:lineRule="auto"/>
        <w:ind w:left="640" w:hanging="640"/>
        <w:rPr>
          <w:rFonts w:ascii="Arial" w:hAnsi="Arial" w:cs="Arial"/>
          <w:noProof/>
          <w:sz w:val="20"/>
          <w:szCs w:val="24"/>
          <w:lang w:val="en-US"/>
        </w:rPr>
      </w:pPr>
      <w:r w:rsidRPr="00432E70">
        <w:rPr>
          <w:rFonts w:ascii="Arial" w:hAnsi="Arial" w:cs="Arial"/>
          <w:noProof/>
          <w:sz w:val="20"/>
          <w:szCs w:val="24"/>
          <w:lang w:val="en-US"/>
        </w:rPr>
        <w:t xml:space="preserve">17. </w:t>
      </w:r>
      <w:r w:rsidRPr="00432E70">
        <w:rPr>
          <w:rFonts w:ascii="Arial" w:hAnsi="Arial" w:cs="Arial"/>
          <w:noProof/>
          <w:sz w:val="20"/>
          <w:szCs w:val="24"/>
          <w:lang w:val="en-US"/>
        </w:rPr>
        <w:tab/>
        <w:t xml:space="preserve">Kappos L, Bates D, Edan G, Eraksoy M, Garcia-Merino A. Natalizumab treatment for multiple sclerosis: updated recommendations for patient selection and monitoring. </w:t>
      </w:r>
      <w:r w:rsidRPr="00432E70">
        <w:rPr>
          <w:rFonts w:ascii="Arial" w:hAnsi="Arial" w:cs="Arial"/>
          <w:i/>
          <w:iCs/>
          <w:noProof/>
          <w:sz w:val="20"/>
          <w:szCs w:val="24"/>
          <w:lang w:val="en-US"/>
        </w:rPr>
        <w:t>Lancet Neurol</w:t>
      </w:r>
      <w:r w:rsidRPr="00432E70">
        <w:rPr>
          <w:rFonts w:ascii="Arial" w:hAnsi="Arial" w:cs="Arial"/>
          <w:noProof/>
          <w:sz w:val="20"/>
          <w:szCs w:val="24"/>
          <w:lang w:val="en-US"/>
        </w:rPr>
        <w:t>. 2011;10(8):745-758.</w:t>
      </w:r>
    </w:p>
    <w:p w14:paraId="08789345" w14:textId="77777777" w:rsidR="002379C6" w:rsidRPr="00432E70" w:rsidRDefault="002379C6" w:rsidP="002379C6">
      <w:pPr>
        <w:widowControl w:val="0"/>
        <w:autoSpaceDE w:val="0"/>
        <w:autoSpaceDN w:val="0"/>
        <w:adjustRightInd w:val="0"/>
        <w:spacing w:line="240" w:lineRule="auto"/>
        <w:ind w:left="640" w:hanging="640"/>
        <w:rPr>
          <w:rFonts w:ascii="Arial" w:hAnsi="Arial" w:cs="Arial"/>
          <w:noProof/>
          <w:sz w:val="20"/>
          <w:szCs w:val="24"/>
          <w:lang w:val="en-US"/>
        </w:rPr>
      </w:pPr>
      <w:r w:rsidRPr="00432E70">
        <w:rPr>
          <w:rFonts w:ascii="Arial" w:hAnsi="Arial" w:cs="Arial"/>
          <w:noProof/>
          <w:sz w:val="20"/>
          <w:szCs w:val="24"/>
          <w:lang w:val="en-US"/>
        </w:rPr>
        <w:t xml:space="preserve">18. </w:t>
      </w:r>
      <w:r w:rsidRPr="00432E70">
        <w:rPr>
          <w:rFonts w:ascii="Arial" w:hAnsi="Arial" w:cs="Arial"/>
          <w:noProof/>
          <w:sz w:val="20"/>
          <w:szCs w:val="24"/>
          <w:lang w:val="en-US"/>
        </w:rPr>
        <w:tab/>
        <w:t xml:space="preserve">Baldwin K, Hogg J. Progressive multifocal leukoencephalopathy in patients with multiple sclerosis. </w:t>
      </w:r>
      <w:r w:rsidRPr="00432E70">
        <w:rPr>
          <w:rFonts w:ascii="Arial" w:hAnsi="Arial" w:cs="Arial"/>
          <w:i/>
          <w:iCs/>
          <w:noProof/>
          <w:sz w:val="20"/>
          <w:szCs w:val="24"/>
          <w:lang w:val="en-US"/>
        </w:rPr>
        <w:t>Curr Opin Neurol</w:t>
      </w:r>
      <w:r w:rsidRPr="00432E70">
        <w:rPr>
          <w:rFonts w:ascii="Arial" w:hAnsi="Arial" w:cs="Arial"/>
          <w:noProof/>
          <w:sz w:val="20"/>
          <w:szCs w:val="24"/>
          <w:lang w:val="en-US"/>
        </w:rPr>
        <w:t>. 2013;26(3):318-323.</w:t>
      </w:r>
    </w:p>
    <w:p w14:paraId="14B67E6F" w14:textId="77777777" w:rsidR="002379C6" w:rsidRPr="002379C6" w:rsidRDefault="002379C6" w:rsidP="002379C6">
      <w:pPr>
        <w:widowControl w:val="0"/>
        <w:autoSpaceDE w:val="0"/>
        <w:autoSpaceDN w:val="0"/>
        <w:adjustRightInd w:val="0"/>
        <w:spacing w:line="240" w:lineRule="auto"/>
        <w:ind w:left="640" w:hanging="640"/>
        <w:rPr>
          <w:rFonts w:ascii="Arial" w:hAnsi="Arial" w:cs="Arial"/>
          <w:noProof/>
          <w:sz w:val="20"/>
        </w:rPr>
      </w:pPr>
      <w:r w:rsidRPr="00432E70">
        <w:rPr>
          <w:rFonts w:ascii="Arial" w:hAnsi="Arial" w:cs="Arial"/>
          <w:noProof/>
          <w:sz w:val="20"/>
          <w:szCs w:val="24"/>
          <w:lang w:val="en-US"/>
        </w:rPr>
        <w:t xml:space="preserve">19. </w:t>
      </w:r>
      <w:r w:rsidRPr="00432E70">
        <w:rPr>
          <w:rFonts w:ascii="Arial" w:hAnsi="Arial" w:cs="Arial"/>
          <w:noProof/>
          <w:sz w:val="20"/>
          <w:szCs w:val="24"/>
          <w:lang w:val="en-US"/>
        </w:rPr>
        <w:tab/>
        <w:t xml:space="preserve">Polman C, O’Connor P, Havrdova E, et al. A randomized, placebo-controlled trial of natalizumab for relapsing multiple sclerosis. </w:t>
      </w:r>
      <w:r w:rsidRPr="002379C6">
        <w:rPr>
          <w:rFonts w:ascii="Arial" w:hAnsi="Arial" w:cs="Arial"/>
          <w:i/>
          <w:iCs/>
          <w:noProof/>
          <w:sz w:val="20"/>
          <w:szCs w:val="24"/>
        </w:rPr>
        <w:t>N Engl J Med</w:t>
      </w:r>
      <w:r w:rsidRPr="002379C6">
        <w:rPr>
          <w:rFonts w:ascii="Arial" w:hAnsi="Arial" w:cs="Arial"/>
          <w:noProof/>
          <w:sz w:val="20"/>
          <w:szCs w:val="24"/>
        </w:rPr>
        <w:t>. 2006;354(9):899-910.</w:t>
      </w:r>
    </w:p>
    <w:p w14:paraId="3B33C81C" w14:textId="77777777" w:rsidR="008A67CF" w:rsidRPr="005218B8" w:rsidRDefault="00D90414" w:rsidP="00D90414">
      <w:pPr>
        <w:rPr>
          <w:rFonts w:ascii="Arial" w:hAnsi="Arial" w:cs="Arial"/>
        </w:rPr>
      </w:pPr>
      <w:r w:rsidRPr="005218B8">
        <w:rPr>
          <w:rFonts w:ascii="Arial" w:hAnsi="Arial" w:cs="Arial"/>
          <w:sz w:val="20"/>
          <w:szCs w:val="20"/>
        </w:rPr>
        <w:fldChar w:fldCharType="end"/>
      </w:r>
    </w:p>
    <w:sectPr w:rsidR="008A67CF" w:rsidRPr="0052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9236F"/>
    <w:multiLevelType w:val="hybridMultilevel"/>
    <w:tmpl w:val="2E942DA2"/>
    <w:lvl w:ilvl="0" w:tplc="A058C03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54D7F"/>
    <w:multiLevelType w:val="hybridMultilevel"/>
    <w:tmpl w:val="432AF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14"/>
    <w:rsid w:val="000303CA"/>
    <w:rsid w:val="000815EB"/>
    <w:rsid w:val="000F1D0A"/>
    <w:rsid w:val="0015507F"/>
    <w:rsid w:val="0018738F"/>
    <w:rsid w:val="001A37C3"/>
    <w:rsid w:val="001D4361"/>
    <w:rsid w:val="0020206A"/>
    <w:rsid w:val="002379C6"/>
    <w:rsid w:val="002C4206"/>
    <w:rsid w:val="00312AA8"/>
    <w:rsid w:val="003303C7"/>
    <w:rsid w:val="003E2937"/>
    <w:rsid w:val="00432E70"/>
    <w:rsid w:val="00472952"/>
    <w:rsid w:val="00476EB1"/>
    <w:rsid w:val="00494237"/>
    <w:rsid w:val="005218B8"/>
    <w:rsid w:val="005669A4"/>
    <w:rsid w:val="0062075F"/>
    <w:rsid w:val="006C1C30"/>
    <w:rsid w:val="00885D98"/>
    <w:rsid w:val="008A67CF"/>
    <w:rsid w:val="008E721C"/>
    <w:rsid w:val="00A205A6"/>
    <w:rsid w:val="00A37747"/>
    <w:rsid w:val="00A943F5"/>
    <w:rsid w:val="00B76EF9"/>
    <w:rsid w:val="00B95384"/>
    <w:rsid w:val="00BF0519"/>
    <w:rsid w:val="00C1057A"/>
    <w:rsid w:val="00C32FA3"/>
    <w:rsid w:val="00C52478"/>
    <w:rsid w:val="00C84F7A"/>
    <w:rsid w:val="00CB4C90"/>
    <w:rsid w:val="00CF137E"/>
    <w:rsid w:val="00CF5E39"/>
    <w:rsid w:val="00D90414"/>
    <w:rsid w:val="00DA537A"/>
    <w:rsid w:val="00DC67A6"/>
    <w:rsid w:val="00E615D8"/>
    <w:rsid w:val="00E95B6B"/>
    <w:rsid w:val="00F25206"/>
    <w:rsid w:val="00F5241E"/>
    <w:rsid w:val="00F9124B"/>
    <w:rsid w:val="00FB5DEF"/>
    <w:rsid w:val="00FF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C94B"/>
  <w15:chartTrackingRefBased/>
  <w15:docId w15:val="{93AE1BBD-9E89-4AD3-8C10-038D445E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414"/>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41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0414"/>
    <w:rPr>
      <w:sz w:val="16"/>
      <w:szCs w:val="16"/>
    </w:rPr>
  </w:style>
  <w:style w:type="paragraph" w:styleId="CommentText">
    <w:name w:val="annotation text"/>
    <w:basedOn w:val="Normal"/>
    <w:link w:val="CommentTextChar"/>
    <w:uiPriority w:val="99"/>
    <w:unhideWhenUsed/>
    <w:rsid w:val="00D90414"/>
    <w:pPr>
      <w:spacing w:line="240" w:lineRule="auto"/>
    </w:pPr>
    <w:rPr>
      <w:sz w:val="20"/>
      <w:szCs w:val="20"/>
    </w:rPr>
  </w:style>
  <w:style w:type="character" w:customStyle="1" w:styleId="CommentTextChar">
    <w:name w:val="Comment Text Char"/>
    <w:basedOn w:val="DefaultParagraphFont"/>
    <w:link w:val="CommentText"/>
    <w:uiPriority w:val="99"/>
    <w:rsid w:val="00D90414"/>
    <w:rPr>
      <w:sz w:val="20"/>
      <w:szCs w:val="20"/>
      <w:lang w:val="nl-NL"/>
    </w:rPr>
  </w:style>
  <w:style w:type="paragraph" w:styleId="BalloonText">
    <w:name w:val="Balloon Text"/>
    <w:basedOn w:val="Normal"/>
    <w:link w:val="BalloonTextChar"/>
    <w:uiPriority w:val="99"/>
    <w:semiHidden/>
    <w:unhideWhenUsed/>
    <w:rsid w:val="00D90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14"/>
    <w:rPr>
      <w:rFonts w:ascii="Segoe UI" w:hAnsi="Segoe UI" w:cs="Segoe UI"/>
      <w:sz w:val="18"/>
      <w:szCs w:val="18"/>
      <w:lang w:val="nl-NL"/>
    </w:rPr>
  </w:style>
  <w:style w:type="paragraph" w:styleId="CommentSubject">
    <w:name w:val="annotation subject"/>
    <w:basedOn w:val="CommentText"/>
    <w:next w:val="CommentText"/>
    <w:link w:val="CommentSubjectChar"/>
    <w:uiPriority w:val="99"/>
    <w:semiHidden/>
    <w:unhideWhenUsed/>
    <w:rsid w:val="00476EB1"/>
    <w:rPr>
      <w:b/>
      <w:bCs/>
    </w:rPr>
  </w:style>
  <w:style w:type="character" w:customStyle="1" w:styleId="CommentSubjectChar">
    <w:name w:val="Comment Subject Char"/>
    <w:basedOn w:val="CommentTextChar"/>
    <w:link w:val="CommentSubject"/>
    <w:uiPriority w:val="99"/>
    <w:semiHidden/>
    <w:rsid w:val="00476EB1"/>
    <w:rPr>
      <w:b/>
      <w:bCs/>
      <w:sz w:val="20"/>
      <w:szCs w:val="20"/>
      <w:lang w:val="nl-NL"/>
    </w:rPr>
  </w:style>
  <w:style w:type="paragraph" w:styleId="Caption">
    <w:name w:val="caption"/>
    <w:basedOn w:val="Normal"/>
    <w:next w:val="Normal"/>
    <w:uiPriority w:val="35"/>
    <w:unhideWhenUsed/>
    <w:qFormat/>
    <w:rsid w:val="005218B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p:Policy xmlns:p="office.server.policy" id="" local="true">
  <p:Name>Item</p:Name>
  <p:Description/>
  <p:Statement/>
</p:Policy>
</file>

<file path=customXml/item3.xml><?xml version="1.0" encoding="utf-8"?>
<ct:contentTypeSchema xmlns:ct="http://schemas.microsoft.com/office/2006/metadata/contentType" xmlns:ma="http://schemas.microsoft.com/office/2006/metadata/properties/metaAttributes" ct:_="" ma:_="" ma:contentTypeName="Blanc office document" ma:contentTypeID="0x010100E25FFAF6009D494A8B602226AD7DBDDA0C0007FC7F4443EE01469B022C071B2C88E5" ma:contentTypeVersion="5" ma:contentTypeDescription="" ma:contentTypeScope="" ma:versionID="da704a5b2da7406938283bef64b46183">
  <xsd:schema xmlns:xsd="http://www.w3.org/2001/XMLSchema" xmlns:xs="http://www.w3.org/2001/XMLSchema" xmlns:p="http://schemas.microsoft.com/office/2006/metadata/properties" xmlns:ns2="8ef502d6-c46e-4c9c-9faf-d57172f881dd" targetNamespace="http://schemas.microsoft.com/office/2006/metadata/properties" ma:root="true" ma:fieldsID="1fbe79507aea17d2521fd3626b12ed93" ns2:_="">
    <xsd:import namespace="8ef502d6-c46e-4c9c-9faf-d57172f881d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502d6-c46e-4c9c-9faf-d57172f88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C455-4C9D-4B74-AD05-512AF77135B2}">
  <ds:schemaRefs>
    <ds:schemaRef ds:uri="http://purl.org/dc/terms/"/>
    <ds:schemaRef ds:uri="http://schemas.openxmlformats.org/package/2006/metadata/core-properties"/>
    <ds:schemaRef ds:uri="http://purl.org/dc/dcmitype/"/>
    <ds:schemaRef ds:uri="http://schemas.microsoft.com/office/infopath/2007/PartnerControls"/>
    <ds:schemaRef ds:uri="8ef502d6-c46e-4c9c-9faf-d57172f881dd"/>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71CD8EF-0F2A-41F5-8911-50452C68CDD3}">
  <ds:schemaRefs>
    <ds:schemaRef ds:uri="office.server.policy"/>
  </ds:schemaRefs>
</ds:datastoreItem>
</file>

<file path=customXml/itemProps3.xml><?xml version="1.0" encoding="utf-8"?>
<ds:datastoreItem xmlns:ds="http://schemas.openxmlformats.org/officeDocument/2006/customXml" ds:itemID="{83D14D9E-6055-4756-AD8F-FBB46742C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502d6-c46e-4c9c-9faf-d57172f88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38410-FD41-4732-A52F-64EE454716F7}">
  <ds:schemaRefs>
    <ds:schemaRef ds:uri="http://schemas.microsoft.com/sharepoint/v3/contenttype/forms"/>
  </ds:schemaRefs>
</ds:datastoreItem>
</file>

<file path=customXml/itemProps5.xml><?xml version="1.0" encoding="utf-8"?>
<ds:datastoreItem xmlns:ds="http://schemas.openxmlformats.org/officeDocument/2006/customXml" ds:itemID="{94824CF2-C9C6-4ECF-ACA0-9585DE28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13062</Words>
  <Characters>74460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Marjanne  Piena</dc:creator>
  <cp:keywords/>
  <dc:description/>
  <cp:lastModifiedBy>Marieke Heisen</cp:lastModifiedBy>
  <cp:revision>2</cp:revision>
  <dcterms:created xsi:type="dcterms:W3CDTF">2017-11-03T07:39:00Z</dcterms:created>
  <dcterms:modified xsi:type="dcterms:W3CDTF">2017-11-03T07:39:00Z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0x010100E25FFAF6009D494A8B602226AD7DBDDA0C0007FC7F4443EE01469B022C071B2C88E5</vt:lpwstr>
  </property>
  <property fmtid="{D5CDD505-2E9C-101B-9397-08002B2CF9AE}" pid="3" name="Mendeley Citation Style_1">
    <vt:lpwstr>http://www.zotero.org/styles/american-medical-association</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Unique User Id_1">
    <vt:lpwstr>08a849a2-1814-381f-95c3-e5a45b7e55e2</vt:lpwstr>
  </property>
</Properties>
</file>