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38" w:rsidRPr="0097549C" w:rsidRDefault="00531938" w:rsidP="00531938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</w:t>
      </w:r>
    </w:p>
    <w:p w:rsidR="00531938" w:rsidRDefault="00531938" w:rsidP="00531938">
      <w:pPr>
        <w:autoSpaceDE w:val="0"/>
        <w:autoSpaceDN w:val="0"/>
        <w:adjustRightInd w:val="0"/>
        <w:rPr>
          <w:rFonts w:ascii="Arial" w:hAnsi="Arial" w:cs="Arial"/>
        </w:rPr>
      </w:pPr>
    </w:p>
    <w:p w:rsidR="00531938" w:rsidRPr="000C037B" w:rsidRDefault="000C037B" w:rsidP="000C037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C037B">
        <w:rPr>
          <w:rFonts w:ascii="Arial" w:hAnsi="Arial" w:cs="Arial"/>
          <w:b/>
          <w:bCs/>
          <w:sz w:val="20"/>
          <w:szCs w:val="20"/>
        </w:rPr>
        <w:t>NACE outcomes at different follow up durations</w:t>
      </w:r>
    </w:p>
    <w:p w:rsidR="00531938" w:rsidRDefault="00531938" w:rsidP="00531938">
      <w:pPr>
        <w:autoSpaceDE w:val="0"/>
        <w:autoSpaceDN w:val="0"/>
        <w:adjustRightInd w:val="0"/>
        <w:rPr>
          <w:rFonts w:ascii="Arial" w:hAnsi="Arial" w:cs="Arial"/>
        </w:rPr>
      </w:pPr>
    </w:p>
    <w:p w:rsidR="00531938" w:rsidRDefault="00531938" w:rsidP="00531938">
      <w:r w:rsidRPr="00F23931">
        <w:rPr>
          <w:noProof/>
        </w:rPr>
        <w:drawing>
          <wp:inline distT="0" distB="0" distL="0" distR="0" wp14:anchorId="01B2575A" wp14:editId="31CDDA29">
            <wp:extent cx="5943600" cy="46329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3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938" w:rsidRDefault="00531938" w:rsidP="00531938"/>
    <w:p w:rsidR="00531938" w:rsidRDefault="00531938" w:rsidP="00531938"/>
    <w:p w:rsidR="00606C4D" w:rsidRDefault="00531938" w:rsidP="0053193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06C4D">
        <w:rPr>
          <w:rFonts w:ascii="Arial" w:hAnsi="Arial" w:cs="Arial"/>
          <w:b/>
          <w:sz w:val="20"/>
          <w:szCs w:val="20"/>
        </w:rPr>
        <w:t>Figure S1</w:t>
      </w:r>
      <w:r w:rsidRPr="00606C4D">
        <w:rPr>
          <w:rFonts w:ascii="Arial" w:hAnsi="Arial" w:cs="Arial"/>
          <w:sz w:val="20"/>
          <w:szCs w:val="20"/>
        </w:rPr>
        <w:t xml:space="preserve">: Forrest plot for net adverse clinical events (NACE) as a combined endpoint of major stroke, myocardial infarction (MI), all-cause mortality, and combined life-threatening and major bleeding at different follow up durations ( ≤30 days, 3-6 months and ≥ 1 year), showing pooled data from studies, with the odds ratio of the development of NACE in dual-antiplatelet therapy </w:t>
      </w:r>
      <w:proofErr w:type="spellStart"/>
      <w:r w:rsidRPr="00606C4D">
        <w:rPr>
          <w:rFonts w:ascii="Arial" w:hAnsi="Arial" w:cs="Arial"/>
          <w:sz w:val="20"/>
          <w:szCs w:val="20"/>
        </w:rPr>
        <w:t>vs</w:t>
      </w:r>
      <w:proofErr w:type="spellEnd"/>
      <w:r w:rsidRPr="00606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6C4D">
        <w:rPr>
          <w:rFonts w:ascii="Arial" w:hAnsi="Arial" w:cs="Arial"/>
          <w:sz w:val="20"/>
          <w:szCs w:val="20"/>
        </w:rPr>
        <w:t>monoantiplatelet</w:t>
      </w:r>
      <w:proofErr w:type="spellEnd"/>
      <w:r w:rsidRPr="00606C4D">
        <w:rPr>
          <w:rFonts w:ascii="Arial" w:hAnsi="Arial" w:cs="Arial"/>
          <w:sz w:val="20"/>
          <w:szCs w:val="20"/>
        </w:rPr>
        <w:t xml:space="preserve"> therapy.</w:t>
      </w:r>
    </w:p>
    <w:p w:rsidR="00531938" w:rsidRPr="00606C4D" w:rsidRDefault="00606C4D" w:rsidP="0053193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06C4D">
        <w:rPr>
          <w:rFonts w:ascii="Arial" w:hAnsi="Arial" w:cs="Arial"/>
          <w:sz w:val="20"/>
          <w:szCs w:val="20"/>
          <w:u w:val="single"/>
        </w:rPr>
        <w:t>Abbreviations</w:t>
      </w:r>
      <w:r>
        <w:rPr>
          <w:rFonts w:ascii="Arial" w:hAnsi="Arial" w:cs="Arial"/>
          <w:sz w:val="20"/>
          <w:szCs w:val="20"/>
        </w:rPr>
        <w:t>:</w:t>
      </w:r>
      <w:r w:rsidR="00531938" w:rsidRPr="00606C4D">
        <w:rPr>
          <w:rFonts w:ascii="Arial" w:hAnsi="Arial" w:cs="Arial"/>
          <w:sz w:val="20"/>
          <w:szCs w:val="20"/>
        </w:rPr>
        <w:t xml:space="preserve"> CI, confidence interval; DAPT, dual-antiplatelet therapy; MAPT, </w:t>
      </w:r>
      <w:proofErr w:type="spellStart"/>
      <w:r w:rsidR="00531938" w:rsidRPr="00606C4D">
        <w:rPr>
          <w:rFonts w:ascii="Arial" w:hAnsi="Arial" w:cs="Arial"/>
          <w:sz w:val="20"/>
          <w:szCs w:val="20"/>
        </w:rPr>
        <w:t>monoantiplatelet</w:t>
      </w:r>
      <w:proofErr w:type="spellEnd"/>
      <w:r w:rsidR="00531938" w:rsidRPr="00606C4D">
        <w:rPr>
          <w:rFonts w:ascii="Arial" w:hAnsi="Arial" w:cs="Arial"/>
          <w:sz w:val="20"/>
          <w:szCs w:val="20"/>
        </w:rPr>
        <w:t xml:space="preserve"> therapy.</w:t>
      </w:r>
    </w:p>
    <w:p w:rsidR="00531938" w:rsidRDefault="00531938" w:rsidP="00531938">
      <w:pPr>
        <w:autoSpaceDE w:val="0"/>
        <w:autoSpaceDN w:val="0"/>
        <w:adjustRightInd w:val="0"/>
        <w:rPr>
          <w:rFonts w:ascii="Arial" w:hAnsi="Arial" w:cs="Arial"/>
        </w:rPr>
      </w:pPr>
    </w:p>
    <w:p w:rsidR="00531938" w:rsidRDefault="00531938" w:rsidP="00531938"/>
    <w:p w:rsidR="00531938" w:rsidRDefault="00531938" w:rsidP="00531938"/>
    <w:p w:rsidR="000C037B" w:rsidRPr="000C037B" w:rsidRDefault="000C037B" w:rsidP="000C037B">
      <w:pPr>
        <w:rPr>
          <w:rFonts w:ascii="Arial" w:hAnsi="Arial" w:cs="Arial"/>
          <w:b/>
          <w:bCs/>
          <w:sz w:val="20"/>
          <w:szCs w:val="20"/>
        </w:rPr>
      </w:pPr>
      <w:r w:rsidRPr="000C037B">
        <w:rPr>
          <w:rFonts w:ascii="Arial" w:hAnsi="Arial" w:cs="Arial"/>
          <w:b/>
          <w:bCs/>
          <w:sz w:val="20"/>
          <w:szCs w:val="20"/>
        </w:rPr>
        <w:lastRenderedPageBreak/>
        <w:t>All-cause mortality outcomes at different follow up durations</w:t>
      </w:r>
    </w:p>
    <w:p w:rsidR="00531938" w:rsidRDefault="00531938" w:rsidP="00531938"/>
    <w:p w:rsidR="00531938" w:rsidRDefault="00531938" w:rsidP="00531938">
      <w:r w:rsidRPr="00F23931">
        <w:rPr>
          <w:noProof/>
        </w:rPr>
        <w:drawing>
          <wp:inline distT="0" distB="0" distL="0" distR="0" wp14:anchorId="41371A4A" wp14:editId="79F86DB2">
            <wp:extent cx="5943600" cy="46329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3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938" w:rsidRDefault="00531938" w:rsidP="00531938"/>
    <w:p w:rsidR="00531938" w:rsidRPr="00606C4D" w:rsidRDefault="00531938" w:rsidP="00531938">
      <w:pPr>
        <w:rPr>
          <w:sz w:val="20"/>
          <w:szCs w:val="20"/>
        </w:rPr>
      </w:pPr>
    </w:p>
    <w:p w:rsidR="00606C4D" w:rsidRPr="00606C4D" w:rsidRDefault="00531938" w:rsidP="0053193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06C4D">
        <w:rPr>
          <w:rFonts w:ascii="Arial" w:hAnsi="Arial" w:cs="Arial"/>
          <w:b/>
          <w:sz w:val="20"/>
          <w:szCs w:val="20"/>
        </w:rPr>
        <w:t>Figure S2</w:t>
      </w:r>
      <w:r w:rsidRPr="00606C4D">
        <w:rPr>
          <w:rFonts w:ascii="Arial" w:hAnsi="Arial" w:cs="Arial"/>
          <w:sz w:val="20"/>
          <w:szCs w:val="20"/>
        </w:rPr>
        <w:t xml:space="preserve">: Forrest plot for all-cause mortality at different follow up durations </w:t>
      </w:r>
      <w:proofErr w:type="gramStart"/>
      <w:r w:rsidRPr="00606C4D">
        <w:rPr>
          <w:rFonts w:ascii="Arial" w:hAnsi="Arial" w:cs="Arial"/>
          <w:sz w:val="20"/>
          <w:szCs w:val="20"/>
        </w:rPr>
        <w:t>( ≤</w:t>
      </w:r>
      <w:proofErr w:type="gramEnd"/>
      <w:r w:rsidRPr="00606C4D">
        <w:rPr>
          <w:rFonts w:ascii="Arial" w:hAnsi="Arial" w:cs="Arial"/>
          <w:sz w:val="20"/>
          <w:szCs w:val="20"/>
        </w:rPr>
        <w:t xml:space="preserve">30 days, 3-6 months and ≥ 1 year), showing pooled data from studies, with the odds ratio of the development of all-cause mortality in dual-antiplatelet therapy </w:t>
      </w:r>
      <w:proofErr w:type="spellStart"/>
      <w:r w:rsidRPr="00606C4D">
        <w:rPr>
          <w:rFonts w:ascii="Arial" w:hAnsi="Arial" w:cs="Arial"/>
          <w:sz w:val="20"/>
          <w:szCs w:val="20"/>
        </w:rPr>
        <w:t>vs</w:t>
      </w:r>
      <w:proofErr w:type="spellEnd"/>
      <w:r w:rsidRPr="00606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6C4D">
        <w:rPr>
          <w:rFonts w:ascii="Arial" w:hAnsi="Arial" w:cs="Arial"/>
          <w:sz w:val="20"/>
          <w:szCs w:val="20"/>
        </w:rPr>
        <w:t>monoantiplatelet</w:t>
      </w:r>
      <w:proofErr w:type="spellEnd"/>
      <w:r w:rsidRPr="00606C4D">
        <w:rPr>
          <w:rFonts w:ascii="Arial" w:hAnsi="Arial" w:cs="Arial"/>
          <w:sz w:val="20"/>
          <w:szCs w:val="20"/>
        </w:rPr>
        <w:t xml:space="preserve"> therapy. </w:t>
      </w:r>
    </w:p>
    <w:p w:rsidR="00531938" w:rsidRPr="00606C4D" w:rsidRDefault="00606C4D" w:rsidP="0053193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06C4D">
        <w:rPr>
          <w:rFonts w:ascii="Arial" w:hAnsi="Arial" w:cs="Arial"/>
          <w:sz w:val="20"/>
          <w:szCs w:val="20"/>
          <w:u w:val="single"/>
        </w:rPr>
        <w:t>Abbreviations</w:t>
      </w:r>
      <w:r w:rsidRPr="00606C4D">
        <w:rPr>
          <w:rFonts w:ascii="Arial" w:hAnsi="Arial" w:cs="Arial"/>
          <w:sz w:val="20"/>
          <w:szCs w:val="20"/>
        </w:rPr>
        <w:t xml:space="preserve">: </w:t>
      </w:r>
      <w:r w:rsidR="00531938" w:rsidRPr="00606C4D">
        <w:rPr>
          <w:rFonts w:ascii="Arial" w:hAnsi="Arial" w:cs="Arial"/>
          <w:sz w:val="20"/>
          <w:szCs w:val="20"/>
        </w:rPr>
        <w:t xml:space="preserve">CI, confidence interval; DAPT, dual-antiplatelet therapy; MAPT, </w:t>
      </w:r>
      <w:proofErr w:type="spellStart"/>
      <w:r w:rsidR="00531938" w:rsidRPr="00606C4D">
        <w:rPr>
          <w:rFonts w:ascii="Arial" w:hAnsi="Arial" w:cs="Arial"/>
          <w:sz w:val="20"/>
          <w:szCs w:val="20"/>
        </w:rPr>
        <w:t>monoantiplatelet</w:t>
      </w:r>
      <w:proofErr w:type="spellEnd"/>
      <w:r w:rsidR="00531938" w:rsidRPr="00606C4D">
        <w:rPr>
          <w:rFonts w:ascii="Arial" w:hAnsi="Arial" w:cs="Arial"/>
          <w:sz w:val="20"/>
          <w:szCs w:val="20"/>
        </w:rPr>
        <w:t xml:space="preserve"> therapy.</w:t>
      </w:r>
    </w:p>
    <w:p w:rsidR="00531938" w:rsidRDefault="00531938" w:rsidP="00531938"/>
    <w:p w:rsidR="00531938" w:rsidRDefault="00531938" w:rsidP="00531938"/>
    <w:p w:rsidR="00531938" w:rsidRDefault="00531938" w:rsidP="00531938"/>
    <w:p w:rsidR="00531938" w:rsidRDefault="00531938" w:rsidP="00531938"/>
    <w:p w:rsidR="000C037B" w:rsidRDefault="000C037B" w:rsidP="000C037B">
      <w:pPr>
        <w:rPr>
          <w:rFonts w:ascii="Arial" w:hAnsi="Arial" w:cs="Arial"/>
          <w:b/>
          <w:bCs/>
        </w:rPr>
      </w:pPr>
    </w:p>
    <w:p w:rsidR="000C037B" w:rsidRDefault="000C037B" w:rsidP="000C037B">
      <w:pPr>
        <w:rPr>
          <w:rFonts w:ascii="Arial" w:hAnsi="Arial" w:cs="Arial"/>
          <w:b/>
          <w:bCs/>
        </w:rPr>
      </w:pPr>
    </w:p>
    <w:p w:rsidR="000C037B" w:rsidRPr="000C037B" w:rsidRDefault="000C037B" w:rsidP="000C037B">
      <w:pPr>
        <w:rPr>
          <w:rFonts w:ascii="Arial" w:hAnsi="Arial" w:cs="Arial"/>
          <w:b/>
          <w:bCs/>
          <w:sz w:val="20"/>
          <w:szCs w:val="20"/>
        </w:rPr>
      </w:pPr>
      <w:r w:rsidRPr="000C037B">
        <w:rPr>
          <w:rFonts w:ascii="Arial" w:hAnsi="Arial" w:cs="Arial"/>
          <w:b/>
          <w:bCs/>
          <w:sz w:val="20"/>
          <w:szCs w:val="20"/>
        </w:rPr>
        <w:lastRenderedPageBreak/>
        <w:t>Myocardial Infarction outcomes at different follow up durations</w:t>
      </w:r>
    </w:p>
    <w:p w:rsidR="00531938" w:rsidRDefault="00531938" w:rsidP="00531938"/>
    <w:p w:rsidR="00531938" w:rsidRDefault="00531938" w:rsidP="00531938">
      <w:r w:rsidRPr="00F23931">
        <w:rPr>
          <w:noProof/>
        </w:rPr>
        <w:drawing>
          <wp:inline distT="0" distB="0" distL="0" distR="0" wp14:anchorId="4A9541F8" wp14:editId="5B10AE1E">
            <wp:extent cx="5943600" cy="4622165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2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938" w:rsidRDefault="00531938" w:rsidP="00531938"/>
    <w:p w:rsidR="00531938" w:rsidRDefault="00531938" w:rsidP="00531938"/>
    <w:p w:rsidR="00531938" w:rsidRDefault="00531938" w:rsidP="00531938"/>
    <w:p w:rsidR="00606C4D" w:rsidRPr="00606C4D" w:rsidRDefault="00531938" w:rsidP="00531938">
      <w:pPr>
        <w:rPr>
          <w:rFonts w:ascii="Arial" w:hAnsi="Arial" w:cs="Arial"/>
          <w:sz w:val="20"/>
          <w:szCs w:val="20"/>
        </w:rPr>
      </w:pPr>
      <w:r w:rsidRPr="00606C4D">
        <w:rPr>
          <w:rFonts w:ascii="Arial" w:hAnsi="Arial" w:cs="Arial"/>
          <w:b/>
          <w:sz w:val="20"/>
          <w:szCs w:val="20"/>
        </w:rPr>
        <w:t>Figure S3</w:t>
      </w:r>
      <w:r w:rsidRPr="00606C4D">
        <w:rPr>
          <w:rFonts w:ascii="Arial" w:hAnsi="Arial" w:cs="Arial"/>
          <w:sz w:val="20"/>
          <w:szCs w:val="20"/>
        </w:rPr>
        <w:t xml:space="preserve">: Forrest plot for myocardial infarction (MI) at different follow up durations (≤30 days, 3-6 months and ≥ 1 year), showing pooled data from studies, with the odds ratio of the development of spontaneous MI in dual-antiplatelet therapy </w:t>
      </w:r>
      <w:proofErr w:type="spellStart"/>
      <w:r w:rsidRPr="00606C4D">
        <w:rPr>
          <w:rFonts w:ascii="Arial" w:hAnsi="Arial" w:cs="Arial"/>
          <w:sz w:val="20"/>
          <w:szCs w:val="20"/>
        </w:rPr>
        <w:t>vs</w:t>
      </w:r>
      <w:proofErr w:type="spellEnd"/>
      <w:r w:rsidRPr="00606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6C4D">
        <w:rPr>
          <w:rFonts w:ascii="Arial" w:hAnsi="Arial" w:cs="Arial"/>
          <w:sz w:val="20"/>
          <w:szCs w:val="20"/>
        </w:rPr>
        <w:t>monoantiplatelet</w:t>
      </w:r>
      <w:proofErr w:type="spellEnd"/>
      <w:r w:rsidRPr="00606C4D">
        <w:rPr>
          <w:rFonts w:ascii="Arial" w:hAnsi="Arial" w:cs="Arial"/>
          <w:sz w:val="20"/>
          <w:szCs w:val="20"/>
        </w:rPr>
        <w:t xml:space="preserve"> therapy.</w:t>
      </w:r>
    </w:p>
    <w:p w:rsidR="00531938" w:rsidRPr="00606C4D" w:rsidRDefault="00606C4D" w:rsidP="00531938">
      <w:pPr>
        <w:rPr>
          <w:sz w:val="20"/>
          <w:szCs w:val="20"/>
        </w:rPr>
      </w:pPr>
      <w:r w:rsidRPr="00606C4D">
        <w:rPr>
          <w:rFonts w:ascii="Arial" w:hAnsi="Arial" w:cs="Arial"/>
          <w:sz w:val="20"/>
          <w:szCs w:val="20"/>
          <w:u w:val="single"/>
        </w:rPr>
        <w:t>Abbreviations:</w:t>
      </w:r>
      <w:r w:rsidR="00531938" w:rsidRPr="00606C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1938" w:rsidRPr="00606C4D">
        <w:rPr>
          <w:rFonts w:ascii="Arial" w:hAnsi="Arial" w:cs="Arial"/>
          <w:sz w:val="20"/>
          <w:szCs w:val="20"/>
        </w:rPr>
        <w:t>CI</w:t>
      </w:r>
      <w:proofErr w:type="gramStart"/>
      <w:r w:rsidR="00531938" w:rsidRPr="00606C4D">
        <w:rPr>
          <w:rFonts w:ascii="Arial" w:hAnsi="Arial" w:cs="Arial"/>
          <w:sz w:val="20"/>
          <w:szCs w:val="20"/>
        </w:rPr>
        <w:t>,confidence</w:t>
      </w:r>
      <w:proofErr w:type="spellEnd"/>
      <w:proofErr w:type="gramEnd"/>
      <w:r w:rsidR="00531938" w:rsidRPr="00606C4D">
        <w:rPr>
          <w:rFonts w:ascii="Arial" w:hAnsi="Arial" w:cs="Arial"/>
          <w:sz w:val="20"/>
          <w:szCs w:val="20"/>
        </w:rPr>
        <w:t xml:space="preserve"> interval; DAPT, dual-antiplatelet therapy; MAPT, </w:t>
      </w:r>
      <w:proofErr w:type="spellStart"/>
      <w:r w:rsidR="00531938" w:rsidRPr="00606C4D">
        <w:rPr>
          <w:rFonts w:ascii="Arial" w:hAnsi="Arial" w:cs="Arial"/>
          <w:sz w:val="20"/>
          <w:szCs w:val="20"/>
        </w:rPr>
        <w:t>monoantiplatelet</w:t>
      </w:r>
      <w:proofErr w:type="spellEnd"/>
      <w:r w:rsidR="00531938" w:rsidRPr="00606C4D">
        <w:rPr>
          <w:rFonts w:ascii="Arial" w:hAnsi="Arial" w:cs="Arial"/>
          <w:sz w:val="20"/>
          <w:szCs w:val="20"/>
        </w:rPr>
        <w:t xml:space="preserve"> therapy.</w:t>
      </w:r>
    </w:p>
    <w:p w:rsidR="00531938" w:rsidRDefault="00531938" w:rsidP="00531938"/>
    <w:p w:rsidR="00531938" w:rsidRDefault="00531938" w:rsidP="00531938"/>
    <w:p w:rsidR="000C037B" w:rsidRDefault="000C037B" w:rsidP="000C037B">
      <w:pPr>
        <w:rPr>
          <w:rFonts w:ascii="Arial" w:hAnsi="Arial" w:cs="Arial"/>
          <w:b/>
          <w:bCs/>
        </w:rPr>
      </w:pPr>
    </w:p>
    <w:p w:rsidR="000C037B" w:rsidRDefault="000C037B" w:rsidP="000C037B">
      <w:pPr>
        <w:rPr>
          <w:rFonts w:ascii="Arial" w:hAnsi="Arial" w:cs="Arial"/>
          <w:b/>
          <w:bCs/>
        </w:rPr>
      </w:pPr>
    </w:p>
    <w:p w:rsidR="000C037B" w:rsidRDefault="000C037B" w:rsidP="000C037B">
      <w:pPr>
        <w:rPr>
          <w:rFonts w:ascii="Arial" w:hAnsi="Arial" w:cs="Arial"/>
          <w:b/>
          <w:bCs/>
        </w:rPr>
      </w:pPr>
    </w:p>
    <w:p w:rsidR="000C037B" w:rsidRPr="000C037B" w:rsidRDefault="000C037B" w:rsidP="000C037B">
      <w:pPr>
        <w:rPr>
          <w:rFonts w:ascii="Arial" w:hAnsi="Arial" w:cs="Arial"/>
          <w:b/>
          <w:bCs/>
          <w:sz w:val="20"/>
          <w:szCs w:val="20"/>
        </w:rPr>
      </w:pPr>
      <w:r w:rsidRPr="000C037B">
        <w:rPr>
          <w:rFonts w:ascii="Arial" w:hAnsi="Arial" w:cs="Arial"/>
          <w:b/>
          <w:bCs/>
          <w:sz w:val="20"/>
          <w:szCs w:val="20"/>
        </w:rPr>
        <w:lastRenderedPageBreak/>
        <w:t>Stroke outcomes at different follow up durations</w:t>
      </w:r>
    </w:p>
    <w:p w:rsidR="00531938" w:rsidRDefault="00531938" w:rsidP="00531938"/>
    <w:p w:rsidR="00531938" w:rsidRDefault="00531938" w:rsidP="00531938">
      <w:r w:rsidRPr="00F23931">
        <w:rPr>
          <w:noProof/>
        </w:rPr>
        <w:drawing>
          <wp:inline distT="0" distB="0" distL="0" distR="0" wp14:anchorId="29F4ABBD" wp14:editId="2A6D2849">
            <wp:extent cx="5943600" cy="46329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3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938" w:rsidRDefault="00531938" w:rsidP="00531938"/>
    <w:p w:rsidR="00531938" w:rsidRPr="00606C4D" w:rsidRDefault="00531938" w:rsidP="00531938">
      <w:pPr>
        <w:rPr>
          <w:sz w:val="20"/>
          <w:szCs w:val="20"/>
        </w:rPr>
      </w:pPr>
    </w:p>
    <w:p w:rsidR="00606C4D" w:rsidRPr="00606C4D" w:rsidRDefault="00531938" w:rsidP="00531938">
      <w:pPr>
        <w:rPr>
          <w:rFonts w:ascii="Arial" w:hAnsi="Arial" w:cs="Arial"/>
          <w:sz w:val="20"/>
          <w:szCs w:val="20"/>
        </w:rPr>
      </w:pPr>
      <w:r w:rsidRPr="00606C4D">
        <w:rPr>
          <w:rFonts w:ascii="Arial" w:hAnsi="Arial" w:cs="Arial"/>
          <w:b/>
          <w:sz w:val="20"/>
          <w:szCs w:val="20"/>
        </w:rPr>
        <w:t>Figure S4</w:t>
      </w:r>
      <w:r w:rsidRPr="00606C4D">
        <w:rPr>
          <w:rFonts w:ascii="Arial" w:hAnsi="Arial" w:cs="Arial"/>
          <w:sz w:val="20"/>
          <w:szCs w:val="20"/>
        </w:rPr>
        <w:t xml:space="preserve">: Forrest plot for major stroke at different follow up durations (≤30 days, 3-6 months and ≥ 1 year), showing pooled data from studies, with the odds ratio of the development of major stroke in dual-antiplatelet therapy </w:t>
      </w:r>
      <w:proofErr w:type="spellStart"/>
      <w:r w:rsidRPr="00606C4D">
        <w:rPr>
          <w:rFonts w:ascii="Arial" w:hAnsi="Arial" w:cs="Arial"/>
          <w:sz w:val="20"/>
          <w:szCs w:val="20"/>
        </w:rPr>
        <w:t>vs</w:t>
      </w:r>
      <w:proofErr w:type="spellEnd"/>
      <w:r w:rsidRPr="00606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6C4D">
        <w:rPr>
          <w:rFonts w:ascii="Arial" w:hAnsi="Arial" w:cs="Arial"/>
          <w:sz w:val="20"/>
          <w:szCs w:val="20"/>
        </w:rPr>
        <w:t>monoantiplatelet</w:t>
      </w:r>
      <w:proofErr w:type="spellEnd"/>
      <w:r w:rsidRPr="00606C4D">
        <w:rPr>
          <w:rFonts w:ascii="Arial" w:hAnsi="Arial" w:cs="Arial"/>
          <w:sz w:val="20"/>
          <w:szCs w:val="20"/>
        </w:rPr>
        <w:t xml:space="preserve"> therapy. </w:t>
      </w:r>
    </w:p>
    <w:p w:rsidR="00531938" w:rsidRPr="00606C4D" w:rsidRDefault="00606C4D" w:rsidP="00531938">
      <w:pPr>
        <w:rPr>
          <w:sz w:val="20"/>
          <w:szCs w:val="20"/>
        </w:rPr>
      </w:pPr>
      <w:r w:rsidRPr="00606C4D">
        <w:rPr>
          <w:rFonts w:ascii="Arial" w:hAnsi="Arial" w:cs="Arial"/>
          <w:sz w:val="20"/>
          <w:szCs w:val="20"/>
          <w:u w:val="single"/>
        </w:rPr>
        <w:t>Abbreviations</w:t>
      </w:r>
      <w:r w:rsidRPr="00606C4D">
        <w:rPr>
          <w:rFonts w:ascii="Arial" w:hAnsi="Arial" w:cs="Arial"/>
          <w:sz w:val="20"/>
          <w:szCs w:val="20"/>
        </w:rPr>
        <w:t xml:space="preserve">: </w:t>
      </w:r>
      <w:r w:rsidR="00531938" w:rsidRPr="00606C4D">
        <w:rPr>
          <w:rFonts w:ascii="Arial" w:hAnsi="Arial" w:cs="Arial"/>
          <w:sz w:val="20"/>
          <w:szCs w:val="20"/>
        </w:rPr>
        <w:t xml:space="preserve">CI, confidence interval; DAPT, dual-antiplatelet therapy; MAPT, </w:t>
      </w:r>
      <w:proofErr w:type="spellStart"/>
      <w:r w:rsidR="00531938" w:rsidRPr="00606C4D">
        <w:rPr>
          <w:rFonts w:ascii="Arial" w:hAnsi="Arial" w:cs="Arial"/>
          <w:sz w:val="20"/>
          <w:szCs w:val="20"/>
        </w:rPr>
        <w:t>monoantiplatelet</w:t>
      </w:r>
      <w:proofErr w:type="spellEnd"/>
      <w:r w:rsidR="00531938" w:rsidRPr="00606C4D">
        <w:rPr>
          <w:rFonts w:ascii="Arial" w:hAnsi="Arial" w:cs="Arial"/>
          <w:sz w:val="20"/>
          <w:szCs w:val="20"/>
        </w:rPr>
        <w:t xml:space="preserve"> therapy</w:t>
      </w:r>
    </w:p>
    <w:p w:rsidR="00531938" w:rsidRDefault="00531938" w:rsidP="00531938"/>
    <w:p w:rsidR="00531938" w:rsidRDefault="00531938" w:rsidP="00531938"/>
    <w:p w:rsidR="00531938" w:rsidRDefault="00531938" w:rsidP="00531938"/>
    <w:p w:rsidR="00531938" w:rsidRDefault="00531938" w:rsidP="00531938"/>
    <w:p w:rsidR="00531938" w:rsidRDefault="00531938" w:rsidP="00531938"/>
    <w:p w:rsidR="00531938" w:rsidRDefault="00531938" w:rsidP="00531938"/>
    <w:p w:rsidR="000C037B" w:rsidRPr="000C037B" w:rsidRDefault="000C037B" w:rsidP="000C037B">
      <w:pPr>
        <w:rPr>
          <w:rFonts w:ascii="Arial" w:hAnsi="Arial" w:cs="Arial"/>
          <w:b/>
          <w:bCs/>
          <w:sz w:val="20"/>
          <w:szCs w:val="20"/>
        </w:rPr>
      </w:pPr>
      <w:r w:rsidRPr="000C037B">
        <w:rPr>
          <w:rFonts w:ascii="Arial" w:hAnsi="Arial" w:cs="Arial"/>
          <w:b/>
          <w:bCs/>
          <w:sz w:val="20"/>
          <w:szCs w:val="20"/>
        </w:rPr>
        <w:lastRenderedPageBreak/>
        <w:t>Major and life-threatening bleeding at different follow up durations</w:t>
      </w:r>
    </w:p>
    <w:p w:rsidR="000C037B" w:rsidRDefault="000C037B" w:rsidP="00531938"/>
    <w:p w:rsidR="00531938" w:rsidRDefault="00531938" w:rsidP="00531938">
      <w:r w:rsidRPr="00F23931">
        <w:rPr>
          <w:noProof/>
        </w:rPr>
        <w:drawing>
          <wp:inline distT="0" distB="0" distL="0" distR="0" wp14:anchorId="38AF3BF5" wp14:editId="359BEBC3">
            <wp:extent cx="5943600" cy="463296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3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938" w:rsidRDefault="00531938" w:rsidP="00531938"/>
    <w:p w:rsidR="00531938" w:rsidRDefault="00531938" w:rsidP="00531938"/>
    <w:p w:rsidR="00606C4D" w:rsidRPr="00606C4D" w:rsidRDefault="00531938" w:rsidP="00531938">
      <w:pPr>
        <w:rPr>
          <w:rFonts w:ascii="Arial" w:hAnsi="Arial" w:cs="Arial"/>
          <w:sz w:val="20"/>
          <w:szCs w:val="20"/>
        </w:rPr>
      </w:pPr>
      <w:r w:rsidRPr="00606C4D">
        <w:rPr>
          <w:rFonts w:ascii="Arial" w:hAnsi="Arial" w:cs="Arial"/>
          <w:b/>
          <w:sz w:val="20"/>
          <w:szCs w:val="20"/>
        </w:rPr>
        <w:t>Figure S5</w:t>
      </w:r>
      <w:r w:rsidRPr="00606C4D">
        <w:rPr>
          <w:rFonts w:ascii="Arial" w:hAnsi="Arial" w:cs="Arial"/>
          <w:sz w:val="20"/>
          <w:szCs w:val="20"/>
        </w:rPr>
        <w:t xml:space="preserve">: Forrest plot for combined major and life-threatening bleeding at different follow up durations (≤30 days, 3-6 months and ≥ 1 year), showing pooled data from studies, with the odds ratio of the development of combined major and life-threatening bleeding in dual-antiplatelet therapy </w:t>
      </w:r>
      <w:proofErr w:type="spellStart"/>
      <w:r w:rsidRPr="00606C4D">
        <w:rPr>
          <w:rFonts w:ascii="Arial" w:hAnsi="Arial" w:cs="Arial"/>
          <w:sz w:val="20"/>
          <w:szCs w:val="20"/>
        </w:rPr>
        <w:t>vs</w:t>
      </w:r>
      <w:proofErr w:type="spellEnd"/>
      <w:r w:rsidRPr="00606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6C4D">
        <w:rPr>
          <w:rFonts w:ascii="Arial" w:hAnsi="Arial" w:cs="Arial"/>
          <w:sz w:val="20"/>
          <w:szCs w:val="20"/>
        </w:rPr>
        <w:t>monoantiplatelet</w:t>
      </w:r>
      <w:proofErr w:type="spellEnd"/>
      <w:r w:rsidRPr="00606C4D">
        <w:rPr>
          <w:rFonts w:ascii="Arial" w:hAnsi="Arial" w:cs="Arial"/>
          <w:sz w:val="20"/>
          <w:szCs w:val="20"/>
        </w:rPr>
        <w:t xml:space="preserve"> therapy. </w:t>
      </w:r>
    </w:p>
    <w:p w:rsidR="00531938" w:rsidRPr="00606C4D" w:rsidRDefault="00606C4D" w:rsidP="00531938">
      <w:pPr>
        <w:rPr>
          <w:sz w:val="20"/>
          <w:szCs w:val="20"/>
        </w:rPr>
      </w:pPr>
      <w:r w:rsidRPr="00606C4D">
        <w:rPr>
          <w:rFonts w:ascii="Arial" w:hAnsi="Arial" w:cs="Arial"/>
          <w:sz w:val="20"/>
          <w:szCs w:val="20"/>
          <w:u w:val="single"/>
        </w:rPr>
        <w:t>Abbreviations</w:t>
      </w:r>
      <w:r w:rsidRPr="00606C4D">
        <w:rPr>
          <w:rFonts w:ascii="Arial" w:hAnsi="Arial" w:cs="Arial"/>
          <w:sz w:val="20"/>
          <w:szCs w:val="20"/>
        </w:rPr>
        <w:t xml:space="preserve">: </w:t>
      </w:r>
      <w:r w:rsidR="00531938" w:rsidRPr="00606C4D">
        <w:rPr>
          <w:rFonts w:ascii="Arial" w:hAnsi="Arial" w:cs="Arial"/>
          <w:sz w:val="20"/>
          <w:szCs w:val="20"/>
        </w:rPr>
        <w:t xml:space="preserve">CI, confidence interval; DAPT, dual-antiplatelet therapy; MAPT, </w:t>
      </w:r>
      <w:proofErr w:type="spellStart"/>
      <w:r w:rsidR="00531938" w:rsidRPr="00606C4D">
        <w:rPr>
          <w:rFonts w:ascii="Arial" w:hAnsi="Arial" w:cs="Arial"/>
          <w:sz w:val="20"/>
          <w:szCs w:val="20"/>
        </w:rPr>
        <w:t>monoantiplatelet</w:t>
      </w:r>
      <w:proofErr w:type="spellEnd"/>
      <w:r w:rsidR="00531938" w:rsidRPr="00606C4D">
        <w:rPr>
          <w:rFonts w:ascii="Arial" w:hAnsi="Arial" w:cs="Arial"/>
          <w:sz w:val="20"/>
          <w:szCs w:val="20"/>
        </w:rPr>
        <w:t xml:space="preserve"> therapy</w:t>
      </w:r>
    </w:p>
    <w:p w:rsidR="00606C4D" w:rsidRDefault="00606C4D">
      <w:pPr>
        <w:pStyle w:val="Body"/>
        <w:rPr>
          <w:b/>
          <w:bCs/>
          <w:sz w:val="18"/>
          <w:szCs w:val="18"/>
          <w:lang w:val="en-US"/>
        </w:rPr>
      </w:pPr>
    </w:p>
    <w:p w:rsidR="00606C4D" w:rsidRDefault="00606C4D">
      <w:pPr>
        <w:pStyle w:val="Body"/>
        <w:rPr>
          <w:b/>
          <w:bCs/>
          <w:sz w:val="18"/>
          <w:szCs w:val="18"/>
          <w:lang w:val="en-US"/>
        </w:rPr>
      </w:pPr>
    </w:p>
    <w:p w:rsidR="00606C4D" w:rsidRDefault="00606C4D">
      <w:pPr>
        <w:pStyle w:val="Body"/>
        <w:rPr>
          <w:b/>
          <w:bCs/>
          <w:sz w:val="18"/>
          <w:szCs w:val="18"/>
          <w:lang w:val="en-US"/>
        </w:rPr>
      </w:pPr>
    </w:p>
    <w:p w:rsidR="00606C4D" w:rsidRDefault="00606C4D">
      <w:pPr>
        <w:pStyle w:val="Body"/>
        <w:rPr>
          <w:b/>
          <w:bCs/>
          <w:sz w:val="18"/>
          <w:szCs w:val="18"/>
          <w:lang w:val="en-US"/>
        </w:rPr>
      </w:pPr>
    </w:p>
    <w:p w:rsidR="00512D33" w:rsidRDefault="00512D33">
      <w:pPr>
        <w:pStyle w:val="Body"/>
        <w:rPr>
          <w:b/>
          <w:bCs/>
          <w:sz w:val="18"/>
          <w:szCs w:val="18"/>
          <w:lang w:val="en-US"/>
        </w:rPr>
      </w:pPr>
    </w:p>
    <w:p w:rsidR="00512D33" w:rsidRDefault="00512D33">
      <w:pPr>
        <w:pStyle w:val="Body"/>
        <w:rPr>
          <w:b/>
          <w:bCs/>
          <w:sz w:val="18"/>
          <w:szCs w:val="18"/>
          <w:lang w:val="en-US"/>
        </w:rPr>
      </w:pPr>
    </w:p>
    <w:p w:rsidR="00512D33" w:rsidRPr="000C037B" w:rsidRDefault="000C037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NACE outcome</w:t>
      </w:r>
      <w:r w:rsidRPr="000C037B">
        <w:rPr>
          <w:rFonts w:ascii="Arial" w:hAnsi="Arial" w:cs="Arial"/>
          <w:b/>
          <w:bCs/>
          <w:sz w:val="20"/>
          <w:szCs w:val="20"/>
        </w:rPr>
        <w:t xml:space="preserve"> analysis after excluding abstracts</w:t>
      </w:r>
    </w:p>
    <w:p w:rsidR="00512D33" w:rsidRDefault="00512D33">
      <w:pPr>
        <w:rPr>
          <w:b/>
          <w:bCs/>
          <w:sz w:val="18"/>
          <w:szCs w:val="18"/>
        </w:rPr>
      </w:pPr>
    </w:p>
    <w:p w:rsidR="00512D33" w:rsidRDefault="00512D33">
      <w:pPr>
        <w:rPr>
          <w:b/>
          <w:bCs/>
          <w:sz w:val="18"/>
          <w:szCs w:val="18"/>
        </w:rPr>
      </w:pPr>
    </w:p>
    <w:p w:rsidR="00512D33" w:rsidRDefault="00512D33">
      <w:pPr>
        <w:rPr>
          <w:b/>
          <w:bCs/>
          <w:sz w:val="18"/>
          <w:szCs w:val="18"/>
        </w:rPr>
      </w:pPr>
    </w:p>
    <w:p w:rsidR="00512D33" w:rsidRDefault="007F084E">
      <w:pPr>
        <w:rPr>
          <w:b/>
          <w:bCs/>
          <w:sz w:val="18"/>
          <w:szCs w:val="18"/>
        </w:rPr>
      </w:pPr>
      <w:r w:rsidRPr="00BD4E2F">
        <w:rPr>
          <w:noProof/>
        </w:rPr>
        <w:drawing>
          <wp:inline distT="0" distB="0" distL="0" distR="0" wp14:anchorId="4979A86E" wp14:editId="5B3F60B9">
            <wp:extent cx="5943600" cy="3590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D33" w:rsidRDefault="00512D33">
      <w:pPr>
        <w:rPr>
          <w:b/>
          <w:bCs/>
          <w:sz w:val="18"/>
          <w:szCs w:val="18"/>
        </w:rPr>
      </w:pPr>
    </w:p>
    <w:p w:rsidR="00512D33" w:rsidRDefault="00512D33">
      <w:pPr>
        <w:rPr>
          <w:b/>
          <w:bCs/>
          <w:sz w:val="18"/>
          <w:szCs w:val="18"/>
        </w:rPr>
      </w:pPr>
    </w:p>
    <w:p w:rsidR="00512D33" w:rsidRDefault="00512D33">
      <w:pPr>
        <w:rPr>
          <w:b/>
          <w:bCs/>
          <w:sz w:val="18"/>
          <w:szCs w:val="18"/>
        </w:rPr>
      </w:pPr>
    </w:p>
    <w:p w:rsidR="00512D33" w:rsidRDefault="00512D33">
      <w:pPr>
        <w:rPr>
          <w:b/>
          <w:bCs/>
          <w:sz w:val="18"/>
          <w:szCs w:val="18"/>
        </w:rPr>
      </w:pPr>
    </w:p>
    <w:p w:rsidR="00512D33" w:rsidRDefault="00512D33">
      <w:pPr>
        <w:rPr>
          <w:b/>
          <w:bCs/>
          <w:sz w:val="18"/>
          <w:szCs w:val="18"/>
        </w:rPr>
      </w:pPr>
    </w:p>
    <w:p w:rsidR="00512D33" w:rsidRDefault="00512D33">
      <w:pPr>
        <w:rPr>
          <w:b/>
          <w:bCs/>
          <w:sz w:val="18"/>
          <w:szCs w:val="18"/>
        </w:rPr>
      </w:pPr>
    </w:p>
    <w:p w:rsidR="00512D33" w:rsidRPr="00114CB0" w:rsidRDefault="00512D33" w:rsidP="00512D3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Figure S6</w:t>
      </w:r>
      <w:r w:rsidRPr="00114CB0">
        <w:rPr>
          <w:rFonts w:ascii="Arial" w:hAnsi="Arial" w:cs="Arial"/>
          <w:sz w:val="20"/>
          <w:szCs w:val="20"/>
        </w:rPr>
        <w:t xml:space="preserve">: Forrest plot for net adverse clinical events (NACE) as a combined endpoint of major stroke, myocardial infarction (MI), all-cause mortality, and combined life-threatening and major bleeding at longest follow-up, </w:t>
      </w:r>
      <w:r>
        <w:rPr>
          <w:rFonts w:ascii="Arial" w:hAnsi="Arial" w:cs="Arial"/>
          <w:sz w:val="20"/>
          <w:szCs w:val="20"/>
        </w:rPr>
        <w:t xml:space="preserve">showing pooled data from studies </w:t>
      </w:r>
      <w:r w:rsidRPr="007F084E">
        <w:rPr>
          <w:rFonts w:ascii="Arial" w:hAnsi="Arial" w:cs="Arial"/>
          <w:b/>
          <w:bCs/>
          <w:i/>
          <w:iCs/>
          <w:sz w:val="20"/>
          <w:szCs w:val="20"/>
        </w:rPr>
        <w:t>after excluding abstracts</w:t>
      </w:r>
      <w:r w:rsidRPr="00114CB0">
        <w:rPr>
          <w:rFonts w:ascii="Arial" w:hAnsi="Arial" w:cs="Arial"/>
          <w:sz w:val="20"/>
          <w:szCs w:val="20"/>
        </w:rPr>
        <w:t xml:space="preserve">, with the odds ratio of the development of NACE in dual-antiplatelet therapy </w:t>
      </w:r>
      <w:proofErr w:type="spellStart"/>
      <w:r w:rsidRPr="00114CB0">
        <w:rPr>
          <w:rFonts w:ascii="Arial" w:hAnsi="Arial" w:cs="Arial"/>
          <w:sz w:val="20"/>
          <w:szCs w:val="20"/>
        </w:rPr>
        <w:t>vs</w:t>
      </w:r>
      <w:proofErr w:type="spellEnd"/>
      <w:r w:rsidRPr="00114C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4CB0">
        <w:rPr>
          <w:rFonts w:ascii="Arial" w:hAnsi="Arial" w:cs="Arial"/>
          <w:sz w:val="20"/>
          <w:szCs w:val="20"/>
        </w:rPr>
        <w:t>monoantiplatelet</w:t>
      </w:r>
      <w:proofErr w:type="spellEnd"/>
      <w:r w:rsidRPr="00114CB0">
        <w:rPr>
          <w:rFonts w:ascii="Arial" w:hAnsi="Arial" w:cs="Arial"/>
          <w:sz w:val="20"/>
          <w:szCs w:val="20"/>
        </w:rPr>
        <w:t xml:space="preserve"> therapy.</w:t>
      </w:r>
    </w:p>
    <w:p w:rsidR="00512D33" w:rsidRPr="00114CB0" w:rsidRDefault="00512D33" w:rsidP="00512D3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14CB0">
        <w:rPr>
          <w:rFonts w:ascii="Arial" w:hAnsi="Arial" w:cs="Arial"/>
          <w:sz w:val="20"/>
          <w:szCs w:val="20"/>
          <w:u w:val="single"/>
        </w:rPr>
        <w:t>Abbreviations</w:t>
      </w:r>
      <w:r w:rsidRPr="00114CB0">
        <w:rPr>
          <w:rFonts w:ascii="Arial" w:hAnsi="Arial" w:cs="Arial"/>
          <w:sz w:val="20"/>
          <w:szCs w:val="20"/>
        </w:rPr>
        <w:t xml:space="preserve">: CI, confidence interval; DAPT, dual-antiplatelet therapy; MAPT, </w:t>
      </w:r>
      <w:proofErr w:type="spellStart"/>
      <w:r w:rsidRPr="00114CB0">
        <w:rPr>
          <w:rFonts w:ascii="Arial" w:hAnsi="Arial" w:cs="Arial"/>
          <w:sz w:val="20"/>
          <w:szCs w:val="20"/>
        </w:rPr>
        <w:t>monoantiplatelet</w:t>
      </w:r>
      <w:proofErr w:type="spellEnd"/>
      <w:r w:rsidRPr="00114CB0">
        <w:rPr>
          <w:rFonts w:ascii="Arial" w:hAnsi="Arial" w:cs="Arial"/>
          <w:sz w:val="20"/>
          <w:szCs w:val="20"/>
        </w:rPr>
        <w:t xml:space="preserve"> therapy.</w:t>
      </w:r>
    </w:p>
    <w:p w:rsidR="00512D33" w:rsidRPr="00114CB0" w:rsidRDefault="00512D33" w:rsidP="00512D3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12D33" w:rsidRDefault="00512D33">
      <w:pPr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</w:rPr>
      </w:pPr>
      <w:r>
        <w:rPr>
          <w:b/>
          <w:bCs/>
          <w:sz w:val="18"/>
          <w:szCs w:val="18"/>
        </w:rPr>
        <w:br w:type="page"/>
      </w:r>
    </w:p>
    <w:p w:rsidR="00512D33" w:rsidRDefault="00512D33">
      <w:pPr>
        <w:pStyle w:val="Body"/>
        <w:rPr>
          <w:b/>
          <w:bCs/>
          <w:sz w:val="18"/>
          <w:szCs w:val="18"/>
          <w:lang w:val="en-US"/>
        </w:rPr>
      </w:pPr>
    </w:p>
    <w:p w:rsidR="00A43861" w:rsidRPr="0040577D" w:rsidRDefault="00F04AAF">
      <w:pPr>
        <w:pStyle w:val="Body"/>
        <w:rPr>
          <w:b/>
          <w:bCs/>
          <w:sz w:val="18"/>
          <w:szCs w:val="18"/>
        </w:rPr>
      </w:pPr>
      <w:proofErr w:type="gramStart"/>
      <w:r w:rsidRPr="0040577D">
        <w:rPr>
          <w:b/>
          <w:bCs/>
          <w:sz w:val="18"/>
          <w:szCs w:val="18"/>
          <w:lang w:val="en-US"/>
        </w:rPr>
        <w:t>Table S1: Definitions of outcomes as specified by each study</w:t>
      </w:r>
      <w:r w:rsidRPr="0040577D">
        <w:rPr>
          <w:b/>
          <w:bCs/>
          <w:sz w:val="18"/>
          <w:szCs w:val="18"/>
        </w:rPr>
        <w:t>.</w:t>
      </w:r>
      <w:proofErr w:type="gramEnd"/>
    </w:p>
    <w:tbl>
      <w:tblPr>
        <w:tblW w:w="137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440"/>
        <w:gridCol w:w="1661"/>
        <w:gridCol w:w="3347"/>
        <w:gridCol w:w="2524"/>
        <w:gridCol w:w="2520"/>
        <w:gridCol w:w="2262"/>
      </w:tblGrid>
      <w:tr w:rsidR="00867B82" w:rsidRPr="003F51BF" w:rsidTr="00867B82">
        <w:trPr>
          <w:trHeight w:val="36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B82" w:rsidRPr="003F51BF" w:rsidRDefault="00867B82" w:rsidP="00867B82">
            <w:pPr>
              <w:pStyle w:val="NoSpacing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Study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B82" w:rsidRPr="003F51BF" w:rsidRDefault="00867B82" w:rsidP="00867B82">
            <w:pPr>
              <w:pStyle w:val="NoSpacing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All-Cause Mortality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B82" w:rsidRPr="003F51BF" w:rsidRDefault="00867B82" w:rsidP="00867B82">
            <w:pPr>
              <w:pStyle w:val="NoSpacing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Spontaneous MI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B82" w:rsidRPr="003F51BF" w:rsidRDefault="00867B82" w:rsidP="00867B82">
            <w:pPr>
              <w:pStyle w:val="NoSpacing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Major Stroke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B82" w:rsidRPr="003F51BF" w:rsidRDefault="00867B82" w:rsidP="00867B82">
            <w:pPr>
              <w:pStyle w:val="NoSpacing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Major Bleed and Lethal Bleed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82" w:rsidRPr="003F51BF" w:rsidRDefault="00867B82" w:rsidP="00867B82">
            <w:pPr>
              <w:pStyle w:val="Body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3F51BF">
              <w:rPr>
                <w:rFonts w:cs="Times New Roman"/>
                <w:b/>
                <w:sz w:val="20"/>
                <w:szCs w:val="20"/>
                <w:lang w:val="en-US"/>
              </w:rPr>
              <w:t>Study endpoints reported in study (not necessarily the one used in the meta-analysis)</w:t>
            </w:r>
          </w:p>
        </w:tc>
      </w:tr>
      <w:tr w:rsidR="00867B82" w:rsidRPr="003F51BF" w:rsidTr="00867B82">
        <w:trPr>
          <w:trHeight w:val="164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B82" w:rsidRPr="003F51BF" w:rsidRDefault="00867B82" w:rsidP="00867B82">
            <w:pPr>
              <w:pStyle w:val="Body"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Stabile (2014)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B82" w:rsidRPr="003F51BF" w:rsidRDefault="00867B82" w:rsidP="00867B82">
            <w:pPr>
              <w:pStyle w:val="NoSpacing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cs="Times New Roman"/>
                <w:color w:val="000000" w:themeColor="text1"/>
                <w:sz w:val="20"/>
                <w:szCs w:val="20"/>
              </w:rPr>
              <w:t>Cardiac and non-cardiac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B82" w:rsidRPr="003F51BF" w:rsidRDefault="00867B82" w:rsidP="00867B82">
            <w:pPr>
              <w:pStyle w:val="NoSpacing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cs="Times New Roman"/>
                <w:color w:val="000000" w:themeColor="text1"/>
                <w:sz w:val="20"/>
                <w:szCs w:val="20"/>
              </w:rPr>
              <w:t xml:space="preserve">MI (Q-wave and non–Q-wave). A non–Q-wave MI was defined as </w:t>
            </w:r>
            <w:proofErr w:type="spellStart"/>
            <w:r w:rsidRPr="003F51BF">
              <w:rPr>
                <w:rFonts w:cs="Times New Roman"/>
                <w:color w:val="000000" w:themeColor="text1"/>
                <w:sz w:val="20"/>
                <w:szCs w:val="20"/>
              </w:rPr>
              <w:t>creatine</w:t>
            </w:r>
            <w:proofErr w:type="spellEnd"/>
            <w:r w:rsidRPr="003F51BF">
              <w:rPr>
                <w:rFonts w:cs="Times New Roman"/>
                <w:color w:val="000000" w:themeColor="text1"/>
                <w:sz w:val="20"/>
                <w:szCs w:val="20"/>
              </w:rPr>
              <w:t xml:space="preserve"> kinase-MB enzyme elevation ≥3 times the upper limit of the normal value. When in addition to enzyme elevation there were new pathological Q waves on the electrocardiogram, the event was defined as a Q-wave MI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B82" w:rsidRPr="003F51BF" w:rsidRDefault="00867B82" w:rsidP="00867B82">
            <w:pPr>
              <w:pStyle w:val="NoSpacing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cs="Times New Roman"/>
                <w:color w:val="000000" w:themeColor="text1"/>
                <w:sz w:val="20"/>
                <w:szCs w:val="20"/>
              </w:rPr>
              <w:t>Repeat revascularization secondary to a stenosis &gt;50% within the stent or within the 5-mm borders proximal or distal to the stent at the follow-up angiogram.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B82" w:rsidRPr="003F51BF" w:rsidRDefault="00867B82" w:rsidP="00867B82">
            <w:pPr>
              <w:pStyle w:val="NoSpacing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cs="Times New Roman"/>
                <w:color w:val="000000" w:themeColor="text1"/>
                <w:sz w:val="20"/>
                <w:szCs w:val="20"/>
              </w:rPr>
              <w:t>Repeat revascularization within the treated vessel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82" w:rsidRPr="003F51BF" w:rsidRDefault="00867B82" w:rsidP="00867B82">
            <w:pPr>
              <w:pStyle w:val="Body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51BF">
              <w:rPr>
                <w:rFonts w:cs="Times New Roman"/>
                <w:sz w:val="20"/>
                <w:szCs w:val="20"/>
                <w:lang w:val="en-US"/>
              </w:rPr>
              <w:t>Primary end point not specified. Clinical end points of cardiovascular death, major vascular complications, minor</w:t>
            </w:r>
            <w:r w:rsidRPr="003F51BF">
              <w:rPr>
                <w:rFonts w:cs="Times New Roman"/>
                <w:sz w:val="20"/>
                <w:szCs w:val="20"/>
                <w:lang w:val="en-US"/>
              </w:rPr>
              <w:br/>
              <w:t>vascular complications, major stroke, minor stroke, acute MI, all-cause</w:t>
            </w:r>
            <w:r w:rsidRPr="003F51BF">
              <w:rPr>
                <w:rFonts w:cs="Times New Roman"/>
                <w:sz w:val="20"/>
                <w:szCs w:val="20"/>
                <w:lang w:val="en-US"/>
              </w:rPr>
              <w:br/>
              <w:t>mortality, life-threatening or disabling</w:t>
            </w:r>
            <w:r w:rsidRPr="003F51BF">
              <w:rPr>
                <w:rFonts w:cs="Times New Roman"/>
                <w:sz w:val="20"/>
                <w:szCs w:val="20"/>
                <w:lang w:val="en-US"/>
              </w:rPr>
              <w:br/>
              <w:t>bleeding, acute kidney injury.</w:t>
            </w:r>
          </w:p>
        </w:tc>
      </w:tr>
      <w:tr w:rsidR="00867B82" w:rsidRPr="003F51BF" w:rsidTr="00867B82">
        <w:trPr>
          <w:trHeight w:val="272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B82" w:rsidRPr="003F51BF" w:rsidRDefault="00867B82" w:rsidP="00867B82">
            <w:pPr>
              <w:pStyle w:val="Body"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F51B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Ussia</w:t>
            </w:r>
            <w:proofErr w:type="spellEnd"/>
            <w:r w:rsidRPr="003F51B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(2011)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D21" w:rsidRPr="003F51BF" w:rsidRDefault="00867B82" w:rsidP="00905D21">
            <w:pPr>
              <w:pStyle w:val="Default"/>
              <w:spacing w:line="360" w:lineRule="atLeast"/>
              <w:rPr>
                <w:rFonts w:ascii="Calibri" w:hAnsi="Calibri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  <w:shd w:val="clear" w:color="auto" w:fill="FFFFFF"/>
              </w:rPr>
              <w:t>Mortality from all causes after prosthesis insertion</w:t>
            </w:r>
            <w:r w:rsidR="00905D21"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B82" w:rsidRPr="003F51BF" w:rsidRDefault="00867B82" w:rsidP="00867B82">
            <w:pPr>
              <w:pStyle w:val="Default"/>
              <w:spacing w:line="360" w:lineRule="atLeast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  <w:shd w:val="clear" w:color="auto" w:fill="FFFFFF"/>
              </w:rPr>
              <w:t>Creatine</w:t>
            </w:r>
            <w:proofErr w:type="spellEnd"/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kinase-myocardial band &gt;3 times the upper limit of normal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B82" w:rsidRPr="003F51BF" w:rsidRDefault="00867B82" w:rsidP="00867B82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eastAsia="Calibri" w:hAnsi="Calibri"/>
                <w:color w:val="000000" w:themeColor="text1"/>
                <w:sz w:val="20"/>
                <w:szCs w:val="20"/>
                <w:u w:color="000000"/>
              </w:rPr>
              <w:t>No definition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B82" w:rsidRPr="003F51BF" w:rsidRDefault="00867B82" w:rsidP="00867B82">
            <w:pPr>
              <w:pStyle w:val="Default"/>
              <w:spacing w:line="360" w:lineRule="atLeast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  <w:shd w:val="clear" w:color="auto" w:fill="FFFFFF"/>
              </w:rPr>
              <w:t>Fatal bleeding, bleeding in a critical organ (retroperitoneal, intracranial, or intraocular), deep hematoma, or overt bleeding associated with a 2 g/</w:t>
            </w:r>
            <w:proofErr w:type="spellStart"/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  <w:shd w:val="clear" w:color="auto" w:fill="FFFFFF"/>
              </w:rPr>
              <w:t>dL</w:t>
            </w:r>
            <w:proofErr w:type="spellEnd"/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or greater decrease in hemoglobin level or leading to</w:t>
            </w:r>
            <w:r w:rsidR="00106A9B"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the transfusion of at least 2 units</w:t>
            </w: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of packed red blood cells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82" w:rsidRPr="003F51BF" w:rsidRDefault="00867B82" w:rsidP="00867B82">
            <w:pPr>
              <w:pStyle w:val="Body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51BF">
              <w:rPr>
                <w:rFonts w:cs="Times New Roman"/>
                <w:sz w:val="20"/>
                <w:szCs w:val="20"/>
                <w:lang w:val="en-US"/>
              </w:rPr>
              <w:t>Primary end point: composite of death</w:t>
            </w:r>
            <w:r w:rsidRPr="003F51BF">
              <w:rPr>
                <w:rFonts w:cs="Times New Roman"/>
                <w:sz w:val="20"/>
                <w:szCs w:val="20"/>
                <w:lang w:val="en-US"/>
              </w:rPr>
              <w:br/>
              <w:t>from any cause, MI, major stroke,</w:t>
            </w:r>
            <w:r w:rsidRPr="003F51BF">
              <w:rPr>
                <w:rFonts w:cs="Times New Roman"/>
                <w:sz w:val="20"/>
                <w:szCs w:val="20"/>
                <w:lang w:val="en-US"/>
              </w:rPr>
              <w:br/>
              <w:t>urgent or emergency conversion to</w:t>
            </w:r>
            <w:r w:rsidRPr="003F51BF">
              <w:rPr>
                <w:rFonts w:cs="Times New Roman"/>
                <w:sz w:val="20"/>
                <w:szCs w:val="20"/>
                <w:lang w:val="en-US"/>
              </w:rPr>
              <w:br/>
              <w:t>surgery, and life-threatening bleeding</w:t>
            </w:r>
          </w:p>
          <w:p w:rsidR="00867B82" w:rsidRPr="003F51BF" w:rsidRDefault="00867B82" w:rsidP="00867B82">
            <w:pPr>
              <w:pStyle w:val="Body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67B82" w:rsidRPr="003F51BF" w:rsidTr="00867B82">
        <w:trPr>
          <w:trHeight w:val="640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B82" w:rsidRPr="003F51BF" w:rsidRDefault="00867B82" w:rsidP="00867B82">
            <w:pPr>
              <w:pStyle w:val="Body"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F51B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Rodes-Cabau</w:t>
            </w:r>
            <w:proofErr w:type="spellEnd"/>
            <w:r w:rsidRPr="003F51B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(2017)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B82" w:rsidRPr="003F51BF" w:rsidRDefault="00867B82" w:rsidP="00867B82">
            <w:pPr>
              <w:pStyle w:val="Defaul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pt-PT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  <w:lang w:val="pt-PT"/>
              </w:rPr>
              <w:t>Cardiovascular mortality</w:t>
            </w:r>
          </w:p>
          <w:p w:rsidR="00867B82" w:rsidRPr="003F51BF" w:rsidRDefault="00867B82" w:rsidP="00867B82">
            <w:pPr>
              <w:pStyle w:val="Defaul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it-IT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  <w:lang w:val="it-IT"/>
              </w:rPr>
              <w:t>Non-cardiovascular mortality</w:t>
            </w:r>
          </w:p>
          <w:p w:rsidR="00867B82" w:rsidRPr="003F51BF" w:rsidRDefault="00867B82" w:rsidP="00867B82">
            <w:pPr>
              <w:pStyle w:val="Defaul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Any death in which the primary cause of death is clearly related to another condition (e.g. trauma, cancer, suicide)</w:t>
            </w:r>
          </w:p>
          <w:p w:rsidR="00867B82" w:rsidRPr="003F51BF" w:rsidRDefault="00867B82" w:rsidP="00867B82">
            <w:pPr>
              <w:pStyle w:val="Default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 Any one of the following criteria :</w:t>
            </w:r>
          </w:p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- Detection of rise and/or fall of cardiac biomarkers (preferably troponin) with at least one value above the 99th percentile URL, together with the evidence of myocardial ischemia with at least one of the following:</w:t>
            </w:r>
          </w:p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    * Symptoms of ischemia</w:t>
            </w:r>
          </w:p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    * ECG changes indicative of new ischemia [new ST-T changes or new left bundle branch block (LBBB)]</w:t>
            </w:r>
          </w:p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   * New pathological Q-waves in at least two contiguous leads    Imaging evidence of a new loss of viable myocardium or new wall</w:t>
            </w:r>
          </w:p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motion abnormality</w:t>
            </w:r>
          </w:p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- Sudden, unexpected cardiac death, involving cardiac arrest, often with symptoms suggestive of myocardial ischemia, and accompanied by presumably new ST elevation, or new LBBB, and/ or evidence of fresh thrombus by coronary angiography and/or at autopsy, but death occurring before blood samples could be obtained, or at a time before the appearance of cardiac biomarkers in the blood.</w:t>
            </w:r>
          </w:p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- Pathological findings of an acute myocardial infarction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B82" w:rsidRPr="003F51BF" w:rsidRDefault="00867B82" w:rsidP="00867B82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- Duration of a focal or global neurological deficit &gt;24 h; OR &lt;24 h if available neuroimaging documents a new </w:t>
            </w:r>
            <w:proofErr w:type="spellStart"/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haemorrhage</w:t>
            </w:r>
            <w:proofErr w:type="spellEnd"/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 or infarct; OR the neurological deficit results in death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B82" w:rsidRPr="003F51BF" w:rsidRDefault="00867B82" w:rsidP="00867B82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Major Bleeding:  Overt bleeding either associated with a drop in the hemoglobin level of at least 3.0 g/dl or requiring transfusion of two or three units of whole blood/RBC, or causing hospitalization or permanent injury, or requiring surgery AND does not meet criteria of life-threatening or disabling bleeding</w:t>
            </w:r>
          </w:p>
          <w:p w:rsidR="00867B82" w:rsidRPr="003F51BF" w:rsidRDefault="00867B82" w:rsidP="00867B82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-Lethal Bleeding: Fatal bleeding (BARC type 5) OR</w:t>
            </w:r>
          </w:p>
          <w:p w:rsidR="00867B82" w:rsidRPr="003F51BF" w:rsidRDefault="00867B82" w:rsidP="00867B82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 Bleeding in a critical organ, such as intracranial, </w:t>
            </w:r>
            <w:proofErr w:type="spellStart"/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intraspinal</w:t>
            </w:r>
            <w:proofErr w:type="spellEnd"/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, intraocular, or pericardial necessitating </w:t>
            </w:r>
            <w:proofErr w:type="spellStart"/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pericardiocentesis</w:t>
            </w:r>
            <w:proofErr w:type="spellEnd"/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, or intramuscular with compartment syndrome (BARC type 3b and 3c) OR</w:t>
            </w:r>
          </w:p>
          <w:p w:rsidR="00867B82" w:rsidRPr="003F51BF" w:rsidRDefault="00867B82" w:rsidP="00867B82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 Bleeding causing </w:t>
            </w:r>
            <w:proofErr w:type="spellStart"/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hypovolaemic</w:t>
            </w:r>
            <w:proofErr w:type="spellEnd"/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 shock or severe hypotension requiring vasopressors or surgery (BARC type 3b) OR</w:t>
            </w:r>
          </w:p>
          <w:p w:rsidR="00867B82" w:rsidRPr="003F51BF" w:rsidRDefault="00867B82" w:rsidP="00867B82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 Overt source of bleeding with drop in </w:t>
            </w:r>
            <w:proofErr w:type="spellStart"/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haemoglobin</w:t>
            </w:r>
            <w:proofErr w:type="spellEnd"/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 &gt;5 g/</w:t>
            </w:r>
            <w:proofErr w:type="spellStart"/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dL</w:t>
            </w:r>
            <w:proofErr w:type="spellEnd"/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 or whole blood or packed red blood cells (RBCs) transfusion &gt;4 units</w:t>
            </w:r>
            <w:r w:rsidRPr="003F51B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⁎</w:t>
            </w: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(BARC type 3b)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82" w:rsidRPr="003F51BF" w:rsidRDefault="00867B82" w:rsidP="00867B82">
            <w:pPr>
              <w:pStyle w:val="Body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51BF">
              <w:rPr>
                <w:rFonts w:cs="Times New Roman"/>
                <w:sz w:val="20"/>
                <w:szCs w:val="20"/>
                <w:lang w:val="en-US"/>
              </w:rPr>
              <w:t>Primary endpoint: Composite of death, MI, ischemic stroke or TIA, major or life threatening bleeding or death.  Secondary endpoints:</w:t>
            </w:r>
          </w:p>
          <w:p w:rsidR="00867B82" w:rsidRPr="003F51BF" w:rsidRDefault="00867B82" w:rsidP="00867B82">
            <w:pPr>
              <w:pStyle w:val="Body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51BF">
              <w:rPr>
                <w:rFonts w:cs="Times New Roman"/>
                <w:sz w:val="20"/>
                <w:szCs w:val="20"/>
                <w:lang w:val="en-US"/>
              </w:rPr>
              <w:t>Incidence of MI, ischemic stroke, major or life-threatening bleeding, and death.</w:t>
            </w:r>
          </w:p>
          <w:p w:rsidR="00867B82" w:rsidRPr="003F51BF" w:rsidRDefault="00867B82" w:rsidP="00867B82">
            <w:pPr>
              <w:pStyle w:val="Body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67B82" w:rsidRPr="003F51BF" w:rsidTr="00867B82">
        <w:trPr>
          <w:trHeight w:val="740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B82" w:rsidRPr="003F51BF" w:rsidRDefault="00867B82" w:rsidP="00867B82">
            <w:pPr>
              <w:pStyle w:val="Body"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F51B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Poliacikova</w:t>
            </w:r>
            <w:proofErr w:type="spellEnd"/>
            <w:r w:rsidRPr="003F51B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 (2013)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B82" w:rsidRPr="003F51BF" w:rsidRDefault="00867B82" w:rsidP="00867B82">
            <w:pPr>
              <w:pStyle w:val="Default"/>
              <w:spacing w:line="380" w:lineRule="atLeast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Includes all deaths from any cause after a valve intervention. Survival should be referenced to an age- and sex-matched sample from the representative general population being investigated whenever possible.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 Any one of the following criteria :</w:t>
            </w:r>
          </w:p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- Detection of rise and/or fall of cardiac biomarkers (preferably troponin) with at least one value above the 99th percentile URL, together with the evidence of myocardial ischemia with at least one of the following:</w:t>
            </w:r>
          </w:p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    * Symptoms of ischemia</w:t>
            </w:r>
          </w:p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    * ECG changes indicative of new ischemia [new ST-T changes or new left bundle branch block (LBBB)]</w:t>
            </w:r>
          </w:p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   * New pathological Q-waves in at least two contiguous leads    Imaging evidence of a new loss of viable myocardium or new wall</w:t>
            </w:r>
          </w:p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motion abnormality</w:t>
            </w:r>
          </w:p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- Sudden, unexpected cardiac death, involving cardiac arrest, often with symptoms suggestive of myocardial ischemia, and accompanied by presumably new ST elevation, or new LBBB, and/ or evidence of fresh thrombus by coronary angiography and/or at autopsy, but death occurring before blood samples could be obtained, or at a time before the appearance of cardiac biomarkers in the blood.</w:t>
            </w:r>
          </w:p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- Pathological findings of an acute myocardial infarction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- Rapid onset of a focal or global neurological deficit with at least one of the following: </w:t>
            </w:r>
          </w:p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• Change in level of consciousness, hemiplegia, hemiparesis, numbness or sensory loss affecting one side of the body, dysphasia or aphasia, hemianopia, </w:t>
            </w:r>
            <w:proofErr w:type="spellStart"/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amaurosis</w:t>
            </w:r>
            <w:proofErr w:type="spellEnd"/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fugax</w:t>
            </w:r>
            <w:proofErr w:type="spellEnd"/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, or other neurological signs or symptoms consistent with stroke</w:t>
            </w:r>
          </w:p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 • Duration of a focal or global neurological deficit ≥24 h; </w:t>
            </w:r>
            <w:r w:rsidRPr="003F51BF"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  <w:t>OR</w:t>
            </w: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 &lt;24 h, if therapeutic intervention(s) were performed (e.g. thrombolytic therapy or intracranial angioplasty); </w:t>
            </w:r>
            <w:r w:rsidRPr="003F51BF"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  <w:t>OR</w:t>
            </w: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 available neuroimaging documents a new hemorrhage or infarct; </w:t>
            </w:r>
            <w:r w:rsidRPr="003F51BF"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  <w:t>OR</w:t>
            </w: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 the neurological deficit results in death</w:t>
            </w:r>
          </w:p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 • No other readily identifiable </w:t>
            </w:r>
            <w:proofErr w:type="spellStart"/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nonstroke</w:t>
            </w:r>
            <w:proofErr w:type="spellEnd"/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 cause for the clinical presentation (e.g., brain tumor, trauma, infection, hypoglycemia, peripheral lesion, pharmacological influences)</w:t>
            </w:r>
          </w:p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 - Confirmation of the diagnosis by at least one of the following:</w:t>
            </w:r>
          </w:p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  • Neurology or neurosurgical specialist</w:t>
            </w:r>
          </w:p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  • Neuroimaging procedure (MR or CT scan or cerebral angiography)</w:t>
            </w:r>
          </w:p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  • Lumbar puncture (i.e., </w:t>
            </w: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lastRenderedPageBreak/>
              <w:t>spinal fluid analysis diagnostic of intracranial hemorrhage)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lastRenderedPageBreak/>
              <w:t>- Life-threatening or disabling bleeding</w:t>
            </w:r>
          </w:p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 • </w:t>
            </w: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  <w:lang w:val="nl-NL"/>
              </w:rPr>
              <w:t xml:space="preserve">Fatal bleeding </w:t>
            </w:r>
          </w:p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 • Bleeding in a critical area or organ, such as intracranial, </w:t>
            </w:r>
            <w:proofErr w:type="spellStart"/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intraspinal</w:t>
            </w:r>
            <w:proofErr w:type="spellEnd"/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, intraocular, or pericardial necessitating </w:t>
            </w:r>
            <w:proofErr w:type="spellStart"/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pericardiocentesis</w:t>
            </w:r>
            <w:proofErr w:type="spellEnd"/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, or intramuscular with compartment syndrome </w:t>
            </w:r>
          </w:p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 • Bleeding causing hypovolemic shock or severe hypotension requiring vasopressors or surgery </w:t>
            </w:r>
          </w:p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 • Overt source of bleeding with drop in hemoglobin of ≥5 g/dl or whole blood or packed red blood cells (RBCs) transfusion ≥4 U</w:t>
            </w:r>
            <w:r w:rsidRPr="003F51BF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t>⁎</w:t>
            </w:r>
          </w:p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- Major bleeding </w:t>
            </w:r>
          </w:p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 Overt bleeding either associated with a drop in the hemoglobin level of at least 3.0 g/dl or requiring transfusion of two or three units of whole blood/RBC </w:t>
            </w:r>
            <w:r w:rsidRPr="003F51BF"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  <w:t>AND</w:t>
            </w:r>
          </w:p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 Does not meet criteria of life-threatening or disabling bleeding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82" w:rsidRPr="003F51BF" w:rsidRDefault="00867B82" w:rsidP="00867B82">
            <w:pPr>
              <w:pStyle w:val="Body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51BF">
              <w:rPr>
                <w:rFonts w:cs="Times New Roman"/>
                <w:sz w:val="20"/>
                <w:szCs w:val="20"/>
                <w:lang w:val="en-US"/>
              </w:rPr>
              <w:t>Primary end point: combination mortality, major stroke, life-threatening bleeding, MI, and major vascular complications.  Secondary end points: transfusion, any vascular complications, any stroke, any bleeding, acute kidney injury, and success rates.</w:t>
            </w:r>
          </w:p>
          <w:p w:rsidR="00867B82" w:rsidRPr="003F51BF" w:rsidRDefault="00867B82" w:rsidP="00867B82">
            <w:pPr>
              <w:pStyle w:val="Body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67B82" w:rsidRPr="003F51BF" w:rsidTr="00867B82">
        <w:trPr>
          <w:trHeight w:val="740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B82" w:rsidRPr="003F51BF" w:rsidRDefault="00867B82" w:rsidP="00867B82">
            <w:pPr>
              <w:pStyle w:val="Body"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Durand (2014)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B82" w:rsidRPr="003F51BF" w:rsidRDefault="00867B82" w:rsidP="00867B82">
            <w:pPr>
              <w:pStyle w:val="Default"/>
              <w:spacing w:line="380" w:lineRule="atLeast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Includes all deaths from any cause after a valve intervention. Survival should be referenced to an age- and sex-matched sample from the representative general populat</w:t>
            </w:r>
            <w:r w:rsidR="00905D21"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ion being investigated whenever</w:t>
            </w:r>
            <w:r w:rsidR="00905D21"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br/>
            </w: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possible.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 Any one of the following criteria :</w:t>
            </w:r>
          </w:p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- Detection of rise and/or fall of cardiac biomarkers (preferably troponin) with at least one value above the 99th percentile URL, together with the evidence of myocardial ischemia with at least one of the following:</w:t>
            </w:r>
          </w:p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    * Symptoms of ischemia</w:t>
            </w:r>
          </w:p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    * ECG changes indicative of new ischemia [new ST-T changes or new left bundle branch block (LBBB)]</w:t>
            </w:r>
          </w:p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   * New pathological Q-waves in at least two contiguous leads    Imaging evidence of a new loss of viable myocardium or new wall</w:t>
            </w:r>
          </w:p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motion abnormality</w:t>
            </w:r>
          </w:p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- Sudden, unexpected cardiac death, involving cardiac arrest, often with symptoms suggestive of myocardial ischemia, and accompanied by presumably new ST elevation, or new LBBB, and/ or evidence of fresh thrombus by coronary angiography and/or at autopsy, but death occurring before blood samples could be obtained, or at a time before the appearance of cardiac biomarkers in the blood.</w:t>
            </w:r>
          </w:p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- Pathological findings of an acute myocardial infarction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- Rapid onset of a focal or global neurological deficit with at least one of the following: </w:t>
            </w:r>
          </w:p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• Change in level of consciousness, hemiplegia, hemiparesis, numbness or sensory loss affecting one side of the body, dysphasia or aphasia, hemianopia, </w:t>
            </w:r>
            <w:proofErr w:type="spellStart"/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amaurosis</w:t>
            </w:r>
            <w:proofErr w:type="spellEnd"/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fugax</w:t>
            </w:r>
            <w:proofErr w:type="spellEnd"/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, or other neurological signs or symptoms consistent with stroke</w:t>
            </w:r>
          </w:p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 • Duration of a focal or global neurological deficit ≥24 h; </w:t>
            </w:r>
            <w:r w:rsidRPr="003F51BF"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  <w:t>OR</w:t>
            </w: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 &lt;24 h, if therapeutic intervention(s) were performed (e.g. thrombolytic therapy or intracranial angioplasty); </w:t>
            </w:r>
            <w:r w:rsidRPr="003F51BF"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  <w:t>OR</w:t>
            </w: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 available neuroimaging documents a new hemorrhage or infarct; </w:t>
            </w:r>
            <w:r w:rsidRPr="003F51BF"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  <w:t>OR</w:t>
            </w: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 the neurological deficit results in death</w:t>
            </w:r>
          </w:p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 • No other readily identifiable </w:t>
            </w:r>
            <w:proofErr w:type="spellStart"/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nonstroke</w:t>
            </w:r>
            <w:proofErr w:type="spellEnd"/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 cause for the clinical presentation (e.g., brain tumor, trauma, infection, hypoglycemia, peripheral lesion, pharmacological influences)</w:t>
            </w:r>
          </w:p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 - Confirmation of the diagnosis by at least one of the following:</w:t>
            </w:r>
          </w:p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  • Neurology or neurosurgical specialist</w:t>
            </w:r>
          </w:p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  • Neuroimaging procedure (MR or CT scan or cerebral angiography)</w:t>
            </w:r>
          </w:p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  • Lumbar puncture (i.e., </w:t>
            </w: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lastRenderedPageBreak/>
              <w:t>spinal fluid analysis diagnostic of intracranial hemorrhage)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lastRenderedPageBreak/>
              <w:t>- Life-threatening or disabling bleeding</w:t>
            </w:r>
          </w:p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 • </w:t>
            </w: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  <w:lang w:val="nl-NL"/>
              </w:rPr>
              <w:t xml:space="preserve">Fatal bleeding </w:t>
            </w:r>
          </w:p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 • Bleeding in a critical area or organ, such as intracranial, </w:t>
            </w:r>
            <w:proofErr w:type="spellStart"/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intraspinal</w:t>
            </w:r>
            <w:proofErr w:type="spellEnd"/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, intraocular, or pericardial necessitating </w:t>
            </w:r>
            <w:proofErr w:type="spellStart"/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pericardiocentesis</w:t>
            </w:r>
            <w:proofErr w:type="spellEnd"/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, or intramuscular with compartment syndrome </w:t>
            </w:r>
          </w:p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 • Bleeding causing hypovolemic shock or severe hypotension requiring vasopressors or surgery </w:t>
            </w:r>
          </w:p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 • Overt source of bleeding with drop in hemoglobin of ≥5 g/dl or whole blood or packed red blood cells (RBCs) transfusion ≥4 U</w:t>
            </w:r>
            <w:r w:rsidRPr="003F51BF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t>⁎</w:t>
            </w:r>
          </w:p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- Major bleeding </w:t>
            </w:r>
          </w:p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 Overt bleeding either associated with a drop in the hemoglobin level of at least 3.0 g/dl or requiring transfusion of two or three units of whole blood/RBC </w:t>
            </w:r>
            <w:r w:rsidRPr="003F51BF"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  <w:t>AND</w:t>
            </w:r>
          </w:p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 Does not meet criteria of life-threatening or disabling bleeding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82" w:rsidRPr="003F51BF" w:rsidRDefault="00867B82" w:rsidP="00867B82">
            <w:pPr>
              <w:pStyle w:val="Body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51BF">
              <w:rPr>
                <w:rFonts w:cs="Times New Roman"/>
                <w:sz w:val="20"/>
                <w:szCs w:val="20"/>
                <w:lang w:val="en-US"/>
              </w:rPr>
              <w:t>Primary endpoints: Composite outcome of mortality, major stroke, life-threatening bleeding (LTB), myocardial infarction, and major vascular complications.</w:t>
            </w:r>
          </w:p>
          <w:p w:rsidR="00867B82" w:rsidRPr="003F51BF" w:rsidRDefault="00867B82" w:rsidP="00867B82">
            <w:pPr>
              <w:pStyle w:val="Body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  <w:p w:rsidR="00867B82" w:rsidRPr="003F51BF" w:rsidRDefault="00867B82" w:rsidP="00867B82">
            <w:pPr>
              <w:pStyle w:val="Body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51BF">
              <w:rPr>
                <w:rFonts w:cs="Times New Roman"/>
                <w:sz w:val="20"/>
                <w:szCs w:val="20"/>
                <w:lang w:val="en-US"/>
              </w:rPr>
              <w:t>Secondary endpoint:  transfusion, any vascular complication, any stroke, any bleeding, acute kidney injury, and success rate.</w:t>
            </w:r>
          </w:p>
          <w:p w:rsidR="00867B82" w:rsidRPr="003F51BF" w:rsidRDefault="00867B82" w:rsidP="00867B82">
            <w:pPr>
              <w:pStyle w:val="Body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  <w:p w:rsidR="00867B82" w:rsidRPr="003F51BF" w:rsidRDefault="00867B82" w:rsidP="00867B82">
            <w:pPr>
              <w:pStyle w:val="Body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  <w:p w:rsidR="00867B82" w:rsidRPr="003F51BF" w:rsidRDefault="00867B82" w:rsidP="00867B82">
            <w:pPr>
              <w:pStyle w:val="Body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67B82" w:rsidRPr="003F51BF" w:rsidTr="00867B82">
        <w:trPr>
          <w:trHeight w:val="640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B82" w:rsidRPr="003F51BF" w:rsidRDefault="00867B82" w:rsidP="00867B82">
            <w:pPr>
              <w:pStyle w:val="Body"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F51B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Mangieri</w:t>
            </w:r>
            <w:proofErr w:type="spellEnd"/>
            <w:r w:rsidRPr="003F51B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(2017)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B82" w:rsidRPr="003F51BF" w:rsidRDefault="00867B82" w:rsidP="00867B82">
            <w:pPr>
              <w:pStyle w:val="Default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pt-PT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  <w:lang w:val="pt-PT"/>
              </w:rPr>
              <w:t>Cardiovascular mortality</w:t>
            </w:r>
          </w:p>
          <w:p w:rsidR="00867B82" w:rsidRPr="003F51BF" w:rsidRDefault="00867B82" w:rsidP="00867B82">
            <w:pPr>
              <w:pStyle w:val="Default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it-IT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  <w:lang w:val="it-IT"/>
              </w:rPr>
              <w:t>Non-cardiovascular mortality</w:t>
            </w:r>
          </w:p>
          <w:p w:rsidR="00867B82" w:rsidRPr="003F51BF" w:rsidRDefault="00867B82" w:rsidP="00867B82">
            <w:pPr>
              <w:pStyle w:val="Default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Any death in which the primary cause of death is clearly related to another condition (e.g. trauma, cancer, suicide)</w:t>
            </w:r>
          </w:p>
          <w:p w:rsidR="00867B82" w:rsidRPr="003F51BF" w:rsidRDefault="00867B82" w:rsidP="00867B82">
            <w:pPr>
              <w:pStyle w:val="Default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 Any one of the following criteria :</w:t>
            </w:r>
          </w:p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- Detection of rise and/or fall of cardiac biomarkers (preferably troponin) with at least one value above the 99th percentile URL, together with the evidence of myocardial ischemia with at least one of the following:</w:t>
            </w:r>
          </w:p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    * Symptoms of ischemia</w:t>
            </w:r>
          </w:p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    * ECG changes indicative of new ischemia [new ST-T changes or new left bundle branch block (LBBB)]</w:t>
            </w:r>
          </w:p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   * New pathological Q-waves in at least two contiguous leads    Imaging evidence of a new loss of viable myocardium or new wall</w:t>
            </w:r>
          </w:p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motion abnormality</w:t>
            </w:r>
          </w:p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- Sudden, unexpected cardiac death, involving cardiac arrest, often with symptoms suggestive of myocardial ischemia, and accompanied by presumably new ST elevation, or new LBBB, and/ or evidence of fresh thrombus by coronary angiography and/or at autopsy, but death occurring before blood samples could be obtained, or at a time before the appearance of cardiac biomarkers in the blood.</w:t>
            </w:r>
          </w:p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- Pathological findings of an acute myocardial infarction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B82" w:rsidRPr="003F51BF" w:rsidRDefault="00867B82" w:rsidP="00867B82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- Duration of a focal or global neurological deficit &gt;24 h; OR &lt;24 h if available neuroimaging documents a new </w:t>
            </w:r>
            <w:proofErr w:type="spellStart"/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haemorrhage</w:t>
            </w:r>
            <w:proofErr w:type="spellEnd"/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 or infarct; OR the neurological deficit results in death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B82" w:rsidRPr="003F51BF" w:rsidRDefault="00867B82" w:rsidP="00867B82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Major Bleeding:  Overt bleeding either associated with a drop in the hemoglobin level of at least 3.0 g/dl or requiring transfusion of two or three units of whole blood/RBC, or causing hospitalization or permanent injury, or requiring surgery AND does not meet criteria of life-threatening or disabling bleeding</w:t>
            </w:r>
          </w:p>
          <w:p w:rsidR="00867B82" w:rsidRPr="003F51BF" w:rsidRDefault="00867B82" w:rsidP="00867B82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-Lethal Bleeding: Fatal bleeding (BARC type 5) OR</w:t>
            </w:r>
          </w:p>
          <w:p w:rsidR="00867B82" w:rsidRPr="003F51BF" w:rsidRDefault="00867B82" w:rsidP="00867B82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 Bleeding in a critical organ, such as intracranial, </w:t>
            </w:r>
            <w:proofErr w:type="spellStart"/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intraspinal</w:t>
            </w:r>
            <w:proofErr w:type="spellEnd"/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, intraocular, or pericardial necessitating </w:t>
            </w:r>
            <w:proofErr w:type="spellStart"/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pericardiocentesis</w:t>
            </w:r>
            <w:proofErr w:type="spellEnd"/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, or intramuscular with compartment syndrome (BARC type 3b and 3c) OR</w:t>
            </w:r>
          </w:p>
          <w:p w:rsidR="00867B82" w:rsidRPr="003F51BF" w:rsidRDefault="00867B82" w:rsidP="00867B82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 Bleeding causing </w:t>
            </w:r>
            <w:proofErr w:type="spellStart"/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hypovolaemic</w:t>
            </w:r>
            <w:proofErr w:type="spellEnd"/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 shock or severe hypotension requiring vasopressors or surgery (BARC type 3b) OR</w:t>
            </w:r>
          </w:p>
          <w:p w:rsidR="00867B82" w:rsidRPr="003F51BF" w:rsidRDefault="00867B82" w:rsidP="00867B82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 Overt source of bleeding with drop in </w:t>
            </w:r>
            <w:proofErr w:type="spellStart"/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haemoglobin</w:t>
            </w:r>
            <w:proofErr w:type="spellEnd"/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 &gt;5 g/</w:t>
            </w:r>
            <w:proofErr w:type="spellStart"/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dL</w:t>
            </w:r>
            <w:proofErr w:type="spellEnd"/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 or whole blood or packed red blood cells (RBCs) transfusion &gt;4 units</w:t>
            </w:r>
            <w:r w:rsidRPr="003F51B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⁎</w:t>
            </w: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(BARC type 3b)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82" w:rsidRPr="003F51BF" w:rsidRDefault="00867B82" w:rsidP="00867B82">
            <w:pPr>
              <w:pStyle w:val="Body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51BF">
              <w:rPr>
                <w:rFonts w:cs="Times New Roman"/>
                <w:sz w:val="20"/>
                <w:szCs w:val="20"/>
                <w:lang w:val="en-US"/>
              </w:rPr>
              <w:t>Primary endpoint: Composite of all-cause mortality, major bleeding requiring hospitalization, cere</w:t>
            </w:r>
            <w:r w:rsidR="00106A9B" w:rsidRPr="003F51BF">
              <w:rPr>
                <w:rFonts w:cs="Times New Roman"/>
                <w:sz w:val="20"/>
                <w:szCs w:val="20"/>
                <w:lang w:val="en-US"/>
              </w:rPr>
              <w:t>brovascular accidents, redo-TAVR</w:t>
            </w:r>
            <w:r w:rsidRPr="003F51BF">
              <w:rPr>
                <w:rFonts w:cs="Times New Roman"/>
                <w:sz w:val="20"/>
                <w:szCs w:val="20"/>
                <w:lang w:val="en-US"/>
              </w:rPr>
              <w:t xml:space="preserve"> or surgical aortic valve replacement, and valve thrombosis.</w:t>
            </w:r>
          </w:p>
          <w:p w:rsidR="00867B82" w:rsidRPr="003F51BF" w:rsidRDefault="00867B82" w:rsidP="00867B82">
            <w:pPr>
              <w:pStyle w:val="Body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67B82" w:rsidRPr="003F51BF" w:rsidTr="00867B82">
        <w:trPr>
          <w:trHeight w:val="489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B82" w:rsidRPr="003F51BF" w:rsidRDefault="00867B82" w:rsidP="00867B82">
            <w:pPr>
              <w:pStyle w:val="Body"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F51BF">
              <w:rPr>
                <w:rFonts w:cs="Times New Roman"/>
                <w:sz w:val="20"/>
                <w:szCs w:val="20"/>
                <w:lang w:val="en-US"/>
              </w:rPr>
              <w:lastRenderedPageBreak/>
              <w:t>Ichibori</w:t>
            </w:r>
            <w:proofErr w:type="spellEnd"/>
            <w:r w:rsidRPr="003F51BF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3F51B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(2017)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B82" w:rsidRPr="003F51BF" w:rsidRDefault="00867B82" w:rsidP="00867B82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-Cardiovascular mortality</w:t>
            </w:r>
          </w:p>
          <w:p w:rsidR="00867B82" w:rsidRPr="003F51BF" w:rsidRDefault="00867B82" w:rsidP="00867B82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-Non-cardiovascular mortality</w:t>
            </w:r>
          </w:p>
          <w:p w:rsidR="00867B82" w:rsidRPr="003F51BF" w:rsidRDefault="00867B82" w:rsidP="00867B82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-Any death in which the primary cause of death is clearly related to another condition (e.g. trauma, cancer, suicide)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B82" w:rsidRPr="003F51BF" w:rsidRDefault="00867B82" w:rsidP="00867B82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Any one of the following criteria :</w:t>
            </w:r>
          </w:p>
          <w:p w:rsidR="00867B82" w:rsidRPr="003F51BF" w:rsidRDefault="00867B82" w:rsidP="00867B82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- Detection of rise and/or fall of cardiac biomarkers (preferably troponin) with at least one value above the 99th percentile URL, together with the evidence of myocardial ischemia with at least one of the following:</w:t>
            </w:r>
          </w:p>
          <w:p w:rsidR="00867B82" w:rsidRPr="003F51BF" w:rsidRDefault="00867B82" w:rsidP="00867B82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    * Symptoms of ischemia</w:t>
            </w:r>
          </w:p>
          <w:p w:rsidR="00867B82" w:rsidRPr="003F51BF" w:rsidRDefault="00867B82" w:rsidP="00867B82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    * ECG changes indicative of new ischemia [new ST-T changes or new left bundle branch block (LBBB)]</w:t>
            </w:r>
          </w:p>
          <w:p w:rsidR="00867B82" w:rsidRPr="003F51BF" w:rsidRDefault="00867B82" w:rsidP="00867B82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   * New pathological Q-waves in at least two contiguous leads    Imaging evidence of a new loss of viable myocardium or new wall</w:t>
            </w:r>
          </w:p>
          <w:p w:rsidR="00867B82" w:rsidRPr="003F51BF" w:rsidRDefault="00867B82" w:rsidP="00867B82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motion abnormality</w:t>
            </w:r>
          </w:p>
          <w:p w:rsidR="00867B82" w:rsidRPr="003F51BF" w:rsidRDefault="00867B82" w:rsidP="00867B82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- Sudden, unexpected cardiac death, involving cardiac arrest, often with symptoms suggestive of myocardial ischemia, and accompanied by presumably new ST elevation, or new LBBB, and/ or evidence of fresh thrombus by coronary angiography and/or at autopsy, but death occurring before blood samples could be obtained, or at a time before the appearance of cardiac biomarkers in the blood.</w:t>
            </w:r>
          </w:p>
          <w:p w:rsidR="00867B82" w:rsidRPr="003F51BF" w:rsidRDefault="00867B82" w:rsidP="00867B82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- Pathological findings of an acute myocardial infarction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duration of a focal or global neurological deficit &gt;24 h; OR &lt;24 h if available neuroimaging documents a new </w:t>
            </w:r>
            <w:proofErr w:type="spellStart"/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haemorrhage</w:t>
            </w:r>
            <w:proofErr w:type="spellEnd"/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 or infarct; OR the neurological deficit results in death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B82" w:rsidRPr="003F51BF" w:rsidRDefault="00867B82" w:rsidP="00867B82">
            <w:pPr>
              <w:rPr>
                <w:rFonts w:ascii="Calibri" w:eastAsia="Times New Roman" w:hAnsi="Calibri"/>
                <w:color w:val="000000" w:themeColor="text1"/>
                <w:sz w:val="20"/>
                <w:szCs w:val="20"/>
                <w:u w:color="000000"/>
              </w:rPr>
            </w:pPr>
            <w:r w:rsidRPr="003F51BF">
              <w:rPr>
                <w:rFonts w:ascii="Calibri" w:eastAsia="Calibri" w:hAnsi="Calibri"/>
                <w:color w:val="000000" w:themeColor="text1"/>
                <w:sz w:val="20"/>
                <w:szCs w:val="20"/>
                <w:u w:color="000000"/>
              </w:rPr>
              <w:t>-Major Bleeding:  Overt bleeding either associated with a drop in the hemoglobin level of at least 3.0 g/dl or requiring transfusion of two or three units of whole blood/RBC, or causing hospitalization or permanent injury, or requiring surgery AND does not meet criteria of life-threatening or disabling bleeding</w:t>
            </w:r>
          </w:p>
          <w:p w:rsidR="00867B82" w:rsidRPr="003F51BF" w:rsidRDefault="00867B82" w:rsidP="00867B82">
            <w:pPr>
              <w:rPr>
                <w:rFonts w:ascii="Calibri" w:eastAsia="Times New Roman" w:hAnsi="Calibri"/>
                <w:color w:val="000000" w:themeColor="text1"/>
                <w:sz w:val="20"/>
                <w:szCs w:val="20"/>
                <w:u w:color="000000"/>
              </w:rPr>
            </w:pPr>
            <w:r w:rsidRPr="003F51BF">
              <w:rPr>
                <w:rFonts w:ascii="Calibri" w:eastAsia="Calibri" w:hAnsi="Calibri"/>
                <w:color w:val="000000" w:themeColor="text1"/>
                <w:sz w:val="20"/>
                <w:szCs w:val="20"/>
                <w:u w:color="000000"/>
              </w:rPr>
              <w:t xml:space="preserve">-Lethal Bleeding: </w:t>
            </w:r>
            <w:r w:rsidRPr="003F51BF">
              <w:rPr>
                <w:rFonts w:ascii="Calibri" w:eastAsia="Calibri" w:hAnsi="Calibri"/>
                <w:color w:val="000000" w:themeColor="text1"/>
                <w:sz w:val="20"/>
                <w:szCs w:val="20"/>
                <w:u w:color="000000"/>
                <w:lang w:val="nl-NL"/>
              </w:rPr>
              <w:t>Fatal bleeding</w:t>
            </w:r>
            <w:r w:rsidRPr="003F51BF">
              <w:rPr>
                <w:rFonts w:ascii="Calibri" w:eastAsia="Calibri" w:hAnsi="Calibri"/>
                <w:color w:val="000000" w:themeColor="text1"/>
                <w:sz w:val="20"/>
                <w:szCs w:val="20"/>
                <w:u w:color="000000"/>
              </w:rPr>
              <w:t> (BARC type 5) OR</w:t>
            </w:r>
          </w:p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 Bleeding in a critical organ, such as intracranial, </w:t>
            </w:r>
            <w:proofErr w:type="spellStart"/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intraspinal</w:t>
            </w:r>
            <w:proofErr w:type="spellEnd"/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, intraocular, or pericardial necessitating </w:t>
            </w:r>
            <w:proofErr w:type="spellStart"/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pericardiocentesis</w:t>
            </w:r>
            <w:proofErr w:type="spellEnd"/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, or intramuscular with compartment syndrome (BARC type 3b and 3c) OR</w:t>
            </w:r>
          </w:p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 Bleeding causing </w:t>
            </w:r>
            <w:proofErr w:type="spellStart"/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hypovolaemic</w:t>
            </w:r>
            <w:proofErr w:type="spellEnd"/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 shock or severe hypotension requiring vasopressors or surgery (BARC type 3b) OR</w:t>
            </w:r>
          </w:p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 Overt source of bleeding with drop in </w:t>
            </w:r>
            <w:proofErr w:type="spellStart"/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haemoglobin</w:t>
            </w:r>
            <w:proofErr w:type="spellEnd"/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 &gt;5 g/</w:t>
            </w:r>
            <w:proofErr w:type="spellStart"/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dL</w:t>
            </w:r>
            <w:proofErr w:type="spellEnd"/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 or whole blood or packed red blood cells (RBCs) transfusion &gt;4 units</w:t>
            </w:r>
            <w:r w:rsidRPr="003F51BF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t>⁎</w:t>
            </w: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(BARC type 3b)</w:t>
            </w:r>
          </w:p>
          <w:p w:rsidR="00867B82" w:rsidRPr="003F51BF" w:rsidRDefault="00867B82" w:rsidP="00867B82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82" w:rsidRPr="003F51BF" w:rsidRDefault="00867B82" w:rsidP="00867B82">
            <w:pPr>
              <w:pStyle w:val="Body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51BF">
              <w:rPr>
                <w:rFonts w:cs="Times New Roman"/>
                <w:sz w:val="20"/>
                <w:szCs w:val="20"/>
                <w:lang w:val="en-US"/>
              </w:rPr>
              <w:t>Primary endpoint: Composite endpoint consisting of all-cause death, nonfatal myocardial infarction, nonfatal stroke, and major or life-threatening bleeding complications.</w:t>
            </w:r>
          </w:p>
        </w:tc>
      </w:tr>
      <w:tr w:rsidR="00867B82" w:rsidRPr="003F51BF" w:rsidTr="00867B82">
        <w:trPr>
          <w:trHeight w:val="489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B82" w:rsidRPr="003F51BF" w:rsidRDefault="00867B82" w:rsidP="00867B82">
            <w:pPr>
              <w:pStyle w:val="Body"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F51B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D'ascenzo</w:t>
            </w:r>
            <w:proofErr w:type="spellEnd"/>
            <w:r w:rsidRPr="003F51B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(2017)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B82" w:rsidRPr="003F51BF" w:rsidRDefault="00867B82" w:rsidP="00867B82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-Cardiovascular mortality</w:t>
            </w:r>
          </w:p>
          <w:p w:rsidR="00867B82" w:rsidRPr="003F51BF" w:rsidRDefault="00867B82" w:rsidP="00867B82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-Non-cardiovascular mortality</w:t>
            </w:r>
          </w:p>
          <w:p w:rsidR="00867B82" w:rsidRPr="003F51BF" w:rsidRDefault="00867B82" w:rsidP="00867B82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-Any death in which the primary cause of death is clearly related to another condition (e.g. trauma, cancer, suicide)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B82" w:rsidRPr="003F51BF" w:rsidRDefault="00867B82" w:rsidP="00867B82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Any one of the following criteria :</w:t>
            </w:r>
          </w:p>
          <w:p w:rsidR="00867B82" w:rsidRPr="003F51BF" w:rsidRDefault="00867B82" w:rsidP="00867B82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- Detection of rise and/or fall of cardiac biomarkers (preferably troponin) with at least one value above the 99th percentile URL, together with the evidence of myocardial ischemia with at least one of the following:</w:t>
            </w:r>
          </w:p>
          <w:p w:rsidR="00867B82" w:rsidRPr="003F51BF" w:rsidRDefault="00867B82" w:rsidP="00867B82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    * Symptoms of ischemia</w:t>
            </w:r>
          </w:p>
          <w:p w:rsidR="00867B82" w:rsidRPr="003F51BF" w:rsidRDefault="00867B82" w:rsidP="00867B82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    * ECG changes indicative of new ischemia [new ST-T changes or new left bundle branch block (LBBB)]</w:t>
            </w:r>
          </w:p>
          <w:p w:rsidR="00867B82" w:rsidRPr="003F51BF" w:rsidRDefault="00867B82" w:rsidP="00867B82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   * New pathological Q-waves in at least two contiguous leads    Imaging evidence of a new loss of viable myocardium or new wall</w:t>
            </w:r>
          </w:p>
          <w:p w:rsidR="00867B82" w:rsidRPr="003F51BF" w:rsidRDefault="00867B82" w:rsidP="00867B82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motion abnormality</w:t>
            </w:r>
          </w:p>
          <w:p w:rsidR="00867B82" w:rsidRPr="003F51BF" w:rsidRDefault="00867B82" w:rsidP="00867B82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- Sudden, unexpected cardiac death, involving cardiac arrest, often with symptoms suggestive of myocardial ischemia, and accompanied by presumably new ST elevation, or new LBBB, and/ or evidence of fresh thrombus by coronary angiography and/or at autopsy, but death occurring before blood samples could be obtained, or at a time before the appearance of cardiac biomarkers in the blood.</w:t>
            </w:r>
          </w:p>
          <w:p w:rsidR="00867B82" w:rsidRPr="003F51BF" w:rsidRDefault="00867B82" w:rsidP="00867B82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- Pathological findings of an acute myocardial infarction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Duration of a focal or global neurological deficit &gt;24 h; OR &lt;24 h if available neuroimaging documents a new </w:t>
            </w:r>
            <w:proofErr w:type="spellStart"/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haemorrhage</w:t>
            </w:r>
            <w:proofErr w:type="spellEnd"/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 or infarct; OR the neurological deficit results in death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B82" w:rsidRPr="003F51BF" w:rsidRDefault="00867B82" w:rsidP="00867B82">
            <w:pPr>
              <w:rPr>
                <w:rFonts w:ascii="Calibri" w:eastAsia="Times New Roman" w:hAnsi="Calibri"/>
                <w:color w:val="000000" w:themeColor="text1"/>
                <w:sz w:val="20"/>
                <w:szCs w:val="20"/>
                <w:u w:color="000000"/>
              </w:rPr>
            </w:pPr>
            <w:r w:rsidRPr="003F51BF">
              <w:rPr>
                <w:rFonts w:ascii="Calibri" w:eastAsia="Calibri" w:hAnsi="Calibri"/>
                <w:color w:val="000000" w:themeColor="text1"/>
                <w:sz w:val="20"/>
                <w:szCs w:val="20"/>
                <w:u w:color="000000"/>
              </w:rPr>
              <w:t>-Major Bleeding:  Overt bleeding either associated with a drop in the hemoglobin level of at least 3.0 g/dl or requiring transfusion of two or three units of whole blood/RBC, or causing hospitalization or permanent injury, or requiring surgery AND does not meet criteria of life-threatening or disabling bleeding</w:t>
            </w:r>
          </w:p>
          <w:p w:rsidR="00867B82" w:rsidRPr="003F51BF" w:rsidRDefault="00867B82" w:rsidP="00867B82">
            <w:pPr>
              <w:rPr>
                <w:rFonts w:ascii="Calibri" w:eastAsia="Times New Roman" w:hAnsi="Calibri"/>
                <w:color w:val="000000" w:themeColor="text1"/>
                <w:sz w:val="20"/>
                <w:szCs w:val="20"/>
                <w:u w:color="000000"/>
              </w:rPr>
            </w:pPr>
            <w:r w:rsidRPr="003F51BF">
              <w:rPr>
                <w:rFonts w:ascii="Calibri" w:eastAsia="Calibri" w:hAnsi="Calibri"/>
                <w:color w:val="000000" w:themeColor="text1"/>
                <w:sz w:val="20"/>
                <w:szCs w:val="20"/>
                <w:u w:color="000000"/>
              </w:rPr>
              <w:t xml:space="preserve">-Lethal Bleeding: </w:t>
            </w:r>
            <w:r w:rsidRPr="003F51BF">
              <w:rPr>
                <w:rFonts w:ascii="Calibri" w:eastAsia="Calibri" w:hAnsi="Calibri"/>
                <w:color w:val="000000" w:themeColor="text1"/>
                <w:sz w:val="20"/>
                <w:szCs w:val="20"/>
                <w:u w:color="000000"/>
                <w:lang w:val="nl-NL"/>
              </w:rPr>
              <w:t>Fatal bleeding</w:t>
            </w:r>
            <w:r w:rsidRPr="003F51BF">
              <w:rPr>
                <w:rFonts w:ascii="Calibri" w:eastAsia="Calibri" w:hAnsi="Calibri"/>
                <w:color w:val="000000" w:themeColor="text1"/>
                <w:sz w:val="20"/>
                <w:szCs w:val="20"/>
                <w:u w:color="000000"/>
              </w:rPr>
              <w:t> (BARC type 5) OR</w:t>
            </w:r>
          </w:p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 Bleeding in a critical organ, such as intracranial, </w:t>
            </w:r>
            <w:proofErr w:type="spellStart"/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intraspinal</w:t>
            </w:r>
            <w:proofErr w:type="spellEnd"/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, intraocular, or pericardial necessitating </w:t>
            </w:r>
            <w:proofErr w:type="spellStart"/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pericardiocentesis</w:t>
            </w:r>
            <w:proofErr w:type="spellEnd"/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, or intramuscular with compartment syndrome (BARC type 3b and 3c) OR</w:t>
            </w:r>
          </w:p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 Bleeding causing </w:t>
            </w:r>
            <w:proofErr w:type="spellStart"/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hypovolaemic</w:t>
            </w:r>
            <w:proofErr w:type="spellEnd"/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 shock or severe hypotension requiring vasopressors or surgery (BARC type 3b) OR</w:t>
            </w:r>
          </w:p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 Overt source of bleeding with drop in </w:t>
            </w:r>
            <w:proofErr w:type="spellStart"/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haemoglobin</w:t>
            </w:r>
            <w:proofErr w:type="spellEnd"/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 &gt;5 g/</w:t>
            </w:r>
            <w:proofErr w:type="spellStart"/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dL</w:t>
            </w:r>
            <w:proofErr w:type="spellEnd"/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 or whole blood or packed red blood cells (RBCs) transfusion &gt;4 units</w:t>
            </w:r>
            <w:r w:rsidRPr="003F51BF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t>⁎</w:t>
            </w: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(BARC type 3b)</w:t>
            </w:r>
          </w:p>
          <w:p w:rsidR="00867B82" w:rsidRPr="003F51BF" w:rsidRDefault="00867B82" w:rsidP="00867B82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82" w:rsidRPr="003F51BF" w:rsidRDefault="00867B82" w:rsidP="00867B82">
            <w:pPr>
              <w:pStyle w:val="Body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51BF">
              <w:rPr>
                <w:rFonts w:cs="Times New Roman"/>
                <w:sz w:val="20"/>
                <w:szCs w:val="20"/>
                <w:lang w:val="en-US"/>
              </w:rPr>
              <w:t>Primary endpoint: Prosthetic valve dysfunction.</w:t>
            </w:r>
          </w:p>
          <w:p w:rsidR="00867B82" w:rsidRPr="003F51BF" w:rsidRDefault="00106A9B" w:rsidP="00867B82">
            <w:pPr>
              <w:pStyle w:val="Body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51BF">
              <w:rPr>
                <w:rFonts w:cs="Times New Roman"/>
                <w:sz w:val="20"/>
                <w:szCs w:val="20"/>
                <w:lang w:val="en-US"/>
              </w:rPr>
              <w:t>Secondary endpoints</w:t>
            </w:r>
            <w:r w:rsidR="00867B82" w:rsidRPr="003F51BF">
              <w:rPr>
                <w:rFonts w:cs="Times New Roman"/>
                <w:sz w:val="20"/>
                <w:szCs w:val="20"/>
                <w:lang w:val="en-US"/>
              </w:rPr>
              <w:t>:</w:t>
            </w:r>
          </w:p>
          <w:p w:rsidR="00867B82" w:rsidRPr="003F51BF" w:rsidRDefault="00867B82" w:rsidP="00867B82">
            <w:pPr>
              <w:pStyle w:val="Body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51BF">
              <w:rPr>
                <w:rFonts w:cs="Times New Roman"/>
                <w:sz w:val="20"/>
                <w:szCs w:val="20"/>
                <w:lang w:val="en-US"/>
              </w:rPr>
              <w:t>All cause death, Cardiovascular death, bleeding, vascular complications, CVA.</w:t>
            </w:r>
          </w:p>
        </w:tc>
      </w:tr>
      <w:tr w:rsidR="00867B82" w:rsidRPr="003F51BF" w:rsidTr="00867B82">
        <w:trPr>
          <w:trHeight w:val="67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B82" w:rsidRPr="003F51BF" w:rsidRDefault="00867B82" w:rsidP="00867B82">
            <w:pPr>
              <w:pStyle w:val="Body"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De La Torre Hernandez (2016)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B82" w:rsidRPr="003F51BF" w:rsidRDefault="00867B82" w:rsidP="00867B82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/>
                <w:color w:val="000000" w:themeColor="text1"/>
                <w:sz w:val="20"/>
                <w:szCs w:val="20"/>
              </w:rPr>
              <w:t>Unavailable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B82" w:rsidRPr="003F51BF" w:rsidRDefault="00867B82" w:rsidP="00867B82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/>
                <w:color w:val="000000" w:themeColor="text1"/>
                <w:sz w:val="20"/>
                <w:szCs w:val="20"/>
              </w:rPr>
              <w:t>Unavailable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B82" w:rsidRPr="003F51BF" w:rsidRDefault="00867B82" w:rsidP="00867B82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/>
                <w:color w:val="000000" w:themeColor="text1"/>
                <w:sz w:val="20"/>
                <w:szCs w:val="20"/>
              </w:rPr>
              <w:t>Unavailable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B82" w:rsidRPr="003F51BF" w:rsidRDefault="00867B82" w:rsidP="00867B82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/>
                <w:sz w:val="20"/>
                <w:szCs w:val="20"/>
              </w:rPr>
              <w:t xml:space="preserve">Intracranial bleeding and bleeding of BARC &gt;1 defined as any clinically overt sign of hemorrhage that is actionable and requires diagnostic studies, </w:t>
            </w:r>
            <w:r w:rsidRPr="003F51BF">
              <w:rPr>
                <w:rFonts w:ascii="Calibri" w:hAnsi="Calibri"/>
                <w:sz w:val="20"/>
                <w:szCs w:val="20"/>
              </w:rPr>
              <w:lastRenderedPageBreak/>
              <w:t>hospitalization, or treatment by a health care professional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82" w:rsidRPr="003F51BF" w:rsidRDefault="00867B82" w:rsidP="00867B82">
            <w:pPr>
              <w:rPr>
                <w:rFonts w:ascii="Calibri" w:hAnsi="Calibri"/>
                <w:sz w:val="20"/>
                <w:szCs w:val="20"/>
              </w:rPr>
            </w:pPr>
            <w:r w:rsidRPr="003F51BF">
              <w:rPr>
                <w:rFonts w:ascii="Calibri" w:hAnsi="Calibri"/>
                <w:sz w:val="20"/>
                <w:szCs w:val="20"/>
              </w:rPr>
              <w:lastRenderedPageBreak/>
              <w:t>Major bleeding and ischemic events at 6 months</w:t>
            </w:r>
          </w:p>
        </w:tc>
      </w:tr>
      <w:tr w:rsidR="00867B82" w:rsidRPr="003F51BF" w:rsidTr="00867B82">
        <w:trPr>
          <w:trHeight w:val="45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B82" w:rsidRPr="003F51BF" w:rsidRDefault="00867B82" w:rsidP="00867B82">
            <w:pPr>
              <w:pStyle w:val="Body"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Chandrasekhar (2017)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B82" w:rsidRPr="003F51BF" w:rsidRDefault="00867B82" w:rsidP="00867B82">
            <w:pPr>
              <w:pStyle w:val="Defaul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pt-PT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  <w:lang w:val="pt-PT"/>
              </w:rPr>
              <w:t>Cardiovascular mortality</w:t>
            </w:r>
          </w:p>
          <w:p w:rsidR="00867B82" w:rsidRPr="003F51BF" w:rsidRDefault="00867B82" w:rsidP="00867B82">
            <w:pPr>
              <w:pStyle w:val="Defaul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it-IT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  <w:lang w:val="it-IT"/>
              </w:rPr>
              <w:t>Non-cardiovascular mortality</w:t>
            </w:r>
          </w:p>
          <w:p w:rsidR="00867B82" w:rsidRPr="003F51BF" w:rsidRDefault="00867B82" w:rsidP="00867B82">
            <w:pPr>
              <w:pStyle w:val="Defaul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Any death in which the primary cause of death is clearly related to another condition (e.g. trauma, cancer, suicide)</w:t>
            </w:r>
          </w:p>
          <w:p w:rsidR="00867B82" w:rsidRPr="003F51BF" w:rsidRDefault="00867B82" w:rsidP="00867B82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 Any one of the following criteria :</w:t>
            </w:r>
          </w:p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- Detection of rise and/or fall of cardiac biomarkers (preferably troponin) with at least one value above the 99th percentile URL, together with the evidence of myocardial ischemia with at least one of the following:</w:t>
            </w:r>
          </w:p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    * Symptoms of ischemia</w:t>
            </w:r>
          </w:p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    * ECG changes indicative of new ischemia [new ST-T changes or new left bundle branch block (LBBB)]</w:t>
            </w:r>
          </w:p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   * New pathological Q-waves in at least two contiguous leads    Imaging evidence of a new loss of viable myocardium or new wall</w:t>
            </w:r>
          </w:p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motion abnormality</w:t>
            </w:r>
          </w:p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- Sudden, unexpected cardiac death, involving cardiac arrest, often with symptoms suggestive of myocardial ischemia, and accompanied by presumably new ST elevation, or new LBBB, and/ or evidence of fresh thrombus by coronary angiography and/or at autopsy, but death occurring before blood samples could be obtained, or at a time before the appearance of cardiac biomarkers in the blood.</w:t>
            </w:r>
          </w:p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  <w:p w:rsidR="00867B82" w:rsidRPr="003F51BF" w:rsidRDefault="00867B82" w:rsidP="00867B82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/>
                <w:color w:val="000000" w:themeColor="text1"/>
                <w:sz w:val="20"/>
                <w:szCs w:val="20"/>
              </w:rPr>
              <w:t>- Pathological findings of an acute myocardial infarction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B82" w:rsidRPr="003F51BF" w:rsidRDefault="00867B82" w:rsidP="00867B82">
            <w:pPr>
              <w:rPr>
                <w:rFonts w:ascii="Calibri" w:hAnsi="Calibri"/>
                <w:sz w:val="20"/>
                <w:szCs w:val="20"/>
              </w:rPr>
            </w:pPr>
            <w:r w:rsidRPr="003F51BF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- Duration of a focal or global neurological deficit &gt;24 h; OR &lt;24 h if available neuroimaging documents a new </w:t>
            </w:r>
            <w:proofErr w:type="spellStart"/>
            <w:r w:rsidRPr="003F51BF">
              <w:rPr>
                <w:rFonts w:ascii="Calibri" w:hAnsi="Calibri"/>
                <w:color w:val="000000" w:themeColor="text1"/>
                <w:sz w:val="20"/>
                <w:szCs w:val="20"/>
              </w:rPr>
              <w:t>haemorrhage</w:t>
            </w:r>
            <w:proofErr w:type="spellEnd"/>
            <w:r w:rsidRPr="003F51BF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or infarct; OR the neurological deficit results in death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B82" w:rsidRPr="003F51BF" w:rsidRDefault="00867B82" w:rsidP="00867B82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Major Bleeding:  Overt bleeding either associated with a drop in the hemoglobin level of at least 3.0 g/dl or requiring transfusion of two or three units of whole blood/RBC, or causing hospitalization or permanent injury, or requiring surgery AND does not meet criteria of life-threatening or disabling bleeding</w:t>
            </w:r>
          </w:p>
          <w:p w:rsidR="00867B82" w:rsidRPr="003F51BF" w:rsidRDefault="00867B82" w:rsidP="00867B82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-Lethal Bleeding: Fatal bleeding (BARC type 5) OR</w:t>
            </w:r>
          </w:p>
          <w:p w:rsidR="00867B82" w:rsidRPr="003F51BF" w:rsidRDefault="00867B82" w:rsidP="00867B82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 Bleeding in a critical organ, such as intracranial, </w:t>
            </w:r>
            <w:proofErr w:type="spellStart"/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intraspinal</w:t>
            </w:r>
            <w:proofErr w:type="spellEnd"/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, intraocular, or pericardial necessitating </w:t>
            </w:r>
            <w:proofErr w:type="spellStart"/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pericardiocentesis</w:t>
            </w:r>
            <w:proofErr w:type="spellEnd"/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, or intramuscular with compartment syndrome (BARC type 3b and 3c) OR</w:t>
            </w:r>
          </w:p>
          <w:p w:rsidR="00867B82" w:rsidRPr="003F51BF" w:rsidRDefault="00867B82" w:rsidP="00867B82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 Bleeding causing </w:t>
            </w:r>
            <w:proofErr w:type="spellStart"/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hypovolaemic</w:t>
            </w:r>
            <w:proofErr w:type="spellEnd"/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 shock or severe hypotension requiring vasopressors or surgery (BARC type 3b) OR</w:t>
            </w:r>
          </w:p>
          <w:p w:rsidR="00867B82" w:rsidRPr="003F51BF" w:rsidRDefault="00867B82" w:rsidP="00867B82">
            <w:pPr>
              <w:rPr>
                <w:rFonts w:ascii="Calibri" w:hAnsi="Calibri"/>
                <w:sz w:val="20"/>
                <w:szCs w:val="20"/>
              </w:rPr>
            </w:pPr>
            <w:r w:rsidRPr="003F51BF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 Overt source of bleeding with drop in </w:t>
            </w:r>
            <w:proofErr w:type="spellStart"/>
            <w:r w:rsidRPr="003F51BF">
              <w:rPr>
                <w:rFonts w:ascii="Calibri" w:hAnsi="Calibri"/>
                <w:color w:val="000000" w:themeColor="text1"/>
                <w:sz w:val="20"/>
                <w:szCs w:val="20"/>
              </w:rPr>
              <w:t>haemoglobin</w:t>
            </w:r>
            <w:proofErr w:type="spellEnd"/>
            <w:r w:rsidRPr="003F51BF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&gt;5 g/</w:t>
            </w:r>
            <w:proofErr w:type="spellStart"/>
            <w:r w:rsidRPr="003F51BF">
              <w:rPr>
                <w:rFonts w:ascii="Calibri" w:hAnsi="Calibri"/>
                <w:color w:val="000000" w:themeColor="text1"/>
                <w:sz w:val="20"/>
                <w:szCs w:val="20"/>
              </w:rPr>
              <w:t>dL</w:t>
            </w:r>
            <w:proofErr w:type="spellEnd"/>
            <w:r w:rsidRPr="003F51BF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or whole blood or packed red blood cells (RBCs) transfusion &gt;4 units</w:t>
            </w:r>
            <w:r w:rsidRPr="003F51B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⁎</w:t>
            </w:r>
            <w:r w:rsidRPr="003F51BF">
              <w:rPr>
                <w:rFonts w:ascii="Calibri" w:hAnsi="Calibri"/>
                <w:color w:val="000000" w:themeColor="text1"/>
                <w:sz w:val="20"/>
                <w:szCs w:val="20"/>
              </w:rPr>
              <w:t>(BARC type 3b)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82" w:rsidRPr="003F51BF" w:rsidRDefault="00867B82" w:rsidP="00867B82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3F51BF">
              <w:rPr>
                <w:rFonts w:ascii="Calibri" w:hAnsi="Calibri"/>
                <w:noProof/>
                <w:sz w:val="20"/>
                <w:szCs w:val="20"/>
              </w:rPr>
              <w:t>The primary endpoint was 30-day valve academic research consrotium (VARC2) composite endpoint of death, stroke, major vascular complication, life-threatining bleeding, stage 2/3 acute kidney injury, coronary obstruction or valve related re-intervention</w:t>
            </w:r>
          </w:p>
          <w:p w:rsidR="00867B82" w:rsidRPr="003F51BF" w:rsidRDefault="00867B82" w:rsidP="00867B82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:rsidR="00867B82" w:rsidRPr="003F51BF" w:rsidRDefault="00867B82" w:rsidP="00867B82">
            <w:pPr>
              <w:rPr>
                <w:rFonts w:ascii="Calibri" w:hAnsi="Calibri"/>
                <w:sz w:val="20"/>
                <w:szCs w:val="20"/>
              </w:rPr>
            </w:pPr>
            <w:r w:rsidRPr="003F51BF">
              <w:rPr>
                <w:rFonts w:ascii="Calibri" w:hAnsi="Calibri"/>
                <w:noProof/>
                <w:sz w:val="20"/>
                <w:szCs w:val="20"/>
              </w:rPr>
              <w:t>Secondary endpoints were individual outcomes of death, major vascular complication and BARC major bleeding at 30 days.</w:t>
            </w:r>
          </w:p>
        </w:tc>
      </w:tr>
      <w:tr w:rsidR="00867B82" w:rsidRPr="003F51BF" w:rsidTr="00867B82">
        <w:trPr>
          <w:trHeight w:val="45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B82" w:rsidRPr="003F51BF" w:rsidRDefault="00867B82" w:rsidP="00867B82">
            <w:pPr>
              <w:pStyle w:val="Body"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Sherwood (2015)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B82" w:rsidRPr="003F51BF" w:rsidRDefault="00867B82" w:rsidP="00867B82">
            <w:pPr>
              <w:rPr>
                <w:rFonts w:ascii="Calibri" w:hAnsi="Calibri"/>
                <w:sz w:val="20"/>
                <w:szCs w:val="20"/>
              </w:rPr>
            </w:pPr>
            <w:r w:rsidRPr="003F51BF">
              <w:rPr>
                <w:rFonts w:ascii="Calibri" w:hAnsi="Calibri"/>
                <w:color w:val="000000" w:themeColor="text1"/>
                <w:sz w:val="20"/>
                <w:szCs w:val="20"/>
              </w:rPr>
              <w:t>Unavailable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B82" w:rsidRPr="003F51BF" w:rsidRDefault="00867B82" w:rsidP="00867B82">
            <w:pPr>
              <w:rPr>
                <w:rFonts w:ascii="Calibri" w:hAnsi="Calibri"/>
                <w:sz w:val="20"/>
                <w:szCs w:val="20"/>
              </w:rPr>
            </w:pPr>
            <w:r w:rsidRPr="003F51BF">
              <w:rPr>
                <w:rFonts w:ascii="Calibri" w:hAnsi="Calibri"/>
                <w:color w:val="000000" w:themeColor="text1"/>
                <w:sz w:val="20"/>
                <w:szCs w:val="20"/>
              </w:rPr>
              <w:t>Unavailable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B82" w:rsidRPr="003F51BF" w:rsidRDefault="00867B82" w:rsidP="00867B82">
            <w:pPr>
              <w:rPr>
                <w:rFonts w:ascii="Calibri" w:hAnsi="Calibri"/>
                <w:sz w:val="20"/>
                <w:szCs w:val="20"/>
              </w:rPr>
            </w:pPr>
            <w:r w:rsidRPr="003F51BF">
              <w:rPr>
                <w:rFonts w:ascii="Calibri" w:hAnsi="Calibri"/>
                <w:color w:val="000000" w:themeColor="text1"/>
                <w:sz w:val="20"/>
                <w:szCs w:val="20"/>
              </w:rPr>
              <w:t>Unavailable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B82" w:rsidRPr="003F51BF" w:rsidRDefault="00867B82" w:rsidP="00867B82">
            <w:pPr>
              <w:rPr>
                <w:rFonts w:ascii="Calibri" w:hAnsi="Calibri"/>
                <w:sz w:val="20"/>
                <w:szCs w:val="20"/>
              </w:rPr>
            </w:pPr>
            <w:r w:rsidRPr="003F51BF">
              <w:rPr>
                <w:rFonts w:ascii="Calibri" w:hAnsi="Calibri"/>
                <w:color w:val="000000" w:themeColor="text1"/>
                <w:sz w:val="20"/>
                <w:szCs w:val="20"/>
              </w:rPr>
              <w:t>Unavailable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82" w:rsidRPr="003F51BF" w:rsidRDefault="00867B82" w:rsidP="00867B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3F51BF">
              <w:rPr>
                <w:rFonts w:ascii="Calibri" w:hAnsi="Calibri"/>
                <w:sz w:val="20"/>
                <w:szCs w:val="20"/>
              </w:rPr>
              <w:t>Death, bleeding, and stroke at 1 year of follow up.</w:t>
            </w:r>
          </w:p>
        </w:tc>
      </w:tr>
      <w:tr w:rsidR="00867B82" w:rsidRPr="003F51BF" w:rsidTr="00867B82">
        <w:trPr>
          <w:trHeight w:val="489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B82" w:rsidRPr="003F51BF" w:rsidRDefault="00867B82" w:rsidP="00867B82">
            <w:pPr>
              <w:pStyle w:val="Body"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F51B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Hioki</w:t>
            </w:r>
            <w:proofErr w:type="spellEnd"/>
            <w:r w:rsidRPr="003F51B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(2016)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B82" w:rsidRPr="003F51BF" w:rsidRDefault="00867B82" w:rsidP="00867B82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-Cardiovascular mortality</w:t>
            </w:r>
          </w:p>
          <w:p w:rsidR="00867B82" w:rsidRPr="003F51BF" w:rsidRDefault="00867B82" w:rsidP="00867B82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-Non-cardiovascular mortality</w:t>
            </w:r>
          </w:p>
          <w:p w:rsidR="00867B82" w:rsidRPr="003F51BF" w:rsidRDefault="00867B82" w:rsidP="00867B82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-Any death in which the primary cause of death is clearly related to another condition (e.g. trauma, cancer, suicide)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B82" w:rsidRPr="003F51BF" w:rsidRDefault="00867B82" w:rsidP="00867B82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Any one of the following criteria :</w:t>
            </w:r>
          </w:p>
          <w:p w:rsidR="00867B82" w:rsidRPr="003F51BF" w:rsidRDefault="00867B82" w:rsidP="00867B82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- Detection of rise and/or fall of cardiac biomarkers (preferably troponin) with at least one value above the 99th percentile URL, together with the evidence of myocardial ischemia with at least one of the following:</w:t>
            </w:r>
          </w:p>
          <w:p w:rsidR="00867B82" w:rsidRPr="003F51BF" w:rsidRDefault="00867B82" w:rsidP="00867B82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    * Symptoms of ischemia</w:t>
            </w:r>
          </w:p>
          <w:p w:rsidR="00867B82" w:rsidRPr="003F51BF" w:rsidRDefault="00867B82" w:rsidP="00867B82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    * ECG changes indicative of new ischemia [new ST-T changes or new left bundle branch block (LBBB)]</w:t>
            </w:r>
          </w:p>
          <w:p w:rsidR="001E4B48" w:rsidRPr="003F51BF" w:rsidRDefault="00867B82" w:rsidP="00867B82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   * New pathological Q-waves i</w:t>
            </w:r>
            <w:r w:rsidR="001E4B48"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n at least two contiguous leads </w:t>
            </w:r>
          </w:p>
          <w:p w:rsidR="00867B82" w:rsidRPr="003F51BF" w:rsidRDefault="001E4B48" w:rsidP="00867B82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-</w:t>
            </w:r>
            <w:r w:rsidR="00867B82"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Imaging evidence of a new loss of viable myocardium or new wall</w:t>
            </w:r>
          </w:p>
          <w:p w:rsidR="00867B82" w:rsidRPr="003F51BF" w:rsidRDefault="00867B82" w:rsidP="00867B82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motion abnormality</w:t>
            </w:r>
          </w:p>
          <w:p w:rsidR="00867B82" w:rsidRPr="003F51BF" w:rsidRDefault="00867B82" w:rsidP="00867B82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- Sudden, unexpected cardiac death, involving cardiac arrest, often with symptoms suggestive of myocardial ischemia, and accompanied by presumably new ST elevation, or new LBBB, and/ or evidence of fresh thrombus by coronary angiography and/or at autopsy, but death occurring before blood samples could be obtained, or at a time before the appearance of cardiac biomarkers in the blood.</w:t>
            </w:r>
          </w:p>
          <w:p w:rsidR="00867B82" w:rsidRPr="003F51BF" w:rsidRDefault="00867B82" w:rsidP="00867B82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- Pathological findings of an acute myocardial infarction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Duration of a focal or global neurological deficit &gt;24 h; OR &lt;24 h if available neuroimaging documents a new </w:t>
            </w:r>
            <w:proofErr w:type="spellStart"/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haemorrhage</w:t>
            </w:r>
            <w:proofErr w:type="spellEnd"/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 or infarct; OR the neurological deficit results in death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B82" w:rsidRPr="003F51BF" w:rsidRDefault="00867B82" w:rsidP="00867B82">
            <w:pPr>
              <w:rPr>
                <w:rFonts w:ascii="Calibri" w:eastAsia="Times New Roman" w:hAnsi="Calibri"/>
                <w:color w:val="000000" w:themeColor="text1"/>
                <w:sz w:val="20"/>
                <w:szCs w:val="20"/>
                <w:u w:color="000000"/>
              </w:rPr>
            </w:pPr>
            <w:r w:rsidRPr="003F51BF">
              <w:rPr>
                <w:rFonts w:ascii="Calibri" w:eastAsia="Calibri" w:hAnsi="Calibri"/>
                <w:color w:val="000000" w:themeColor="text1"/>
                <w:sz w:val="20"/>
                <w:szCs w:val="20"/>
                <w:u w:color="000000"/>
              </w:rPr>
              <w:t>-Major Bleeding:  Overt bleeding either associated with a drop in the hemoglobin level of at least 3.0 g/dl or requiring transfusion of two or three units of whole blood/RBC, or causing hospitalization or permanent injury, or requiring surgery AND does not meet criteria of life-threatening or disabling bleeding</w:t>
            </w:r>
          </w:p>
          <w:p w:rsidR="00867B82" w:rsidRPr="003F51BF" w:rsidRDefault="00867B82" w:rsidP="00867B82">
            <w:pPr>
              <w:rPr>
                <w:rFonts w:ascii="Calibri" w:eastAsia="Times New Roman" w:hAnsi="Calibri"/>
                <w:color w:val="000000" w:themeColor="text1"/>
                <w:sz w:val="20"/>
                <w:szCs w:val="20"/>
                <w:u w:color="000000"/>
              </w:rPr>
            </w:pPr>
            <w:r w:rsidRPr="003F51BF">
              <w:rPr>
                <w:rFonts w:ascii="Calibri" w:eastAsia="Calibri" w:hAnsi="Calibri"/>
                <w:color w:val="000000" w:themeColor="text1"/>
                <w:sz w:val="20"/>
                <w:szCs w:val="20"/>
                <w:u w:color="000000"/>
              </w:rPr>
              <w:t xml:space="preserve">-Lethal Bleeding: </w:t>
            </w:r>
            <w:r w:rsidRPr="003F51BF">
              <w:rPr>
                <w:rFonts w:ascii="Calibri" w:eastAsia="Calibri" w:hAnsi="Calibri"/>
                <w:color w:val="000000" w:themeColor="text1"/>
                <w:sz w:val="20"/>
                <w:szCs w:val="20"/>
                <w:u w:color="000000"/>
                <w:lang w:val="nl-NL"/>
              </w:rPr>
              <w:t>Fatal bleeding</w:t>
            </w:r>
            <w:r w:rsidRPr="003F51BF">
              <w:rPr>
                <w:rFonts w:ascii="Calibri" w:eastAsia="Calibri" w:hAnsi="Calibri"/>
                <w:color w:val="000000" w:themeColor="text1"/>
                <w:sz w:val="20"/>
                <w:szCs w:val="20"/>
                <w:u w:color="000000"/>
              </w:rPr>
              <w:t> (BARC type 5) OR</w:t>
            </w:r>
          </w:p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 Bleeding in a critical organ, such as intracranial, </w:t>
            </w:r>
            <w:proofErr w:type="spellStart"/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intraspinal</w:t>
            </w:r>
            <w:proofErr w:type="spellEnd"/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, intraocular, or pericardial necessitating </w:t>
            </w:r>
            <w:proofErr w:type="spellStart"/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pericardiocentesis</w:t>
            </w:r>
            <w:proofErr w:type="spellEnd"/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, or intramuscular with compartment syndrome (BARC type 3b and 3c) OR</w:t>
            </w:r>
          </w:p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 Bleeding causing </w:t>
            </w:r>
            <w:proofErr w:type="spellStart"/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hypovolaemic</w:t>
            </w:r>
            <w:proofErr w:type="spellEnd"/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 shock or severe hypotension requiring vasopressors or surgery (BARC type 3b) OR</w:t>
            </w:r>
          </w:p>
          <w:p w:rsidR="00867B82" w:rsidRPr="003F51BF" w:rsidRDefault="00867B82" w:rsidP="00867B82">
            <w:pPr>
              <w:pStyle w:val="Defaul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 Overt source of bleeding with drop in </w:t>
            </w:r>
            <w:proofErr w:type="spellStart"/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haemoglobin</w:t>
            </w:r>
            <w:proofErr w:type="spellEnd"/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 &gt;5 g/</w:t>
            </w:r>
            <w:proofErr w:type="spellStart"/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dL</w:t>
            </w:r>
            <w:proofErr w:type="spellEnd"/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 or whole blood or packed red blood cells (RBCs) transfusion &gt;4 units</w:t>
            </w:r>
            <w:r w:rsidR="001E4B48" w:rsidRPr="003F51BF">
              <w:rPr>
                <w:rFonts w:ascii="Calibri" w:eastAsia="Arial Unicode MS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F51B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(BARC type 3b)</w:t>
            </w:r>
          </w:p>
          <w:p w:rsidR="00867B82" w:rsidRPr="003F51BF" w:rsidRDefault="00867B82" w:rsidP="00867B82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82" w:rsidRPr="003F51BF" w:rsidRDefault="00867B82" w:rsidP="00867B82">
            <w:pPr>
              <w:pStyle w:val="Body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51BF">
              <w:rPr>
                <w:rFonts w:cs="Times New Roman"/>
                <w:sz w:val="20"/>
                <w:szCs w:val="20"/>
                <w:lang w:val="en-US"/>
              </w:rPr>
              <w:t xml:space="preserve">Primary endpoints: 1. Bleeding, including life-threatening, major, minor, and any bleeding, which was defined as the composite endpoint of life-threatening, major, and minor bleeding; 2.  transfusion; 3. all-cause death; 4 myocardial infarction (MI); 5. </w:t>
            </w:r>
            <w:proofErr w:type="gramStart"/>
            <w:r w:rsidRPr="003F51BF">
              <w:rPr>
                <w:rFonts w:cs="Times New Roman"/>
                <w:sz w:val="20"/>
                <w:szCs w:val="20"/>
                <w:lang w:val="en-US"/>
              </w:rPr>
              <w:t>stroke</w:t>
            </w:r>
            <w:proofErr w:type="gramEnd"/>
            <w:r w:rsidRPr="003F51BF">
              <w:rPr>
                <w:rFonts w:cs="Times New Roman"/>
                <w:sz w:val="20"/>
                <w:szCs w:val="20"/>
                <w:lang w:val="en-US"/>
              </w:rPr>
              <w:t>; and 6. valve thrombosis, during hospitalization</w:t>
            </w:r>
          </w:p>
        </w:tc>
      </w:tr>
    </w:tbl>
    <w:p w:rsidR="00A43861" w:rsidRPr="003F51BF" w:rsidRDefault="00106A9B">
      <w:pPr>
        <w:pStyle w:val="Body"/>
        <w:rPr>
          <w:sz w:val="18"/>
          <w:szCs w:val="18"/>
        </w:rPr>
      </w:pPr>
      <w:r w:rsidRPr="003F51BF">
        <w:rPr>
          <w:sz w:val="18"/>
          <w:szCs w:val="18"/>
        </w:rPr>
        <w:t xml:space="preserve">MI = </w:t>
      </w:r>
      <w:proofErr w:type="spellStart"/>
      <w:r w:rsidRPr="003F51BF">
        <w:rPr>
          <w:sz w:val="18"/>
          <w:szCs w:val="18"/>
        </w:rPr>
        <w:t>Myocardial</w:t>
      </w:r>
      <w:proofErr w:type="spellEnd"/>
      <w:r w:rsidRPr="003F51BF">
        <w:rPr>
          <w:sz w:val="18"/>
          <w:szCs w:val="18"/>
        </w:rPr>
        <w:t xml:space="preserve"> </w:t>
      </w:r>
      <w:proofErr w:type="spellStart"/>
      <w:r w:rsidRPr="003F51BF">
        <w:rPr>
          <w:sz w:val="18"/>
          <w:szCs w:val="18"/>
        </w:rPr>
        <w:t>infarction</w:t>
      </w:r>
      <w:proofErr w:type="spellEnd"/>
      <w:r w:rsidRPr="003F51BF">
        <w:rPr>
          <w:sz w:val="18"/>
          <w:szCs w:val="18"/>
        </w:rPr>
        <w:t xml:space="preserve">, TIA= </w:t>
      </w:r>
      <w:proofErr w:type="spellStart"/>
      <w:r w:rsidRPr="003F51BF">
        <w:rPr>
          <w:sz w:val="18"/>
          <w:szCs w:val="18"/>
        </w:rPr>
        <w:t>Transient</w:t>
      </w:r>
      <w:proofErr w:type="spellEnd"/>
      <w:r w:rsidRPr="003F51BF">
        <w:rPr>
          <w:sz w:val="18"/>
          <w:szCs w:val="18"/>
        </w:rPr>
        <w:t xml:space="preserve"> </w:t>
      </w:r>
      <w:proofErr w:type="spellStart"/>
      <w:r w:rsidRPr="003F51BF">
        <w:rPr>
          <w:sz w:val="18"/>
          <w:szCs w:val="18"/>
        </w:rPr>
        <w:t>ischemic</w:t>
      </w:r>
      <w:proofErr w:type="spellEnd"/>
      <w:r w:rsidRPr="003F51BF">
        <w:rPr>
          <w:sz w:val="18"/>
          <w:szCs w:val="18"/>
        </w:rPr>
        <w:t xml:space="preserve"> </w:t>
      </w:r>
      <w:proofErr w:type="spellStart"/>
      <w:r w:rsidRPr="003F51BF">
        <w:rPr>
          <w:sz w:val="18"/>
          <w:szCs w:val="18"/>
        </w:rPr>
        <w:t>attack</w:t>
      </w:r>
      <w:proofErr w:type="spellEnd"/>
      <w:r w:rsidRPr="003F51BF">
        <w:rPr>
          <w:sz w:val="18"/>
          <w:szCs w:val="18"/>
        </w:rPr>
        <w:t xml:space="preserve">, CVA= </w:t>
      </w:r>
      <w:proofErr w:type="spellStart"/>
      <w:r w:rsidRPr="003F51BF">
        <w:rPr>
          <w:sz w:val="18"/>
          <w:szCs w:val="18"/>
        </w:rPr>
        <w:t>cerebrovascular</w:t>
      </w:r>
      <w:proofErr w:type="spellEnd"/>
      <w:r w:rsidRPr="003F51BF">
        <w:rPr>
          <w:sz w:val="18"/>
          <w:szCs w:val="18"/>
        </w:rPr>
        <w:t xml:space="preserve"> accident, H= </w:t>
      </w:r>
      <w:proofErr w:type="spellStart"/>
      <w:r w:rsidRPr="003F51BF">
        <w:rPr>
          <w:sz w:val="18"/>
          <w:szCs w:val="18"/>
        </w:rPr>
        <w:t>hour</w:t>
      </w:r>
      <w:proofErr w:type="spellEnd"/>
      <w:r w:rsidRPr="003F51BF">
        <w:rPr>
          <w:sz w:val="18"/>
          <w:szCs w:val="18"/>
        </w:rPr>
        <w:t xml:space="preserve">, </w:t>
      </w:r>
      <w:r w:rsidR="00FE66E3" w:rsidRPr="003F51BF">
        <w:rPr>
          <w:sz w:val="18"/>
          <w:szCs w:val="18"/>
        </w:rPr>
        <w:t xml:space="preserve">VARC= </w:t>
      </w:r>
      <w:r w:rsidR="00FE66E3" w:rsidRPr="003F51BF">
        <w:rPr>
          <w:noProof/>
          <w:sz w:val="20"/>
          <w:szCs w:val="20"/>
        </w:rPr>
        <w:t>valve academic research consrotium, BARC= Bleeding academic research consrotium.</w:t>
      </w:r>
    </w:p>
    <w:p w:rsidR="00A43861" w:rsidRPr="003F51BF" w:rsidRDefault="00A43861">
      <w:pPr>
        <w:pStyle w:val="Body"/>
        <w:rPr>
          <w:sz w:val="18"/>
          <w:szCs w:val="18"/>
        </w:rPr>
      </w:pPr>
    </w:p>
    <w:p w:rsidR="001235DC" w:rsidRPr="003F51BF" w:rsidRDefault="001235DC">
      <w:pPr>
        <w:pStyle w:val="Body"/>
        <w:rPr>
          <w:sz w:val="18"/>
          <w:szCs w:val="18"/>
        </w:rPr>
      </w:pPr>
    </w:p>
    <w:p w:rsidR="00E30EFB" w:rsidRDefault="00E30EFB">
      <w:pPr>
        <w:pStyle w:val="Body"/>
        <w:jc w:val="both"/>
        <w:rPr>
          <w:b/>
          <w:bCs/>
          <w:sz w:val="18"/>
          <w:szCs w:val="18"/>
        </w:rPr>
      </w:pPr>
    </w:p>
    <w:p w:rsidR="00A43861" w:rsidRPr="003F51BF" w:rsidRDefault="00F04AAF">
      <w:pPr>
        <w:pStyle w:val="Body"/>
        <w:jc w:val="both"/>
        <w:rPr>
          <w:rFonts w:eastAsia="Arial" w:cs="Arial"/>
          <w:sz w:val="18"/>
          <w:szCs w:val="18"/>
        </w:rPr>
      </w:pPr>
      <w:r w:rsidRPr="003F51BF">
        <w:rPr>
          <w:b/>
          <w:bCs/>
          <w:sz w:val="18"/>
          <w:szCs w:val="18"/>
        </w:rPr>
        <w:lastRenderedPageBreak/>
        <w:t xml:space="preserve">Table </w:t>
      </w:r>
      <w:proofErr w:type="gramStart"/>
      <w:r w:rsidRPr="003F51BF">
        <w:rPr>
          <w:b/>
          <w:bCs/>
          <w:sz w:val="18"/>
          <w:szCs w:val="18"/>
        </w:rPr>
        <w:t>S2a</w:t>
      </w:r>
      <w:r w:rsidRPr="003F51BF">
        <w:rPr>
          <w:sz w:val="18"/>
          <w:szCs w:val="18"/>
          <w:lang w:val="en-US"/>
        </w:rPr>
        <w:t>:</w:t>
      </w:r>
      <w:proofErr w:type="gramEnd"/>
      <w:r w:rsidRPr="003F51BF">
        <w:rPr>
          <w:sz w:val="18"/>
          <w:szCs w:val="18"/>
          <w:lang w:val="en-US"/>
        </w:rPr>
        <w:t xml:space="preserve"> </w:t>
      </w:r>
      <w:r w:rsidRPr="0040577D">
        <w:rPr>
          <w:b/>
          <w:bCs/>
          <w:sz w:val="18"/>
          <w:szCs w:val="18"/>
          <w:lang w:val="en-US"/>
        </w:rPr>
        <w:t xml:space="preserve">Newcastle-Ottawa Quality Assessment Scale for Cohort Studies </w:t>
      </w:r>
    </w:p>
    <w:tbl>
      <w:tblPr>
        <w:tblW w:w="1397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412"/>
        <w:gridCol w:w="1281"/>
        <w:gridCol w:w="1346"/>
        <w:gridCol w:w="1391"/>
        <w:gridCol w:w="1121"/>
        <w:gridCol w:w="1422"/>
        <w:gridCol w:w="1422"/>
        <w:gridCol w:w="1422"/>
        <w:gridCol w:w="1579"/>
        <w:gridCol w:w="1579"/>
      </w:tblGrid>
      <w:tr w:rsidR="00A43861" w:rsidRPr="003F51BF">
        <w:trPr>
          <w:trHeight w:val="965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A4386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before="80" w:after="80"/>
              <w:jc w:val="center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>Representativeness of the Exposed Cohort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before="80" w:after="80"/>
              <w:jc w:val="center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 xml:space="preserve">Selection of the </w:t>
            </w:r>
            <w:proofErr w:type="spellStart"/>
            <w:r w:rsidRPr="003F51BF">
              <w:rPr>
                <w:b/>
                <w:bCs/>
                <w:sz w:val="18"/>
                <w:szCs w:val="18"/>
                <w:lang w:val="en-US"/>
              </w:rPr>
              <w:t>Nonexposed</w:t>
            </w:r>
            <w:proofErr w:type="spellEnd"/>
            <w:r w:rsidRPr="003F51BF">
              <w:rPr>
                <w:b/>
                <w:bCs/>
                <w:sz w:val="18"/>
                <w:szCs w:val="18"/>
                <w:lang w:val="en-US"/>
              </w:rPr>
              <w:t xml:space="preserve"> Cohort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before="80" w:after="80"/>
              <w:jc w:val="center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>Ascertainment of the Exposure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before="80" w:after="80"/>
              <w:jc w:val="center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>Outcome of study not present at start of study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before="80" w:after="80"/>
              <w:jc w:val="center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>Comparability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before="80" w:after="80"/>
              <w:jc w:val="center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>Assessment of Outcome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before="80" w:after="80"/>
              <w:jc w:val="center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>Adequacy of duration of Follow-up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before="80" w:after="80"/>
              <w:jc w:val="center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>Adequacy of completeness of Follow-up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u w:color="000000"/>
              </w:rPr>
              <w:t>Total Score</w:t>
            </w:r>
          </w:p>
        </w:tc>
      </w:tr>
      <w:tr w:rsidR="00A43861" w:rsidRPr="003F51BF">
        <w:trPr>
          <w:trHeight w:val="1870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861" w:rsidRPr="003F51BF" w:rsidRDefault="00F04AAF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Acceptable *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Default"/>
              <w:spacing w:line="280" w:lineRule="atLeast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hAnsi="Calibri"/>
                <w:sz w:val="18"/>
                <w:szCs w:val="18"/>
              </w:rPr>
              <w:t xml:space="preserve">Representative of average adult in community (age/sex/being at risk of disease)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Default"/>
              <w:spacing w:line="280" w:lineRule="atLeast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hAnsi="Calibri"/>
                <w:sz w:val="18"/>
                <w:szCs w:val="18"/>
              </w:rPr>
              <w:t>Drawn from same community as exposed cohort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Default"/>
              <w:spacing w:line="280" w:lineRule="atLeast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hAnsi="Calibri"/>
                <w:sz w:val="18"/>
                <w:szCs w:val="18"/>
              </w:rPr>
              <w:t xml:space="preserve">Secured records, Structured interview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A4386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at least age and sex</w:t>
            </w:r>
          </w:p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3 more additional factors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 xml:space="preserve">Independent blind assessment, record linkage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6 month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Default"/>
              <w:spacing w:line="280" w:lineRule="atLeast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hAnsi="Calibri"/>
                <w:sz w:val="18"/>
                <w:szCs w:val="18"/>
              </w:rPr>
              <w:t xml:space="preserve">Complete follow-up, or subjects lost to follow-up unlikely to introduce bias 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Max= 9</w:t>
            </w:r>
          </w:p>
        </w:tc>
      </w:tr>
      <w:tr w:rsidR="00A43861" w:rsidRPr="003F51BF">
        <w:trPr>
          <w:trHeight w:val="472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861" w:rsidRPr="003F51BF" w:rsidRDefault="00F04AAF">
            <w:pPr>
              <w:pStyle w:val="Body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Stabile (2014)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-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-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-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-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-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-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-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-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-</w:t>
            </w:r>
          </w:p>
        </w:tc>
        <w:bookmarkStart w:id="0" w:name="_GoBack"/>
        <w:bookmarkEnd w:id="0"/>
      </w:tr>
      <w:tr w:rsidR="00A43861" w:rsidRPr="003F51BF">
        <w:trPr>
          <w:trHeight w:val="235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861" w:rsidRPr="003F51BF" w:rsidRDefault="00F04AAF">
            <w:pPr>
              <w:pStyle w:val="Body"/>
              <w:rPr>
                <w:sz w:val="18"/>
                <w:szCs w:val="18"/>
              </w:rPr>
            </w:pPr>
            <w:proofErr w:type="spellStart"/>
            <w:r w:rsidRPr="003F51BF">
              <w:rPr>
                <w:sz w:val="18"/>
                <w:szCs w:val="18"/>
                <w:lang w:val="en-US"/>
              </w:rPr>
              <w:t>Ussia</w:t>
            </w:r>
            <w:proofErr w:type="spellEnd"/>
            <w:r w:rsidRPr="003F51BF">
              <w:rPr>
                <w:sz w:val="18"/>
                <w:szCs w:val="18"/>
                <w:lang w:val="en-US"/>
              </w:rPr>
              <w:t xml:space="preserve"> (2011)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-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-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-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-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-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-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-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-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-</w:t>
            </w:r>
          </w:p>
        </w:tc>
      </w:tr>
      <w:tr w:rsidR="00A43861" w:rsidRPr="003F51BF">
        <w:trPr>
          <w:trHeight w:val="472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861" w:rsidRPr="003F51BF" w:rsidRDefault="00F04AAF">
            <w:pPr>
              <w:pStyle w:val="Body"/>
              <w:rPr>
                <w:sz w:val="18"/>
                <w:szCs w:val="18"/>
              </w:rPr>
            </w:pPr>
            <w:proofErr w:type="spellStart"/>
            <w:r w:rsidRPr="003F51BF">
              <w:rPr>
                <w:sz w:val="18"/>
                <w:szCs w:val="18"/>
                <w:lang w:val="en-US"/>
              </w:rPr>
              <w:t>Rodes-Cabau</w:t>
            </w:r>
            <w:proofErr w:type="spellEnd"/>
            <w:r w:rsidRPr="003F51BF">
              <w:rPr>
                <w:sz w:val="18"/>
                <w:szCs w:val="18"/>
                <w:lang w:val="en-US"/>
              </w:rPr>
              <w:t xml:space="preserve"> (2017)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-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-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-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-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-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-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-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-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-</w:t>
            </w:r>
          </w:p>
        </w:tc>
      </w:tr>
      <w:tr w:rsidR="00A43861" w:rsidRPr="003F51BF">
        <w:trPr>
          <w:trHeight w:val="472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861" w:rsidRPr="003F51BF" w:rsidRDefault="00F04AAF">
            <w:pPr>
              <w:pStyle w:val="Body"/>
              <w:rPr>
                <w:sz w:val="18"/>
                <w:szCs w:val="18"/>
              </w:rPr>
            </w:pPr>
            <w:proofErr w:type="spellStart"/>
            <w:r w:rsidRPr="003F51BF">
              <w:rPr>
                <w:sz w:val="18"/>
                <w:szCs w:val="18"/>
                <w:lang w:val="en-US"/>
              </w:rPr>
              <w:t>Poliacikova</w:t>
            </w:r>
            <w:proofErr w:type="spellEnd"/>
            <w:r w:rsidRPr="003F51BF">
              <w:rPr>
                <w:sz w:val="18"/>
                <w:szCs w:val="18"/>
                <w:lang w:val="en-US"/>
              </w:rPr>
              <w:t xml:space="preserve">  (2013)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*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*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*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*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**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-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*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*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8</w:t>
            </w:r>
          </w:p>
        </w:tc>
      </w:tr>
      <w:tr w:rsidR="00A43861" w:rsidRPr="003F51BF">
        <w:trPr>
          <w:trHeight w:val="472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861" w:rsidRPr="003F51BF" w:rsidRDefault="00F04AAF">
            <w:pPr>
              <w:pStyle w:val="Body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Durand (2014)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*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*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*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*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*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-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-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*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6</w:t>
            </w:r>
          </w:p>
        </w:tc>
      </w:tr>
      <w:tr w:rsidR="00A43861" w:rsidRPr="003F51BF">
        <w:trPr>
          <w:trHeight w:val="472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861" w:rsidRPr="003F51BF" w:rsidRDefault="00F04AAF">
            <w:pPr>
              <w:pStyle w:val="Body"/>
              <w:rPr>
                <w:sz w:val="18"/>
                <w:szCs w:val="18"/>
              </w:rPr>
            </w:pPr>
            <w:proofErr w:type="spellStart"/>
            <w:r w:rsidRPr="003F51BF">
              <w:rPr>
                <w:sz w:val="18"/>
                <w:szCs w:val="18"/>
                <w:lang w:val="en-US"/>
              </w:rPr>
              <w:t>Mangieri</w:t>
            </w:r>
            <w:proofErr w:type="spellEnd"/>
            <w:r w:rsidRPr="003F51BF">
              <w:rPr>
                <w:sz w:val="18"/>
                <w:szCs w:val="18"/>
                <w:lang w:val="en-US"/>
              </w:rPr>
              <w:t xml:space="preserve"> (2017)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*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*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*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*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*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*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*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*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8</w:t>
            </w:r>
          </w:p>
        </w:tc>
      </w:tr>
      <w:tr w:rsidR="00A43861" w:rsidRPr="003F51BF">
        <w:trPr>
          <w:trHeight w:val="472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861" w:rsidRPr="003F51BF" w:rsidRDefault="00F31403">
            <w:pPr>
              <w:pStyle w:val="Body"/>
              <w:rPr>
                <w:sz w:val="18"/>
                <w:szCs w:val="18"/>
              </w:rPr>
            </w:pPr>
            <w:proofErr w:type="spellStart"/>
            <w:r w:rsidRPr="003F51BF">
              <w:rPr>
                <w:sz w:val="18"/>
                <w:szCs w:val="18"/>
                <w:lang w:val="en-US"/>
              </w:rPr>
              <w:t>Ichibori</w:t>
            </w:r>
            <w:proofErr w:type="spellEnd"/>
            <w:r w:rsidR="00F04AAF" w:rsidRPr="003F51BF">
              <w:rPr>
                <w:sz w:val="18"/>
                <w:szCs w:val="18"/>
                <w:lang w:val="en-US"/>
              </w:rPr>
              <w:t xml:space="preserve"> (2017)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*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*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*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*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**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*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*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*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9</w:t>
            </w:r>
          </w:p>
        </w:tc>
      </w:tr>
      <w:tr w:rsidR="00A43861" w:rsidRPr="003F51BF">
        <w:trPr>
          <w:trHeight w:val="472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861" w:rsidRPr="003F51BF" w:rsidRDefault="00F04AAF">
            <w:pPr>
              <w:pStyle w:val="Body"/>
              <w:rPr>
                <w:sz w:val="18"/>
                <w:szCs w:val="18"/>
              </w:rPr>
            </w:pPr>
            <w:proofErr w:type="spellStart"/>
            <w:r w:rsidRPr="003F51BF">
              <w:rPr>
                <w:sz w:val="18"/>
                <w:szCs w:val="18"/>
                <w:lang w:val="en-US"/>
              </w:rPr>
              <w:t>D'ascenzo</w:t>
            </w:r>
            <w:proofErr w:type="spellEnd"/>
            <w:r w:rsidRPr="003F51BF">
              <w:rPr>
                <w:sz w:val="18"/>
                <w:szCs w:val="18"/>
                <w:lang w:val="en-US"/>
              </w:rPr>
              <w:t xml:space="preserve"> (2017)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*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*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*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*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*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*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*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*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8</w:t>
            </w:r>
          </w:p>
        </w:tc>
      </w:tr>
      <w:tr w:rsidR="00A43861" w:rsidRPr="003F51BF">
        <w:trPr>
          <w:trHeight w:val="710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861" w:rsidRPr="003F51BF" w:rsidRDefault="00F04AAF">
            <w:pPr>
              <w:pStyle w:val="Body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De La Torre Hernandez (2016)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1235DC" w:rsidP="0055261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1235DC" w:rsidP="0055261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1235DC" w:rsidP="0055261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1235DC" w:rsidP="0055261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1235DC" w:rsidP="0055261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1235DC" w:rsidP="0055261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1235DC" w:rsidP="0055261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1235DC" w:rsidP="0055261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1235DC" w:rsidP="0055261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A43861" w:rsidRPr="003F51BF">
        <w:trPr>
          <w:trHeight w:val="472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861" w:rsidRPr="003F51BF" w:rsidRDefault="00F04AAF">
            <w:pPr>
              <w:pStyle w:val="Body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lastRenderedPageBreak/>
              <w:t>Chandrasekhar (2017)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1235DC" w:rsidP="0055261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1235DC" w:rsidP="0055261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1235DC" w:rsidP="0055261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1235DC" w:rsidP="0055261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1235DC" w:rsidP="0055261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1235DC" w:rsidP="0055261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1235DC" w:rsidP="0055261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1235DC" w:rsidP="0055261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1235DC" w:rsidP="0055261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A43861" w:rsidRPr="003F51BF">
        <w:trPr>
          <w:trHeight w:val="472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861" w:rsidRPr="003F51BF" w:rsidRDefault="00F04AAF">
            <w:pPr>
              <w:pStyle w:val="Body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Sherwood (2015)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1235DC" w:rsidP="0055261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1235DC" w:rsidP="0055261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1235DC" w:rsidP="0055261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1235DC" w:rsidP="0055261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1235DC" w:rsidP="0055261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1235DC" w:rsidP="0055261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1235DC" w:rsidP="0055261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1235DC" w:rsidP="0055261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1235DC" w:rsidP="0055261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A43861" w:rsidRPr="003F51BF">
        <w:trPr>
          <w:trHeight w:val="215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861" w:rsidRPr="003F51BF" w:rsidRDefault="00F04AAF">
            <w:pPr>
              <w:pStyle w:val="Body"/>
              <w:rPr>
                <w:sz w:val="18"/>
                <w:szCs w:val="18"/>
              </w:rPr>
            </w:pPr>
            <w:proofErr w:type="spellStart"/>
            <w:r w:rsidRPr="003F51BF">
              <w:rPr>
                <w:sz w:val="18"/>
                <w:szCs w:val="18"/>
                <w:lang w:val="en-US"/>
              </w:rPr>
              <w:t>Hioki</w:t>
            </w:r>
            <w:proofErr w:type="spellEnd"/>
            <w:r w:rsidRPr="003F51BF">
              <w:rPr>
                <w:sz w:val="18"/>
                <w:szCs w:val="18"/>
                <w:lang w:val="en-US"/>
              </w:rPr>
              <w:t xml:space="preserve"> (2016)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*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*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*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*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*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*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*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*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8</w:t>
            </w:r>
          </w:p>
        </w:tc>
      </w:tr>
    </w:tbl>
    <w:p w:rsidR="00A43861" w:rsidRPr="003F51BF" w:rsidRDefault="00A43861">
      <w:pPr>
        <w:pStyle w:val="Body"/>
        <w:widowControl w:val="0"/>
        <w:spacing w:line="240" w:lineRule="auto"/>
        <w:jc w:val="both"/>
        <w:rPr>
          <w:rFonts w:eastAsia="Arial" w:cs="Arial"/>
          <w:sz w:val="18"/>
          <w:szCs w:val="18"/>
        </w:rPr>
      </w:pPr>
    </w:p>
    <w:p w:rsidR="00A43861" w:rsidRPr="003F51BF" w:rsidRDefault="00A43861">
      <w:pPr>
        <w:pStyle w:val="Body"/>
        <w:jc w:val="both"/>
        <w:rPr>
          <w:rFonts w:eastAsia="Arial" w:cs="Arial"/>
          <w:sz w:val="18"/>
          <w:szCs w:val="18"/>
        </w:rPr>
      </w:pPr>
    </w:p>
    <w:p w:rsidR="00A43861" w:rsidRPr="003F51BF" w:rsidRDefault="00A43861">
      <w:pPr>
        <w:pStyle w:val="Body"/>
        <w:rPr>
          <w:sz w:val="18"/>
          <w:szCs w:val="18"/>
        </w:rPr>
      </w:pPr>
    </w:p>
    <w:p w:rsidR="00A43861" w:rsidRPr="003F51BF" w:rsidRDefault="00A43861">
      <w:pPr>
        <w:pStyle w:val="Body"/>
        <w:rPr>
          <w:sz w:val="18"/>
          <w:szCs w:val="18"/>
        </w:rPr>
      </w:pPr>
    </w:p>
    <w:p w:rsidR="003F51BF" w:rsidRDefault="003F51BF">
      <w:pPr>
        <w:pStyle w:val="Body"/>
        <w:jc w:val="both"/>
        <w:rPr>
          <w:sz w:val="18"/>
          <w:szCs w:val="18"/>
        </w:rPr>
      </w:pPr>
    </w:p>
    <w:p w:rsidR="00531938" w:rsidRPr="00B26B03" w:rsidRDefault="00531938">
      <w:pPr>
        <w:pStyle w:val="Body"/>
        <w:jc w:val="both"/>
        <w:rPr>
          <w:b/>
          <w:bCs/>
          <w:sz w:val="18"/>
          <w:szCs w:val="18"/>
        </w:rPr>
      </w:pPr>
    </w:p>
    <w:p w:rsidR="00A43861" w:rsidRPr="00B26B03" w:rsidRDefault="00F04AAF">
      <w:pPr>
        <w:pStyle w:val="Body"/>
        <w:jc w:val="both"/>
        <w:rPr>
          <w:rFonts w:eastAsia="Arial" w:cs="Arial"/>
          <w:b/>
          <w:bCs/>
          <w:sz w:val="18"/>
          <w:szCs w:val="18"/>
        </w:rPr>
      </w:pPr>
      <w:r w:rsidRPr="00B26B03">
        <w:rPr>
          <w:b/>
          <w:bCs/>
          <w:sz w:val="18"/>
          <w:szCs w:val="18"/>
        </w:rPr>
        <w:t xml:space="preserve">Table </w:t>
      </w:r>
      <w:proofErr w:type="gramStart"/>
      <w:r w:rsidRPr="00B26B03">
        <w:rPr>
          <w:b/>
          <w:bCs/>
          <w:sz w:val="18"/>
          <w:szCs w:val="18"/>
        </w:rPr>
        <w:t>S2b</w:t>
      </w:r>
      <w:r w:rsidRPr="00B26B03">
        <w:rPr>
          <w:b/>
          <w:bCs/>
          <w:sz w:val="18"/>
          <w:szCs w:val="18"/>
          <w:lang w:val="en-US"/>
        </w:rPr>
        <w:t>:</w:t>
      </w:r>
      <w:proofErr w:type="gramEnd"/>
      <w:r w:rsidRPr="00B26B03">
        <w:rPr>
          <w:b/>
          <w:bCs/>
          <w:sz w:val="18"/>
          <w:szCs w:val="18"/>
          <w:lang w:val="en-US"/>
        </w:rPr>
        <w:t xml:space="preserve"> </w:t>
      </w:r>
      <w:proofErr w:type="spellStart"/>
      <w:r w:rsidRPr="00B26B03">
        <w:rPr>
          <w:b/>
          <w:bCs/>
          <w:sz w:val="18"/>
          <w:szCs w:val="18"/>
          <w:lang w:val="en-US"/>
        </w:rPr>
        <w:t>Jadad</w:t>
      </w:r>
      <w:proofErr w:type="spellEnd"/>
      <w:r w:rsidRPr="00B26B03">
        <w:rPr>
          <w:b/>
          <w:bCs/>
          <w:sz w:val="18"/>
          <w:szCs w:val="18"/>
          <w:lang w:val="en-US"/>
        </w:rPr>
        <w:t xml:space="preserve"> Score for Randomized trials </w:t>
      </w:r>
    </w:p>
    <w:tbl>
      <w:tblPr>
        <w:tblW w:w="137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782"/>
        <w:gridCol w:w="3338"/>
        <w:gridCol w:w="2180"/>
        <w:gridCol w:w="2710"/>
        <w:gridCol w:w="2710"/>
      </w:tblGrid>
      <w:tr w:rsidR="00A43861" w:rsidRPr="003F51BF">
        <w:trPr>
          <w:trHeight w:val="190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A4386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before="80" w:after="80"/>
              <w:jc w:val="center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>Randomization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before="80" w:after="80"/>
              <w:jc w:val="center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>Blinding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before="80" w:after="80"/>
              <w:jc w:val="center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 xml:space="preserve">Account of patients 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861" w:rsidRPr="003F51BF" w:rsidRDefault="00F04AAF">
            <w:pPr>
              <w:pStyle w:val="Body"/>
              <w:spacing w:before="80" w:after="80"/>
              <w:jc w:val="center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>Total</w:t>
            </w:r>
          </w:p>
        </w:tc>
      </w:tr>
      <w:tr w:rsidR="00A43861" w:rsidRPr="003F51BF">
        <w:trPr>
          <w:trHeight w:val="23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861" w:rsidRPr="003F51BF" w:rsidRDefault="00F04AAF">
            <w:pPr>
              <w:pStyle w:val="Body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Stabile (2014)</w:t>
            </w: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1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1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1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3</w:t>
            </w:r>
          </w:p>
        </w:tc>
      </w:tr>
      <w:tr w:rsidR="00A43861" w:rsidRPr="003F51BF">
        <w:trPr>
          <w:trHeight w:val="23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861" w:rsidRPr="003F51BF" w:rsidRDefault="00F04AAF">
            <w:pPr>
              <w:pStyle w:val="Body"/>
              <w:rPr>
                <w:sz w:val="18"/>
                <w:szCs w:val="18"/>
              </w:rPr>
            </w:pPr>
            <w:proofErr w:type="spellStart"/>
            <w:r w:rsidRPr="003F51BF">
              <w:rPr>
                <w:sz w:val="18"/>
                <w:szCs w:val="18"/>
                <w:lang w:val="en-US"/>
              </w:rPr>
              <w:t>Ussia</w:t>
            </w:r>
            <w:proofErr w:type="spellEnd"/>
            <w:r w:rsidRPr="003F51BF">
              <w:rPr>
                <w:sz w:val="18"/>
                <w:szCs w:val="18"/>
                <w:lang w:val="en-US"/>
              </w:rPr>
              <w:t xml:space="preserve"> (2011)</w:t>
            </w: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1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1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1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3</w:t>
            </w:r>
          </w:p>
        </w:tc>
      </w:tr>
      <w:tr w:rsidR="00A43861" w:rsidRPr="003F51BF">
        <w:trPr>
          <w:trHeight w:val="23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861" w:rsidRPr="003F51BF" w:rsidRDefault="00F04AAF">
            <w:pPr>
              <w:pStyle w:val="Body"/>
              <w:rPr>
                <w:sz w:val="18"/>
                <w:szCs w:val="18"/>
              </w:rPr>
            </w:pPr>
            <w:proofErr w:type="spellStart"/>
            <w:r w:rsidRPr="003F51BF">
              <w:rPr>
                <w:sz w:val="18"/>
                <w:szCs w:val="18"/>
                <w:lang w:val="en-US"/>
              </w:rPr>
              <w:t>Rodes-Cabau</w:t>
            </w:r>
            <w:proofErr w:type="spellEnd"/>
            <w:r w:rsidRPr="003F51BF">
              <w:rPr>
                <w:sz w:val="18"/>
                <w:szCs w:val="18"/>
                <w:lang w:val="en-US"/>
              </w:rPr>
              <w:t xml:space="preserve"> (2017)</w:t>
            </w: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1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0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1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861" w:rsidRPr="003F51BF" w:rsidRDefault="00F04AAF">
            <w:pPr>
              <w:spacing w:before="80" w:after="80"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F51BF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2</w:t>
            </w:r>
          </w:p>
        </w:tc>
      </w:tr>
    </w:tbl>
    <w:p w:rsidR="00A43861" w:rsidRPr="003F51BF" w:rsidRDefault="00A43861">
      <w:pPr>
        <w:pStyle w:val="Body"/>
        <w:widowControl w:val="0"/>
        <w:spacing w:line="240" w:lineRule="auto"/>
        <w:jc w:val="both"/>
        <w:rPr>
          <w:rFonts w:eastAsia="Arial" w:cs="Arial"/>
          <w:sz w:val="18"/>
          <w:szCs w:val="18"/>
        </w:rPr>
      </w:pPr>
    </w:p>
    <w:p w:rsidR="001235DC" w:rsidRPr="003F51BF" w:rsidRDefault="001235DC">
      <w:pPr>
        <w:pStyle w:val="Body"/>
        <w:rPr>
          <w:sz w:val="18"/>
          <w:szCs w:val="18"/>
        </w:rPr>
      </w:pPr>
    </w:p>
    <w:p w:rsidR="00E30EFB" w:rsidRDefault="00E30EFB">
      <w:pPr>
        <w:pStyle w:val="Body"/>
        <w:rPr>
          <w:b/>
          <w:bCs/>
          <w:sz w:val="18"/>
          <w:szCs w:val="18"/>
        </w:rPr>
      </w:pPr>
    </w:p>
    <w:p w:rsidR="00E30EFB" w:rsidRDefault="00E30EFB">
      <w:pPr>
        <w:pStyle w:val="Body"/>
        <w:rPr>
          <w:b/>
          <w:bCs/>
          <w:sz w:val="18"/>
          <w:szCs w:val="18"/>
        </w:rPr>
      </w:pPr>
    </w:p>
    <w:p w:rsidR="00E30EFB" w:rsidRDefault="00E30EFB">
      <w:pPr>
        <w:pStyle w:val="Body"/>
        <w:rPr>
          <w:b/>
          <w:bCs/>
          <w:sz w:val="18"/>
          <w:szCs w:val="18"/>
        </w:rPr>
      </w:pPr>
    </w:p>
    <w:p w:rsidR="00E30EFB" w:rsidRDefault="00E30EFB">
      <w:pPr>
        <w:pStyle w:val="Body"/>
        <w:rPr>
          <w:b/>
          <w:bCs/>
          <w:sz w:val="18"/>
          <w:szCs w:val="18"/>
        </w:rPr>
      </w:pPr>
    </w:p>
    <w:p w:rsidR="00E30EFB" w:rsidRDefault="00E30EFB">
      <w:pPr>
        <w:pStyle w:val="Body"/>
        <w:rPr>
          <w:b/>
          <w:bCs/>
          <w:sz w:val="18"/>
          <w:szCs w:val="18"/>
        </w:rPr>
      </w:pPr>
    </w:p>
    <w:p w:rsidR="00E30EFB" w:rsidRDefault="00E30EFB">
      <w:pPr>
        <w:pStyle w:val="Body"/>
        <w:rPr>
          <w:b/>
          <w:bCs/>
          <w:sz w:val="18"/>
          <w:szCs w:val="18"/>
        </w:rPr>
      </w:pPr>
    </w:p>
    <w:p w:rsidR="00E30EFB" w:rsidRDefault="00E30EFB">
      <w:pPr>
        <w:pStyle w:val="Body"/>
        <w:rPr>
          <w:b/>
          <w:bCs/>
          <w:sz w:val="18"/>
          <w:szCs w:val="18"/>
        </w:rPr>
      </w:pPr>
    </w:p>
    <w:p w:rsidR="00A43861" w:rsidRPr="0040577D" w:rsidRDefault="00F04AAF">
      <w:pPr>
        <w:pStyle w:val="Body"/>
        <w:rPr>
          <w:b/>
          <w:bCs/>
          <w:sz w:val="18"/>
          <w:szCs w:val="18"/>
        </w:rPr>
      </w:pPr>
      <w:r w:rsidRPr="0040577D">
        <w:rPr>
          <w:b/>
          <w:bCs/>
          <w:sz w:val="18"/>
          <w:szCs w:val="18"/>
        </w:rPr>
        <w:lastRenderedPageBreak/>
        <w:t xml:space="preserve">Table </w:t>
      </w:r>
      <w:proofErr w:type="gramStart"/>
      <w:r w:rsidRPr="0040577D">
        <w:rPr>
          <w:b/>
          <w:bCs/>
          <w:sz w:val="18"/>
          <w:szCs w:val="18"/>
        </w:rPr>
        <w:t>S3a:</w:t>
      </w:r>
      <w:proofErr w:type="gramEnd"/>
      <w:r w:rsidRPr="0040577D">
        <w:rPr>
          <w:b/>
          <w:bCs/>
          <w:sz w:val="18"/>
          <w:szCs w:val="18"/>
        </w:rPr>
        <w:t xml:space="preserve"> </w:t>
      </w:r>
      <w:proofErr w:type="spellStart"/>
      <w:r w:rsidR="009B16EB" w:rsidRPr="0040577D">
        <w:rPr>
          <w:b/>
          <w:bCs/>
          <w:sz w:val="18"/>
          <w:szCs w:val="18"/>
        </w:rPr>
        <w:t>Number</w:t>
      </w:r>
      <w:proofErr w:type="spellEnd"/>
      <w:r w:rsidR="009B16EB" w:rsidRPr="0040577D">
        <w:rPr>
          <w:b/>
          <w:bCs/>
          <w:sz w:val="18"/>
          <w:szCs w:val="18"/>
        </w:rPr>
        <w:t xml:space="preserve"> of n</w:t>
      </w:r>
      <w:r w:rsidR="00766167" w:rsidRPr="0040577D">
        <w:rPr>
          <w:b/>
          <w:bCs/>
          <w:sz w:val="18"/>
          <w:szCs w:val="18"/>
        </w:rPr>
        <w:t xml:space="preserve">et adverse </w:t>
      </w:r>
      <w:proofErr w:type="spellStart"/>
      <w:r w:rsidR="00766167" w:rsidRPr="0040577D">
        <w:rPr>
          <w:b/>
          <w:bCs/>
          <w:sz w:val="18"/>
          <w:szCs w:val="18"/>
        </w:rPr>
        <w:t>clinical</w:t>
      </w:r>
      <w:proofErr w:type="spellEnd"/>
      <w:r w:rsidR="00766167" w:rsidRPr="0040577D">
        <w:rPr>
          <w:b/>
          <w:bCs/>
          <w:sz w:val="18"/>
          <w:szCs w:val="18"/>
        </w:rPr>
        <w:t xml:space="preserve"> </w:t>
      </w:r>
      <w:proofErr w:type="spellStart"/>
      <w:r w:rsidR="00766167" w:rsidRPr="0040577D">
        <w:rPr>
          <w:b/>
          <w:bCs/>
          <w:sz w:val="18"/>
          <w:szCs w:val="18"/>
        </w:rPr>
        <w:t>events</w:t>
      </w:r>
      <w:proofErr w:type="spellEnd"/>
      <w:r w:rsidR="00766167" w:rsidRPr="0040577D">
        <w:rPr>
          <w:b/>
          <w:bCs/>
          <w:sz w:val="18"/>
          <w:szCs w:val="18"/>
        </w:rPr>
        <w:t xml:space="preserve"> (</w:t>
      </w:r>
      <w:r w:rsidRPr="0040577D">
        <w:rPr>
          <w:b/>
          <w:bCs/>
          <w:sz w:val="18"/>
          <w:szCs w:val="18"/>
        </w:rPr>
        <w:t>NACE</w:t>
      </w:r>
      <w:r w:rsidR="00766167" w:rsidRPr="0040577D">
        <w:rPr>
          <w:b/>
          <w:bCs/>
          <w:sz w:val="18"/>
          <w:szCs w:val="18"/>
        </w:rPr>
        <w:t>)</w:t>
      </w:r>
      <w:r w:rsidR="009B16EB" w:rsidRPr="0040577D">
        <w:rPr>
          <w:b/>
          <w:bCs/>
          <w:sz w:val="18"/>
          <w:szCs w:val="18"/>
        </w:rPr>
        <w:t xml:space="preserve"> </w:t>
      </w:r>
      <w:proofErr w:type="spellStart"/>
      <w:r w:rsidR="009B16EB" w:rsidRPr="0040577D">
        <w:rPr>
          <w:b/>
          <w:bCs/>
          <w:sz w:val="18"/>
          <w:szCs w:val="18"/>
        </w:rPr>
        <w:t>reported</w:t>
      </w:r>
      <w:proofErr w:type="spellEnd"/>
      <w:r w:rsidR="009B16EB" w:rsidRPr="0040577D">
        <w:rPr>
          <w:b/>
          <w:bCs/>
          <w:sz w:val="18"/>
          <w:szCs w:val="18"/>
        </w:rPr>
        <w:t xml:space="preserve"> for </w:t>
      </w:r>
      <w:proofErr w:type="spellStart"/>
      <w:r w:rsidR="009B16EB" w:rsidRPr="0040577D">
        <w:rPr>
          <w:b/>
          <w:bCs/>
          <w:sz w:val="18"/>
          <w:szCs w:val="18"/>
        </w:rPr>
        <w:t>each</w:t>
      </w:r>
      <w:proofErr w:type="spellEnd"/>
      <w:r w:rsidR="009B16EB" w:rsidRPr="0040577D">
        <w:rPr>
          <w:b/>
          <w:bCs/>
          <w:sz w:val="18"/>
          <w:szCs w:val="18"/>
        </w:rPr>
        <w:t xml:space="preserve"> </w:t>
      </w:r>
      <w:proofErr w:type="spellStart"/>
      <w:r w:rsidR="009B16EB" w:rsidRPr="0040577D">
        <w:rPr>
          <w:b/>
          <w:bCs/>
          <w:sz w:val="18"/>
          <w:szCs w:val="18"/>
        </w:rPr>
        <w:t>regimen</w:t>
      </w:r>
      <w:proofErr w:type="spellEnd"/>
      <w:r w:rsidR="009B16EB" w:rsidRPr="0040577D">
        <w:rPr>
          <w:b/>
          <w:bCs/>
          <w:sz w:val="18"/>
          <w:szCs w:val="18"/>
        </w:rPr>
        <w:t xml:space="preserve"> in </w:t>
      </w:r>
      <w:proofErr w:type="spellStart"/>
      <w:r w:rsidR="009B16EB" w:rsidRPr="0040577D">
        <w:rPr>
          <w:b/>
          <w:bCs/>
          <w:sz w:val="18"/>
          <w:szCs w:val="18"/>
        </w:rPr>
        <w:t>included</w:t>
      </w:r>
      <w:proofErr w:type="spellEnd"/>
      <w:r w:rsidR="009B16EB" w:rsidRPr="0040577D">
        <w:rPr>
          <w:b/>
          <w:bCs/>
          <w:sz w:val="18"/>
          <w:szCs w:val="18"/>
        </w:rPr>
        <w:t xml:space="preserve"> </w:t>
      </w:r>
      <w:proofErr w:type="spellStart"/>
      <w:r w:rsidR="009B16EB" w:rsidRPr="0040577D">
        <w:rPr>
          <w:b/>
          <w:bCs/>
          <w:sz w:val="18"/>
          <w:szCs w:val="18"/>
        </w:rPr>
        <w:t>studies</w:t>
      </w:r>
      <w:proofErr w:type="spellEnd"/>
      <w:r w:rsidR="00766167" w:rsidRPr="0040577D">
        <w:rPr>
          <w:b/>
          <w:bCs/>
          <w:sz w:val="18"/>
          <w:szCs w:val="18"/>
        </w:rPr>
        <w:t xml:space="preserve"> </w:t>
      </w:r>
    </w:p>
    <w:tbl>
      <w:tblPr>
        <w:tblW w:w="1180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360"/>
        <w:gridCol w:w="2360"/>
        <w:gridCol w:w="2364"/>
        <w:gridCol w:w="2360"/>
        <w:gridCol w:w="2364"/>
      </w:tblGrid>
      <w:tr w:rsidR="00A43861" w:rsidRPr="003F51BF">
        <w:trPr>
          <w:trHeight w:val="290"/>
        </w:trPr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861" w:rsidRPr="003F51BF" w:rsidRDefault="00F04AAF">
            <w:pPr>
              <w:pStyle w:val="Body"/>
              <w:jc w:val="center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Study</w:t>
            </w:r>
          </w:p>
        </w:tc>
        <w:tc>
          <w:tcPr>
            <w:tcW w:w="4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861" w:rsidRPr="003F51BF" w:rsidRDefault="00F04AAF">
            <w:pPr>
              <w:pStyle w:val="Body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MAPT</w:t>
            </w:r>
          </w:p>
        </w:tc>
        <w:tc>
          <w:tcPr>
            <w:tcW w:w="4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861" w:rsidRPr="003F51BF" w:rsidRDefault="00F04AAF">
            <w:pPr>
              <w:pStyle w:val="Body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DAPT</w:t>
            </w:r>
          </w:p>
        </w:tc>
      </w:tr>
      <w:tr w:rsidR="00A43861" w:rsidRPr="003F51BF">
        <w:trPr>
          <w:trHeight w:val="290"/>
        </w:trPr>
        <w:tc>
          <w:tcPr>
            <w:tcW w:w="2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861" w:rsidRPr="003F51BF" w:rsidRDefault="00A4386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861" w:rsidRPr="003F51BF" w:rsidRDefault="00F04AAF">
            <w:pPr>
              <w:pStyle w:val="Body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Positive NACE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861" w:rsidRPr="003F51BF" w:rsidRDefault="00905D21">
            <w:pPr>
              <w:pStyle w:val="Body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Number of patients receiving MAPT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861" w:rsidRPr="003F51BF" w:rsidRDefault="00F04AAF">
            <w:pPr>
              <w:pStyle w:val="Body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Positive NACE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861" w:rsidRPr="003F51BF" w:rsidRDefault="00905D21">
            <w:pPr>
              <w:pStyle w:val="Body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Number of patients</w:t>
            </w:r>
            <w:r w:rsidR="00564FD9" w:rsidRPr="003F51BF">
              <w:rPr>
                <w:sz w:val="18"/>
                <w:szCs w:val="18"/>
                <w:lang w:val="en-US"/>
              </w:rPr>
              <w:t xml:space="preserve"> receiving DAPT</w:t>
            </w:r>
          </w:p>
        </w:tc>
      </w:tr>
      <w:tr w:rsidR="00A43861" w:rsidRPr="003F51BF">
        <w:trPr>
          <w:trHeight w:val="49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>Randomized Controlled Trials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A4386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A4386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A4386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A4386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43861" w:rsidRPr="003F51BF">
        <w:trPr>
          <w:trHeight w:val="25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F51BF">
              <w:rPr>
                <w:sz w:val="18"/>
                <w:szCs w:val="18"/>
                <w:lang w:val="en-US"/>
              </w:rPr>
              <w:t>Rodes-Cabau</w:t>
            </w:r>
            <w:proofErr w:type="spellEnd"/>
            <w:r w:rsidRPr="003F51BF">
              <w:rPr>
                <w:sz w:val="18"/>
                <w:szCs w:val="18"/>
                <w:lang w:val="en-US"/>
              </w:rPr>
              <w:t xml:space="preserve"> (2017)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111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111</w:t>
            </w:r>
          </w:p>
        </w:tc>
      </w:tr>
      <w:tr w:rsidR="00A43861" w:rsidRPr="003F51BF">
        <w:trPr>
          <w:trHeight w:val="25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Stabile (2014)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60</w:t>
            </w:r>
          </w:p>
        </w:tc>
      </w:tr>
      <w:tr w:rsidR="00A43861" w:rsidRPr="003F51BF">
        <w:trPr>
          <w:trHeight w:val="25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F51BF">
              <w:rPr>
                <w:sz w:val="18"/>
                <w:szCs w:val="18"/>
                <w:lang w:val="en-US"/>
              </w:rPr>
              <w:t>Ussia</w:t>
            </w:r>
            <w:proofErr w:type="spellEnd"/>
            <w:r w:rsidRPr="003F51BF">
              <w:rPr>
                <w:sz w:val="18"/>
                <w:szCs w:val="18"/>
                <w:lang w:val="en-US"/>
              </w:rPr>
              <w:t xml:space="preserve"> (2011)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40</w:t>
            </w:r>
          </w:p>
        </w:tc>
      </w:tr>
      <w:tr w:rsidR="00A43861" w:rsidRPr="003F51BF">
        <w:trPr>
          <w:trHeight w:val="25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 xml:space="preserve">   Subtotal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>25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>210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>36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>211</w:t>
            </w:r>
          </w:p>
        </w:tc>
      </w:tr>
      <w:tr w:rsidR="00A43861" w:rsidRPr="003F51BF">
        <w:trPr>
          <w:trHeight w:val="23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A4386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A4386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A4386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A4386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A4386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43861" w:rsidRPr="003F51BF">
        <w:trPr>
          <w:trHeight w:val="49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>Observational Studies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A4386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A4386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A4386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A4386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43861" w:rsidRPr="003F51BF">
        <w:trPr>
          <w:trHeight w:val="25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Chandrasekhar (2017)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208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434</w:t>
            </w:r>
          </w:p>
        </w:tc>
      </w:tr>
      <w:tr w:rsidR="00A43861" w:rsidRPr="003F51BF">
        <w:trPr>
          <w:trHeight w:val="25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F51BF">
              <w:rPr>
                <w:sz w:val="18"/>
                <w:szCs w:val="18"/>
                <w:lang w:val="en-US"/>
              </w:rPr>
              <w:t>D'ascenzo</w:t>
            </w:r>
            <w:proofErr w:type="spellEnd"/>
            <w:r w:rsidRPr="003F51BF">
              <w:rPr>
                <w:sz w:val="18"/>
                <w:szCs w:val="18"/>
                <w:lang w:val="en-US"/>
              </w:rPr>
              <w:t xml:space="preserve"> (2017)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187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605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213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605</w:t>
            </w:r>
          </w:p>
        </w:tc>
      </w:tr>
      <w:tr w:rsidR="00A43861" w:rsidRPr="003F51BF">
        <w:trPr>
          <w:trHeight w:val="49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 xml:space="preserve">De </w:t>
            </w:r>
            <w:proofErr w:type="spellStart"/>
            <w:r w:rsidRPr="003F51BF">
              <w:rPr>
                <w:sz w:val="18"/>
                <w:szCs w:val="18"/>
                <w:lang w:val="en-US"/>
              </w:rPr>
              <w:t>LaTorre</w:t>
            </w:r>
            <w:proofErr w:type="spellEnd"/>
            <w:r w:rsidRPr="003F51BF">
              <w:rPr>
                <w:sz w:val="18"/>
                <w:szCs w:val="18"/>
                <w:lang w:val="en-US"/>
              </w:rPr>
              <w:t xml:space="preserve"> Hernandez (2016)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50</w:t>
            </w:r>
          </w:p>
        </w:tc>
      </w:tr>
      <w:tr w:rsidR="00A43861" w:rsidRPr="003F51BF">
        <w:trPr>
          <w:trHeight w:val="25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Durand (2014)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164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128</w:t>
            </w:r>
          </w:p>
        </w:tc>
      </w:tr>
      <w:tr w:rsidR="00A43861" w:rsidRPr="003F51BF">
        <w:trPr>
          <w:trHeight w:val="25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F51BF">
              <w:rPr>
                <w:sz w:val="18"/>
                <w:szCs w:val="18"/>
                <w:lang w:val="en-US"/>
              </w:rPr>
              <w:t>Hioki</w:t>
            </w:r>
            <w:proofErr w:type="spellEnd"/>
            <w:r w:rsidRPr="003F51BF">
              <w:rPr>
                <w:sz w:val="18"/>
                <w:szCs w:val="18"/>
                <w:lang w:val="en-US"/>
              </w:rPr>
              <w:t xml:space="preserve"> (2016)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167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107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293</w:t>
            </w:r>
          </w:p>
        </w:tc>
      </w:tr>
      <w:tr w:rsidR="00A43861" w:rsidRPr="003F51BF">
        <w:trPr>
          <w:trHeight w:val="25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F51BF">
              <w:rPr>
                <w:sz w:val="18"/>
                <w:szCs w:val="18"/>
                <w:lang w:val="en-US"/>
              </w:rPr>
              <w:t>Mangieri</w:t>
            </w:r>
            <w:proofErr w:type="spellEnd"/>
            <w:r w:rsidRPr="003F51BF">
              <w:rPr>
                <w:sz w:val="18"/>
                <w:szCs w:val="18"/>
                <w:lang w:val="en-US"/>
              </w:rPr>
              <w:t xml:space="preserve"> (2017)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108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106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331</w:t>
            </w:r>
          </w:p>
        </w:tc>
      </w:tr>
      <w:tr w:rsidR="00A43861" w:rsidRPr="003F51BF">
        <w:trPr>
          <w:trHeight w:val="25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F51BF">
              <w:rPr>
                <w:sz w:val="18"/>
                <w:szCs w:val="18"/>
                <w:lang w:val="en-US"/>
              </w:rPr>
              <w:t>Poliacikova</w:t>
            </w:r>
            <w:proofErr w:type="spellEnd"/>
            <w:r w:rsidRPr="003F51BF">
              <w:rPr>
                <w:sz w:val="18"/>
                <w:szCs w:val="18"/>
                <w:lang w:val="en-US"/>
              </w:rPr>
              <w:t xml:space="preserve"> (2013)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55</w:t>
            </w:r>
          </w:p>
        </w:tc>
      </w:tr>
      <w:tr w:rsidR="00A43861" w:rsidRPr="003F51BF">
        <w:trPr>
          <w:trHeight w:val="25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Sherwood (2015)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661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1638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1326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4132</w:t>
            </w:r>
          </w:p>
        </w:tc>
      </w:tr>
      <w:tr w:rsidR="00A43861" w:rsidRPr="003F51BF">
        <w:trPr>
          <w:trHeight w:val="25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31403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F51BF">
              <w:rPr>
                <w:sz w:val="18"/>
                <w:szCs w:val="18"/>
                <w:lang w:val="en-US"/>
              </w:rPr>
              <w:t>Ichibori</w:t>
            </w:r>
            <w:proofErr w:type="spellEnd"/>
            <w:r w:rsidR="00F04AAF" w:rsidRPr="003F51BF">
              <w:rPr>
                <w:sz w:val="18"/>
                <w:szCs w:val="18"/>
                <w:lang w:val="en-US"/>
              </w:rPr>
              <w:t xml:space="preserve"> (2017)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78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66</w:t>
            </w:r>
          </w:p>
        </w:tc>
      </w:tr>
      <w:tr w:rsidR="00A43861" w:rsidRPr="003F51BF">
        <w:trPr>
          <w:trHeight w:val="25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 xml:space="preserve">    Subtotal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>1019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>3090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>1912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>6094</w:t>
            </w:r>
          </w:p>
        </w:tc>
      </w:tr>
      <w:tr w:rsidR="00A43861" w:rsidRPr="003F51BF">
        <w:trPr>
          <w:trHeight w:val="25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>Total (95% CI)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>1044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>3300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>1948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>6305</w:t>
            </w:r>
          </w:p>
        </w:tc>
      </w:tr>
    </w:tbl>
    <w:p w:rsidR="00A43861" w:rsidRPr="003F51BF" w:rsidRDefault="00A43861">
      <w:pPr>
        <w:pStyle w:val="Body"/>
        <w:widowControl w:val="0"/>
        <w:spacing w:line="240" w:lineRule="auto"/>
        <w:rPr>
          <w:sz w:val="18"/>
          <w:szCs w:val="18"/>
        </w:rPr>
      </w:pPr>
    </w:p>
    <w:p w:rsidR="00C65380" w:rsidRPr="003F51BF" w:rsidRDefault="00C65380">
      <w:pPr>
        <w:pStyle w:val="Body"/>
        <w:rPr>
          <w:sz w:val="18"/>
          <w:szCs w:val="18"/>
          <w:lang w:val="en-US"/>
        </w:rPr>
      </w:pPr>
    </w:p>
    <w:p w:rsidR="00E30EFB" w:rsidRDefault="00E30EFB">
      <w:pPr>
        <w:pStyle w:val="Body"/>
        <w:rPr>
          <w:b/>
          <w:bCs/>
          <w:sz w:val="18"/>
          <w:szCs w:val="18"/>
          <w:lang w:val="en-US"/>
        </w:rPr>
      </w:pPr>
    </w:p>
    <w:p w:rsidR="00A43861" w:rsidRPr="0040577D" w:rsidRDefault="00F04AAF">
      <w:pPr>
        <w:pStyle w:val="Body"/>
        <w:rPr>
          <w:b/>
          <w:bCs/>
          <w:sz w:val="18"/>
          <w:szCs w:val="18"/>
        </w:rPr>
      </w:pPr>
      <w:r w:rsidRPr="0040577D">
        <w:rPr>
          <w:b/>
          <w:bCs/>
          <w:sz w:val="18"/>
          <w:szCs w:val="18"/>
          <w:lang w:val="en-US"/>
        </w:rPr>
        <w:lastRenderedPageBreak/>
        <w:t xml:space="preserve">Table S3b: </w:t>
      </w:r>
      <w:r w:rsidR="009B16EB" w:rsidRPr="0040577D">
        <w:rPr>
          <w:b/>
          <w:bCs/>
          <w:sz w:val="18"/>
          <w:szCs w:val="18"/>
          <w:lang w:val="en-US"/>
        </w:rPr>
        <w:t>Number of m</w:t>
      </w:r>
      <w:r w:rsidRPr="0040577D">
        <w:rPr>
          <w:b/>
          <w:bCs/>
          <w:sz w:val="18"/>
          <w:szCs w:val="18"/>
          <w:lang w:val="en-US"/>
        </w:rPr>
        <w:t>ortality</w:t>
      </w:r>
      <w:r w:rsidR="00F3634E" w:rsidRPr="0040577D">
        <w:rPr>
          <w:b/>
          <w:bCs/>
          <w:sz w:val="18"/>
          <w:szCs w:val="18"/>
          <w:lang w:val="en-US"/>
        </w:rPr>
        <w:t xml:space="preserve"> events</w:t>
      </w:r>
      <w:r w:rsidR="009B16EB" w:rsidRPr="0040577D">
        <w:rPr>
          <w:b/>
          <w:bCs/>
          <w:sz w:val="18"/>
          <w:szCs w:val="18"/>
          <w:lang w:val="en-US"/>
        </w:rPr>
        <w:t xml:space="preserve"> reported for each regimen in included studies</w:t>
      </w:r>
    </w:p>
    <w:tbl>
      <w:tblPr>
        <w:tblW w:w="1190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379"/>
        <w:gridCol w:w="2379"/>
        <w:gridCol w:w="2383"/>
        <w:gridCol w:w="2379"/>
        <w:gridCol w:w="2383"/>
      </w:tblGrid>
      <w:tr w:rsidR="00A43861" w:rsidRPr="003F51BF">
        <w:trPr>
          <w:trHeight w:val="290"/>
        </w:trPr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861" w:rsidRPr="003F51BF" w:rsidRDefault="00F04AAF">
            <w:pPr>
              <w:pStyle w:val="Body"/>
              <w:jc w:val="center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Study</w:t>
            </w:r>
          </w:p>
        </w:tc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861" w:rsidRPr="003F51BF" w:rsidRDefault="00F04AAF">
            <w:pPr>
              <w:pStyle w:val="Body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MAPT</w:t>
            </w:r>
          </w:p>
        </w:tc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861" w:rsidRPr="003F51BF" w:rsidRDefault="00F04AAF">
            <w:pPr>
              <w:pStyle w:val="Body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DAPT</w:t>
            </w:r>
          </w:p>
        </w:tc>
      </w:tr>
      <w:tr w:rsidR="00A43861" w:rsidRPr="003F51BF">
        <w:trPr>
          <w:trHeight w:val="290"/>
        </w:trPr>
        <w:tc>
          <w:tcPr>
            <w:tcW w:w="2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861" w:rsidRPr="003F51BF" w:rsidRDefault="00A4386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861" w:rsidRPr="003F51BF" w:rsidRDefault="00905D21">
            <w:pPr>
              <w:pStyle w:val="Body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Positive event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861" w:rsidRPr="003F51BF" w:rsidRDefault="00564FD9">
            <w:pPr>
              <w:pStyle w:val="Body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Number of patients receiving MAPT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861" w:rsidRPr="003F51BF" w:rsidRDefault="00905D21">
            <w:pPr>
              <w:pStyle w:val="Body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Positive event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861" w:rsidRPr="003F51BF" w:rsidRDefault="00564FD9">
            <w:pPr>
              <w:pStyle w:val="Body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Number of patients receiving DAPT</w:t>
            </w:r>
          </w:p>
        </w:tc>
      </w:tr>
      <w:tr w:rsidR="00A43861" w:rsidRPr="003F51BF">
        <w:trPr>
          <w:trHeight w:val="490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>Randomized Controlled Trials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A4386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A4386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A4386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A4386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43861" w:rsidRPr="003F51BF">
        <w:trPr>
          <w:trHeight w:val="250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F51BF">
              <w:rPr>
                <w:sz w:val="18"/>
                <w:szCs w:val="18"/>
                <w:lang w:val="en-US"/>
              </w:rPr>
              <w:t>Rodes-Cabau</w:t>
            </w:r>
            <w:proofErr w:type="spellEnd"/>
            <w:r w:rsidRPr="003F51BF">
              <w:rPr>
                <w:sz w:val="18"/>
                <w:szCs w:val="18"/>
                <w:lang w:val="en-US"/>
              </w:rPr>
              <w:t xml:space="preserve"> (2017)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111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111</w:t>
            </w:r>
          </w:p>
        </w:tc>
      </w:tr>
      <w:tr w:rsidR="00A43861" w:rsidRPr="003F51BF">
        <w:trPr>
          <w:trHeight w:val="250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Stabile (2014)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60</w:t>
            </w:r>
          </w:p>
        </w:tc>
      </w:tr>
      <w:tr w:rsidR="00A43861" w:rsidRPr="003F51BF">
        <w:trPr>
          <w:trHeight w:val="250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F51BF">
              <w:rPr>
                <w:sz w:val="18"/>
                <w:szCs w:val="18"/>
                <w:lang w:val="en-US"/>
              </w:rPr>
              <w:t>Ussia</w:t>
            </w:r>
            <w:proofErr w:type="spellEnd"/>
            <w:r w:rsidRPr="003F51BF">
              <w:rPr>
                <w:sz w:val="18"/>
                <w:szCs w:val="18"/>
                <w:lang w:val="en-US"/>
              </w:rPr>
              <w:t xml:space="preserve"> (2011)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40</w:t>
            </w:r>
          </w:p>
        </w:tc>
      </w:tr>
      <w:tr w:rsidR="00A43861" w:rsidRPr="003F51BF">
        <w:trPr>
          <w:trHeight w:val="250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 xml:space="preserve">   Subtotal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>12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>210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>14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>211</w:t>
            </w:r>
          </w:p>
        </w:tc>
      </w:tr>
      <w:tr w:rsidR="00A43861" w:rsidRPr="003F51BF">
        <w:trPr>
          <w:trHeight w:val="230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A4386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A4386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A4386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A4386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A4386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43861" w:rsidRPr="003F51BF">
        <w:trPr>
          <w:trHeight w:val="490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>Observational studies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A4386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A4386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A4386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A4386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1646B" w:rsidRPr="003F51BF">
        <w:trPr>
          <w:trHeight w:val="250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646B" w:rsidRPr="003F51BF" w:rsidRDefault="00E1646B" w:rsidP="00905D21">
            <w:pPr>
              <w:pStyle w:val="Body"/>
              <w:spacing w:after="0" w:line="240" w:lineRule="auto"/>
              <w:rPr>
                <w:color w:val="auto"/>
                <w:sz w:val="18"/>
                <w:szCs w:val="18"/>
              </w:rPr>
            </w:pPr>
            <w:r w:rsidRPr="003F51BF">
              <w:rPr>
                <w:color w:val="auto"/>
                <w:sz w:val="18"/>
                <w:szCs w:val="18"/>
                <w:lang w:val="en-US"/>
              </w:rPr>
              <w:t>Chandrasekhar (2017)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646B" w:rsidRPr="003F51BF" w:rsidRDefault="00E1646B" w:rsidP="00905D21">
            <w:pPr>
              <w:pStyle w:val="Body"/>
              <w:spacing w:after="0" w:line="240" w:lineRule="auto"/>
              <w:rPr>
                <w:color w:val="auto"/>
                <w:sz w:val="18"/>
                <w:szCs w:val="18"/>
              </w:rPr>
            </w:pPr>
            <w:r w:rsidRPr="003F51BF">
              <w:rPr>
                <w:color w:val="auto"/>
                <w:sz w:val="18"/>
                <w:szCs w:val="18"/>
                <w:lang w:val="en-US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646B" w:rsidRPr="003F51BF" w:rsidRDefault="00E1646B" w:rsidP="00905D21">
            <w:pPr>
              <w:pStyle w:val="Body"/>
              <w:spacing w:after="0" w:line="240" w:lineRule="auto"/>
              <w:rPr>
                <w:color w:val="auto"/>
                <w:sz w:val="18"/>
                <w:szCs w:val="18"/>
              </w:rPr>
            </w:pPr>
            <w:r w:rsidRPr="003F51BF">
              <w:rPr>
                <w:color w:val="auto"/>
                <w:sz w:val="18"/>
                <w:szCs w:val="18"/>
                <w:lang w:val="en-US"/>
              </w:rPr>
              <w:t>208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646B" w:rsidRPr="003F51BF" w:rsidRDefault="00E1646B" w:rsidP="00905D21">
            <w:pPr>
              <w:pStyle w:val="Body"/>
              <w:spacing w:after="0" w:line="240" w:lineRule="auto"/>
              <w:rPr>
                <w:color w:val="auto"/>
                <w:sz w:val="18"/>
                <w:szCs w:val="18"/>
              </w:rPr>
            </w:pPr>
            <w:r w:rsidRPr="003F51BF">
              <w:rPr>
                <w:color w:val="auto"/>
                <w:sz w:val="18"/>
                <w:szCs w:val="18"/>
                <w:lang w:val="en-US"/>
              </w:rPr>
              <w:t>8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646B" w:rsidRPr="003F51BF" w:rsidRDefault="00E1646B" w:rsidP="00905D21">
            <w:pPr>
              <w:pStyle w:val="Body"/>
              <w:spacing w:after="0" w:line="240" w:lineRule="auto"/>
              <w:rPr>
                <w:color w:val="auto"/>
                <w:sz w:val="18"/>
                <w:szCs w:val="18"/>
              </w:rPr>
            </w:pPr>
            <w:r w:rsidRPr="003F51BF">
              <w:rPr>
                <w:color w:val="auto"/>
                <w:sz w:val="18"/>
                <w:szCs w:val="18"/>
                <w:lang w:val="en-US"/>
              </w:rPr>
              <w:t>434</w:t>
            </w:r>
          </w:p>
        </w:tc>
      </w:tr>
      <w:tr w:rsidR="00E1646B" w:rsidRPr="003F51BF">
        <w:trPr>
          <w:trHeight w:val="250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646B" w:rsidRPr="003F51BF" w:rsidRDefault="00E1646B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F51BF">
              <w:rPr>
                <w:sz w:val="18"/>
                <w:szCs w:val="18"/>
                <w:lang w:val="en-US"/>
              </w:rPr>
              <w:t>D'ascenzo</w:t>
            </w:r>
            <w:proofErr w:type="spellEnd"/>
            <w:r w:rsidRPr="003F51BF">
              <w:rPr>
                <w:sz w:val="18"/>
                <w:szCs w:val="18"/>
                <w:lang w:val="en-US"/>
              </w:rPr>
              <w:t xml:space="preserve"> (2017)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646B" w:rsidRPr="003F51BF" w:rsidRDefault="00E1646B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157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646B" w:rsidRPr="003F51BF" w:rsidRDefault="00E1646B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605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646B" w:rsidRPr="003F51BF" w:rsidRDefault="00E1646B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164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646B" w:rsidRPr="003F51BF" w:rsidRDefault="00E1646B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605</w:t>
            </w:r>
          </w:p>
        </w:tc>
      </w:tr>
      <w:tr w:rsidR="00E1646B" w:rsidRPr="003F51BF">
        <w:trPr>
          <w:trHeight w:val="490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646B" w:rsidRPr="003F51BF" w:rsidRDefault="00E1646B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 xml:space="preserve">De </w:t>
            </w:r>
            <w:proofErr w:type="spellStart"/>
            <w:r w:rsidRPr="003F51BF">
              <w:rPr>
                <w:sz w:val="18"/>
                <w:szCs w:val="18"/>
                <w:lang w:val="en-US"/>
              </w:rPr>
              <w:t>LaTorre</w:t>
            </w:r>
            <w:proofErr w:type="spellEnd"/>
            <w:r w:rsidRPr="003F51BF">
              <w:rPr>
                <w:sz w:val="18"/>
                <w:szCs w:val="18"/>
                <w:lang w:val="en-US"/>
              </w:rPr>
              <w:t xml:space="preserve"> Hernandez (2016)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646B" w:rsidRPr="003F51BF" w:rsidRDefault="00E1646B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646B" w:rsidRPr="003F51BF" w:rsidRDefault="00E1646B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646B" w:rsidRPr="003F51BF" w:rsidRDefault="00E1646B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646B" w:rsidRPr="003F51BF" w:rsidRDefault="00E1646B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50</w:t>
            </w:r>
          </w:p>
        </w:tc>
      </w:tr>
      <w:tr w:rsidR="00E1646B" w:rsidRPr="003F51BF">
        <w:trPr>
          <w:trHeight w:val="250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646B" w:rsidRPr="003F51BF" w:rsidRDefault="00E1646B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Durand (2014)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646B" w:rsidRPr="003F51BF" w:rsidRDefault="00E1646B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646B" w:rsidRPr="003F51BF" w:rsidRDefault="00E1646B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164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646B" w:rsidRPr="003F51BF" w:rsidRDefault="00E1646B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646B" w:rsidRPr="003F51BF" w:rsidRDefault="00E1646B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128</w:t>
            </w:r>
          </w:p>
        </w:tc>
      </w:tr>
      <w:tr w:rsidR="00E1646B" w:rsidRPr="003F51BF">
        <w:trPr>
          <w:trHeight w:val="250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646B" w:rsidRPr="003F51BF" w:rsidRDefault="00E1646B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F51BF">
              <w:rPr>
                <w:sz w:val="18"/>
                <w:szCs w:val="18"/>
                <w:lang w:val="en-US"/>
              </w:rPr>
              <w:t>Mangieri</w:t>
            </w:r>
            <w:proofErr w:type="spellEnd"/>
            <w:r w:rsidRPr="003F51BF">
              <w:rPr>
                <w:sz w:val="18"/>
                <w:szCs w:val="18"/>
                <w:lang w:val="en-US"/>
              </w:rPr>
              <w:t xml:space="preserve"> (2017)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646B" w:rsidRPr="003F51BF" w:rsidRDefault="00E1646B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646B" w:rsidRPr="003F51BF" w:rsidRDefault="00E1646B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108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646B" w:rsidRPr="003F51BF" w:rsidRDefault="00E1646B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646B" w:rsidRPr="003F51BF" w:rsidRDefault="00E1646B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331</w:t>
            </w:r>
          </w:p>
        </w:tc>
      </w:tr>
      <w:tr w:rsidR="00E1646B" w:rsidRPr="003F51BF">
        <w:trPr>
          <w:trHeight w:val="250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646B" w:rsidRPr="003F51BF" w:rsidRDefault="00E1646B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F51BF">
              <w:rPr>
                <w:sz w:val="18"/>
                <w:szCs w:val="18"/>
                <w:lang w:val="en-US"/>
              </w:rPr>
              <w:t>Poliacikova</w:t>
            </w:r>
            <w:proofErr w:type="spellEnd"/>
            <w:r w:rsidRPr="003F51BF">
              <w:rPr>
                <w:sz w:val="18"/>
                <w:szCs w:val="18"/>
                <w:lang w:val="en-US"/>
              </w:rPr>
              <w:t xml:space="preserve"> (2013)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646B" w:rsidRPr="003F51BF" w:rsidRDefault="00E1646B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646B" w:rsidRPr="003F51BF" w:rsidRDefault="00E1646B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646B" w:rsidRPr="003F51BF" w:rsidRDefault="00E1646B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646B" w:rsidRPr="003F51BF" w:rsidRDefault="00E1646B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55</w:t>
            </w:r>
          </w:p>
        </w:tc>
      </w:tr>
      <w:tr w:rsidR="00E1646B" w:rsidRPr="003F51BF">
        <w:trPr>
          <w:trHeight w:val="250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646B" w:rsidRPr="003F51BF" w:rsidRDefault="00E1646B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Sherwood (2015)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646B" w:rsidRPr="003F51BF" w:rsidRDefault="00E1646B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270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646B" w:rsidRPr="003F51BF" w:rsidRDefault="00E1646B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1638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646B" w:rsidRPr="003F51BF" w:rsidRDefault="00E1646B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550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646B" w:rsidRPr="003F51BF" w:rsidRDefault="00E1646B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4132</w:t>
            </w:r>
          </w:p>
        </w:tc>
      </w:tr>
      <w:tr w:rsidR="00E1646B" w:rsidRPr="003F51BF">
        <w:trPr>
          <w:trHeight w:val="250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646B" w:rsidRPr="003F51BF" w:rsidRDefault="00E1646B">
            <w:pPr>
              <w:pStyle w:val="Body"/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646B" w:rsidRPr="003F51BF" w:rsidRDefault="00E1646B">
            <w:pPr>
              <w:pStyle w:val="Body"/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646B" w:rsidRPr="003F51BF" w:rsidRDefault="00E1646B">
            <w:pPr>
              <w:pStyle w:val="Body"/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646B" w:rsidRPr="003F51BF" w:rsidRDefault="00E1646B">
            <w:pPr>
              <w:pStyle w:val="Body"/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646B" w:rsidRPr="003F51BF" w:rsidRDefault="00E1646B">
            <w:pPr>
              <w:pStyle w:val="Body"/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E1646B" w:rsidRPr="003F51BF">
        <w:trPr>
          <w:trHeight w:val="250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646B" w:rsidRPr="003F51BF" w:rsidRDefault="00E1646B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 xml:space="preserve">   Subtotal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646B" w:rsidRPr="003F51BF" w:rsidRDefault="00FC00B4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>451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646B" w:rsidRPr="003F51BF" w:rsidRDefault="00FC00B4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>2845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646B" w:rsidRPr="003F51BF" w:rsidRDefault="00FC00B4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>751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646B" w:rsidRPr="003F51BF" w:rsidRDefault="00FC00B4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>5735</w:t>
            </w:r>
          </w:p>
        </w:tc>
      </w:tr>
      <w:tr w:rsidR="00E1646B" w:rsidRPr="003F51BF">
        <w:trPr>
          <w:trHeight w:val="250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646B" w:rsidRPr="003F51BF" w:rsidRDefault="00E1646B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>Total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646B" w:rsidRPr="003F51BF" w:rsidRDefault="00FC00B4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>463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646B" w:rsidRPr="003F51BF" w:rsidRDefault="00FC00B4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>3055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646B" w:rsidRPr="003F51BF" w:rsidRDefault="00FC00B4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>765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646B" w:rsidRPr="003F51BF" w:rsidRDefault="00FC00B4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>5946</w:t>
            </w:r>
          </w:p>
        </w:tc>
      </w:tr>
    </w:tbl>
    <w:p w:rsidR="00A43861" w:rsidRPr="003F51BF" w:rsidRDefault="00A43861">
      <w:pPr>
        <w:pStyle w:val="Body"/>
        <w:widowControl w:val="0"/>
        <w:spacing w:line="240" w:lineRule="auto"/>
        <w:rPr>
          <w:sz w:val="18"/>
          <w:szCs w:val="18"/>
        </w:rPr>
      </w:pPr>
    </w:p>
    <w:p w:rsidR="00C65380" w:rsidRPr="003F51BF" w:rsidRDefault="00C65380">
      <w:pPr>
        <w:pStyle w:val="Body"/>
        <w:rPr>
          <w:sz w:val="18"/>
          <w:szCs w:val="18"/>
        </w:rPr>
      </w:pPr>
    </w:p>
    <w:p w:rsidR="00C65380" w:rsidRPr="003F51BF" w:rsidRDefault="00C65380">
      <w:pPr>
        <w:pStyle w:val="Body"/>
        <w:rPr>
          <w:sz w:val="18"/>
          <w:szCs w:val="18"/>
        </w:rPr>
      </w:pPr>
    </w:p>
    <w:p w:rsidR="00A43861" w:rsidRPr="0040577D" w:rsidRDefault="00A43861">
      <w:pPr>
        <w:pStyle w:val="Body"/>
        <w:rPr>
          <w:b/>
          <w:bCs/>
          <w:sz w:val="18"/>
          <w:szCs w:val="18"/>
        </w:rPr>
      </w:pPr>
    </w:p>
    <w:p w:rsidR="00A43861" w:rsidRPr="0040577D" w:rsidRDefault="00F04AAF">
      <w:pPr>
        <w:pStyle w:val="Body"/>
        <w:rPr>
          <w:b/>
          <w:bCs/>
          <w:sz w:val="18"/>
          <w:szCs w:val="18"/>
        </w:rPr>
      </w:pPr>
      <w:r w:rsidRPr="0040577D">
        <w:rPr>
          <w:b/>
          <w:bCs/>
          <w:sz w:val="18"/>
          <w:szCs w:val="18"/>
          <w:lang w:val="en-US"/>
        </w:rPr>
        <w:lastRenderedPageBreak/>
        <w:t xml:space="preserve">Table S3c: </w:t>
      </w:r>
      <w:r w:rsidR="00F3634E" w:rsidRPr="0040577D">
        <w:rPr>
          <w:b/>
          <w:bCs/>
          <w:sz w:val="18"/>
          <w:szCs w:val="18"/>
          <w:lang w:val="en-US"/>
        </w:rPr>
        <w:t>Number of myocardial i</w:t>
      </w:r>
      <w:r w:rsidR="009B16EB" w:rsidRPr="0040577D">
        <w:rPr>
          <w:b/>
          <w:bCs/>
          <w:sz w:val="18"/>
          <w:szCs w:val="18"/>
          <w:lang w:val="en-US"/>
        </w:rPr>
        <w:t>nfarction events reported for each regimen in included studies</w:t>
      </w:r>
    </w:p>
    <w:tbl>
      <w:tblPr>
        <w:tblW w:w="1180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360"/>
        <w:gridCol w:w="2360"/>
        <w:gridCol w:w="2364"/>
        <w:gridCol w:w="2360"/>
        <w:gridCol w:w="2364"/>
      </w:tblGrid>
      <w:tr w:rsidR="00A43861" w:rsidRPr="003F51BF">
        <w:trPr>
          <w:trHeight w:val="290"/>
        </w:trPr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861" w:rsidRPr="003F51BF" w:rsidRDefault="00F04AAF">
            <w:pPr>
              <w:pStyle w:val="Body"/>
              <w:jc w:val="center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Study</w:t>
            </w:r>
          </w:p>
        </w:tc>
        <w:tc>
          <w:tcPr>
            <w:tcW w:w="4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861" w:rsidRPr="003F51BF" w:rsidRDefault="00F04AAF">
            <w:pPr>
              <w:pStyle w:val="Body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MAPT</w:t>
            </w:r>
          </w:p>
        </w:tc>
        <w:tc>
          <w:tcPr>
            <w:tcW w:w="4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861" w:rsidRPr="003F51BF" w:rsidRDefault="00F04AAF">
            <w:pPr>
              <w:pStyle w:val="Body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DAPT</w:t>
            </w:r>
          </w:p>
        </w:tc>
      </w:tr>
      <w:tr w:rsidR="00A43861" w:rsidRPr="003F51BF">
        <w:trPr>
          <w:trHeight w:val="290"/>
        </w:trPr>
        <w:tc>
          <w:tcPr>
            <w:tcW w:w="2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861" w:rsidRPr="003F51BF" w:rsidRDefault="00A4386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861" w:rsidRPr="003F51BF" w:rsidRDefault="00564FD9">
            <w:pPr>
              <w:pStyle w:val="Body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Positive event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861" w:rsidRPr="003F51BF" w:rsidRDefault="00564FD9">
            <w:pPr>
              <w:pStyle w:val="Body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Number of patients receiving MAPT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861" w:rsidRPr="003F51BF" w:rsidRDefault="00564FD9">
            <w:pPr>
              <w:pStyle w:val="Body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Positive event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861" w:rsidRPr="003F51BF" w:rsidRDefault="00564FD9">
            <w:pPr>
              <w:pStyle w:val="Body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Number of patients receiving DAPT</w:t>
            </w:r>
          </w:p>
        </w:tc>
      </w:tr>
      <w:tr w:rsidR="00A43861" w:rsidRPr="003F51BF">
        <w:trPr>
          <w:trHeight w:val="49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>Randomized Controlled Trials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A4386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A4386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A4386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A4386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43861" w:rsidRPr="003F51BF">
        <w:trPr>
          <w:trHeight w:val="25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F51BF">
              <w:rPr>
                <w:sz w:val="18"/>
                <w:szCs w:val="18"/>
                <w:lang w:val="en-US"/>
              </w:rPr>
              <w:t>Rodes-Cabau</w:t>
            </w:r>
            <w:proofErr w:type="spellEnd"/>
            <w:r w:rsidRPr="003F51BF">
              <w:rPr>
                <w:sz w:val="18"/>
                <w:szCs w:val="18"/>
                <w:lang w:val="en-US"/>
              </w:rPr>
              <w:t xml:space="preserve"> (2017)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111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111</w:t>
            </w:r>
          </w:p>
        </w:tc>
      </w:tr>
      <w:tr w:rsidR="00A43861" w:rsidRPr="003F51BF">
        <w:trPr>
          <w:trHeight w:val="25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Stabile (2014)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60</w:t>
            </w:r>
          </w:p>
        </w:tc>
      </w:tr>
      <w:tr w:rsidR="00A43861" w:rsidRPr="003F51BF">
        <w:trPr>
          <w:trHeight w:val="25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F51BF">
              <w:rPr>
                <w:sz w:val="18"/>
                <w:szCs w:val="18"/>
                <w:lang w:val="en-US"/>
              </w:rPr>
              <w:t>Ussia</w:t>
            </w:r>
            <w:proofErr w:type="spellEnd"/>
            <w:r w:rsidRPr="003F51BF">
              <w:rPr>
                <w:sz w:val="18"/>
                <w:szCs w:val="18"/>
                <w:lang w:val="en-US"/>
              </w:rPr>
              <w:t xml:space="preserve"> (2011)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40</w:t>
            </w:r>
          </w:p>
        </w:tc>
      </w:tr>
      <w:tr w:rsidR="00A43861" w:rsidRPr="003F51BF">
        <w:trPr>
          <w:trHeight w:val="25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 xml:space="preserve">    Subtotal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>210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>211</w:t>
            </w:r>
          </w:p>
        </w:tc>
      </w:tr>
      <w:tr w:rsidR="00A43861" w:rsidRPr="003F51BF">
        <w:trPr>
          <w:trHeight w:val="23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A4386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A4386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A4386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A4386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A4386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43861" w:rsidRPr="003F51BF">
        <w:trPr>
          <w:trHeight w:val="49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>Observational Studies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A4386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A4386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A4386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A4386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43861" w:rsidRPr="003F51BF">
        <w:trPr>
          <w:trHeight w:val="49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 xml:space="preserve">De </w:t>
            </w:r>
            <w:proofErr w:type="spellStart"/>
            <w:r w:rsidRPr="003F51BF">
              <w:rPr>
                <w:sz w:val="18"/>
                <w:szCs w:val="18"/>
                <w:lang w:val="en-US"/>
              </w:rPr>
              <w:t>LaTorre</w:t>
            </w:r>
            <w:proofErr w:type="spellEnd"/>
            <w:r w:rsidRPr="003F51BF">
              <w:rPr>
                <w:sz w:val="18"/>
                <w:szCs w:val="18"/>
                <w:lang w:val="en-US"/>
              </w:rPr>
              <w:t xml:space="preserve"> Hernandez (2016)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50</w:t>
            </w:r>
          </w:p>
        </w:tc>
      </w:tr>
      <w:tr w:rsidR="00A43861" w:rsidRPr="003F51BF">
        <w:trPr>
          <w:trHeight w:val="25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Durand (2014)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164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128</w:t>
            </w:r>
          </w:p>
        </w:tc>
      </w:tr>
      <w:tr w:rsidR="00A43861" w:rsidRPr="003F51BF">
        <w:trPr>
          <w:trHeight w:val="25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F51BF">
              <w:rPr>
                <w:sz w:val="18"/>
                <w:szCs w:val="18"/>
                <w:lang w:val="en-US"/>
              </w:rPr>
              <w:t>Mangieri</w:t>
            </w:r>
            <w:proofErr w:type="spellEnd"/>
            <w:r w:rsidRPr="003F51BF">
              <w:rPr>
                <w:sz w:val="18"/>
                <w:szCs w:val="18"/>
                <w:lang w:val="en-US"/>
              </w:rPr>
              <w:t xml:space="preserve"> (2017)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198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331</w:t>
            </w:r>
          </w:p>
        </w:tc>
      </w:tr>
      <w:tr w:rsidR="00A43861" w:rsidRPr="003F51BF">
        <w:trPr>
          <w:trHeight w:val="25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F51BF">
              <w:rPr>
                <w:sz w:val="18"/>
                <w:szCs w:val="18"/>
                <w:lang w:val="en-US"/>
              </w:rPr>
              <w:t>Poliacikova</w:t>
            </w:r>
            <w:proofErr w:type="spellEnd"/>
            <w:r w:rsidRPr="003F51BF">
              <w:rPr>
                <w:sz w:val="18"/>
                <w:szCs w:val="18"/>
                <w:lang w:val="en-US"/>
              </w:rPr>
              <w:t xml:space="preserve"> (2013)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55</w:t>
            </w:r>
          </w:p>
        </w:tc>
      </w:tr>
      <w:tr w:rsidR="00A43861" w:rsidRPr="003F51BF">
        <w:trPr>
          <w:trHeight w:val="25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 xml:space="preserve">    Subtotal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>484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>564</w:t>
            </w:r>
          </w:p>
        </w:tc>
      </w:tr>
      <w:tr w:rsidR="00A43861" w:rsidRPr="003F51BF">
        <w:trPr>
          <w:trHeight w:val="25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>Total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>694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>15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>775</w:t>
            </w:r>
          </w:p>
        </w:tc>
      </w:tr>
    </w:tbl>
    <w:p w:rsidR="00A43861" w:rsidRPr="003F51BF" w:rsidRDefault="00A43861">
      <w:pPr>
        <w:pStyle w:val="Body"/>
        <w:widowControl w:val="0"/>
        <w:spacing w:line="240" w:lineRule="auto"/>
        <w:rPr>
          <w:sz w:val="18"/>
          <w:szCs w:val="18"/>
        </w:rPr>
      </w:pPr>
    </w:p>
    <w:p w:rsidR="00A43861" w:rsidRPr="003F51BF" w:rsidRDefault="00A43861">
      <w:pPr>
        <w:pStyle w:val="Body"/>
        <w:rPr>
          <w:sz w:val="18"/>
          <w:szCs w:val="18"/>
        </w:rPr>
      </w:pPr>
    </w:p>
    <w:p w:rsidR="00A43861" w:rsidRPr="003F51BF" w:rsidRDefault="00A43861">
      <w:pPr>
        <w:pStyle w:val="Body"/>
        <w:rPr>
          <w:sz w:val="18"/>
          <w:szCs w:val="18"/>
        </w:rPr>
      </w:pPr>
    </w:p>
    <w:p w:rsidR="00A43861" w:rsidRPr="003F51BF" w:rsidRDefault="00A43861">
      <w:pPr>
        <w:pStyle w:val="Body"/>
        <w:rPr>
          <w:sz w:val="18"/>
          <w:szCs w:val="18"/>
        </w:rPr>
      </w:pPr>
    </w:p>
    <w:p w:rsidR="00E30EFB" w:rsidRDefault="00E30EFB">
      <w:pPr>
        <w:pStyle w:val="Body"/>
        <w:rPr>
          <w:b/>
          <w:bCs/>
          <w:sz w:val="18"/>
          <w:szCs w:val="18"/>
          <w:lang w:val="en-US"/>
        </w:rPr>
      </w:pPr>
    </w:p>
    <w:p w:rsidR="00E30EFB" w:rsidRDefault="00E30EFB">
      <w:pPr>
        <w:pStyle w:val="Body"/>
        <w:rPr>
          <w:b/>
          <w:bCs/>
          <w:sz w:val="18"/>
          <w:szCs w:val="18"/>
          <w:lang w:val="en-US"/>
        </w:rPr>
      </w:pPr>
    </w:p>
    <w:p w:rsidR="00E30EFB" w:rsidRDefault="00E30EFB">
      <w:pPr>
        <w:pStyle w:val="Body"/>
        <w:rPr>
          <w:b/>
          <w:bCs/>
          <w:sz w:val="18"/>
          <w:szCs w:val="18"/>
          <w:lang w:val="en-US"/>
        </w:rPr>
      </w:pPr>
    </w:p>
    <w:p w:rsidR="00E30EFB" w:rsidRDefault="00E30EFB">
      <w:pPr>
        <w:pStyle w:val="Body"/>
        <w:rPr>
          <w:b/>
          <w:bCs/>
          <w:sz w:val="18"/>
          <w:szCs w:val="18"/>
          <w:lang w:val="en-US"/>
        </w:rPr>
      </w:pPr>
    </w:p>
    <w:p w:rsidR="00A43861" w:rsidRPr="0040577D" w:rsidRDefault="00F04AAF">
      <w:pPr>
        <w:pStyle w:val="Body"/>
        <w:rPr>
          <w:b/>
          <w:bCs/>
          <w:sz w:val="18"/>
          <w:szCs w:val="18"/>
        </w:rPr>
      </w:pPr>
      <w:r w:rsidRPr="0040577D">
        <w:rPr>
          <w:b/>
          <w:bCs/>
          <w:sz w:val="18"/>
          <w:szCs w:val="18"/>
          <w:lang w:val="en-US"/>
        </w:rPr>
        <w:lastRenderedPageBreak/>
        <w:t xml:space="preserve">Table S3d:  </w:t>
      </w:r>
      <w:r w:rsidR="009B16EB" w:rsidRPr="0040577D">
        <w:rPr>
          <w:b/>
          <w:bCs/>
          <w:sz w:val="18"/>
          <w:szCs w:val="18"/>
          <w:lang w:val="en-US"/>
        </w:rPr>
        <w:t>Number of m</w:t>
      </w:r>
      <w:r w:rsidRPr="0040577D">
        <w:rPr>
          <w:b/>
          <w:bCs/>
          <w:sz w:val="18"/>
          <w:szCs w:val="18"/>
          <w:lang w:val="en-US"/>
        </w:rPr>
        <w:t>ajor Stroke</w:t>
      </w:r>
      <w:r w:rsidR="009B16EB" w:rsidRPr="0040577D">
        <w:rPr>
          <w:b/>
          <w:bCs/>
          <w:sz w:val="18"/>
          <w:szCs w:val="18"/>
          <w:lang w:val="en-US"/>
        </w:rPr>
        <w:t xml:space="preserve"> events reported for each regimen in included studies</w:t>
      </w:r>
    </w:p>
    <w:tbl>
      <w:tblPr>
        <w:tblW w:w="1180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360"/>
        <w:gridCol w:w="2360"/>
        <w:gridCol w:w="2364"/>
        <w:gridCol w:w="2360"/>
        <w:gridCol w:w="2364"/>
      </w:tblGrid>
      <w:tr w:rsidR="00A43861" w:rsidRPr="003F51BF">
        <w:trPr>
          <w:trHeight w:val="290"/>
        </w:trPr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861" w:rsidRPr="003F51BF" w:rsidRDefault="00F04AAF">
            <w:pPr>
              <w:pStyle w:val="Body"/>
              <w:jc w:val="center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Study</w:t>
            </w:r>
          </w:p>
        </w:tc>
        <w:tc>
          <w:tcPr>
            <w:tcW w:w="4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861" w:rsidRPr="003F51BF" w:rsidRDefault="00F04AAF">
            <w:pPr>
              <w:pStyle w:val="Body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MAPT</w:t>
            </w:r>
          </w:p>
        </w:tc>
        <w:tc>
          <w:tcPr>
            <w:tcW w:w="4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861" w:rsidRPr="003F51BF" w:rsidRDefault="00F04AAF">
            <w:pPr>
              <w:pStyle w:val="Body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DAPT</w:t>
            </w:r>
          </w:p>
        </w:tc>
      </w:tr>
      <w:tr w:rsidR="00A43861" w:rsidRPr="003F51BF">
        <w:trPr>
          <w:trHeight w:val="290"/>
        </w:trPr>
        <w:tc>
          <w:tcPr>
            <w:tcW w:w="2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861" w:rsidRPr="003F51BF" w:rsidRDefault="00A4386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861" w:rsidRPr="003F51BF" w:rsidRDefault="00564FD9">
            <w:pPr>
              <w:pStyle w:val="Body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Positive event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861" w:rsidRPr="003F51BF" w:rsidRDefault="00564FD9">
            <w:pPr>
              <w:pStyle w:val="Body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Number of patients receiving MAPT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861" w:rsidRPr="003F51BF" w:rsidRDefault="00564FD9">
            <w:pPr>
              <w:pStyle w:val="Body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Positive event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861" w:rsidRPr="003F51BF" w:rsidRDefault="00564FD9">
            <w:pPr>
              <w:pStyle w:val="Body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Number of patients receiving DAPT</w:t>
            </w:r>
          </w:p>
        </w:tc>
      </w:tr>
      <w:tr w:rsidR="00A43861" w:rsidRPr="003F51BF">
        <w:trPr>
          <w:trHeight w:val="49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>Randomized Controlled Trials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A4386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A4386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A4386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A4386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43861" w:rsidRPr="003F51BF">
        <w:trPr>
          <w:trHeight w:val="25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F51BF">
              <w:rPr>
                <w:sz w:val="18"/>
                <w:szCs w:val="18"/>
                <w:lang w:val="en-US"/>
              </w:rPr>
              <w:t>Rodes-Cabau</w:t>
            </w:r>
            <w:proofErr w:type="spellEnd"/>
            <w:r w:rsidRPr="003F51BF">
              <w:rPr>
                <w:sz w:val="18"/>
                <w:szCs w:val="18"/>
                <w:lang w:val="en-US"/>
              </w:rPr>
              <w:t xml:space="preserve"> (2017)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111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111</w:t>
            </w:r>
          </w:p>
        </w:tc>
      </w:tr>
      <w:tr w:rsidR="00A43861" w:rsidRPr="003F51BF">
        <w:trPr>
          <w:trHeight w:val="25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Stabile (2014)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60</w:t>
            </w:r>
          </w:p>
        </w:tc>
      </w:tr>
      <w:tr w:rsidR="00A43861" w:rsidRPr="003F51BF">
        <w:trPr>
          <w:trHeight w:val="25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F51BF">
              <w:rPr>
                <w:sz w:val="18"/>
                <w:szCs w:val="18"/>
                <w:lang w:val="en-US"/>
              </w:rPr>
              <w:t>Ussia</w:t>
            </w:r>
            <w:proofErr w:type="spellEnd"/>
            <w:r w:rsidRPr="003F51BF">
              <w:rPr>
                <w:sz w:val="18"/>
                <w:szCs w:val="18"/>
                <w:lang w:val="en-US"/>
              </w:rPr>
              <w:t xml:space="preserve"> (2011)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40</w:t>
            </w:r>
          </w:p>
        </w:tc>
      </w:tr>
      <w:tr w:rsidR="00A43861" w:rsidRPr="003F51BF">
        <w:trPr>
          <w:trHeight w:val="25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 xml:space="preserve">     Subtotal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>210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>211</w:t>
            </w:r>
          </w:p>
        </w:tc>
      </w:tr>
      <w:tr w:rsidR="00A43861" w:rsidRPr="003F51BF">
        <w:trPr>
          <w:trHeight w:val="23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A4386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A4386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A4386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A4386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A4386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43861" w:rsidRPr="003F51BF">
        <w:trPr>
          <w:trHeight w:val="49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>Observational studies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A4386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A4386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A4386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A4386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43861" w:rsidRPr="003F51BF">
        <w:trPr>
          <w:trHeight w:val="25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F51BF">
              <w:rPr>
                <w:sz w:val="18"/>
                <w:szCs w:val="18"/>
                <w:lang w:val="en-US"/>
              </w:rPr>
              <w:t>D'ascenzo</w:t>
            </w:r>
            <w:proofErr w:type="spellEnd"/>
            <w:r w:rsidRPr="003F51BF">
              <w:rPr>
                <w:sz w:val="18"/>
                <w:szCs w:val="18"/>
                <w:lang w:val="en-US"/>
              </w:rPr>
              <w:t xml:space="preserve"> (2017)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605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605</w:t>
            </w:r>
          </w:p>
        </w:tc>
      </w:tr>
      <w:tr w:rsidR="00A43861" w:rsidRPr="003F51BF">
        <w:trPr>
          <w:trHeight w:val="49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 xml:space="preserve">De </w:t>
            </w:r>
            <w:proofErr w:type="spellStart"/>
            <w:r w:rsidRPr="003F51BF">
              <w:rPr>
                <w:sz w:val="18"/>
                <w:szCs w:val="18"/>
                <w:lang w:val="en-US"/>
              </w:rPr>
              <w:t>LaTorre</w:t>
            </w:r>
            <w:proofErr w:type="spellEnd"/>
            <w:r w:rsidRPr="003F51BF">
              <w:rPr>
                <w:sz w:val="18"/>
                <w:szCs w:val="18"/>
                <w:lang w:val="en-US"/>
              </w:rPr>
              <w:t xml:space="preserve"> Hernandez (2016)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50</w:t>
            </w:r>
          </w:p>
        </w:tc>
      </w:tr>
      <w:tr w:rsidR="00A43861" w:rsidRPr="003F51BF">
        <w:trPr>
          <w:trHeight w:val="25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Durand (2014)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164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128</w:t>
            </w:r>
          </w:p>
        </w:tc>
      </w:tr>
      <w:tr w:rsidR="00A43861" w:rsidRPr="003F51BF">
        <w:trPr>
          <w:trHeight w:val="25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F51BF">
              <w:rPr>
                <w:sz w:val="18"/>
                <w:szCs w:val="18"/>
                <w:lang w:val="en-US"/>
              </w:rPr>
              <w:t>Mangieri</w:t>
            </w:r>
            <w:proofErr w:type="spellEnd"/>
            <w:r w:rsidRPr="003F51BF">
              <w:rPr>
                <w:sz w:val="18"/>
                <w:szCs w:val="18"/>
                <w:lang w:val="en-US"/>
              </w:rPr>
              <w:t xml:space="preserve"> (2017)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108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331</w:t>
            </w:r>
          </w:p>
        </w:tc>
      </w:tr>
      <w:tr w:rsidR="00A43861" w:rsidRPr="003F51BF">
        <w:trPr>
          <w:trHeight w:val="25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F51BF">
              <w:rPr>
                <w:sz w:val="18"/>
                <w:szCs w:val="18"/>
                <w:lang w:val="en-US"/>
              </w:rPr>
              <w:t>Poliacikova</w:t>
            </w:r>
            <w:proofErr w:type="spellEnd"/>
            <w:r w:rsidRPr="003F51BF">
              <w:rPr>
                <w:sz w:val="18"/>
                <w:szCs w:val="18"/>
                <w:lang w:val="en-US"/>
              </w:rPr>
              <w:t xml:space="preserve"> (2013)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55</w:t>
            </w:r>
          </w:p>
        </w:tc>
      </w:tr>
      <w:tr w:rsidR="00A43861" w:rsidRPr="003F51BF">
        <w:trPr>
          <w:trHeight w:val="25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Sherwood (2015)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1638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140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4132</w:t>
            </w:r>
          </w:p>
        </w:tc>
      </w:tr>
      <w:tr w:rsidR="00A43861" w:rsidRPr="003F51BF">
        <w:trPr>
          <w:trHeight w:val="25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 xml:space="preserve">     Subtotal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E1646B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>84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E1646B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>2637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E1646B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>160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E1646B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>5301</w:t>
            </w:r>
          </w:p>
        </w:tc>
      </w:tr>
      <w:tr w:rsidR="00A43861" w:rsidRPr="003F51BF">
        <w:trPr>
          <w:trHeight w:val="25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 xml:space="preserve">Total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E1646B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>88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E1646B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>2847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E1646B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>166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E1646B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>5512</w:t>
            </w:r>
          </w:p>
        </w:tc>
      </w:tr>
    </w:tbl>
    <w:p w:rsidR="00C65380" w:rsidRPr="003F51BF" w:rsidRDefault="00C65380">
      <w:pPr>
        <w:pStyle w:val="Body"/>
        <w:rPr>
          <w:sz w:val="18"/>
          <w:szCs w:val="18"/>
          <w:lang w:val="en-US"/>
        </w:rPr>
      </w:pPr>
    </w:p>
    <w:p w:rsidR="00C65380" w:rsidRPr="003F51BF" w:rsidRDefault="00C65380">
      <w:pPr>
        <w:pStyle w:val="Body"/>
        <w:rPr>
          <w:sz w:val="18"/>
          <w:szCs w:val="18"/>
          <w:lang w:val="en-US"/>
        </w:rPr>
      </w:pPr>
    </w:p>
    <w:p w:rsidR="00C65380" w:rsidRPr="003F51BF" w:rsidRDefault="00C65380">
      <w:pPr>
        <w:pStyle w:val="Body"/>
        <w:rPr>
          <w:sz w:val="18"/>
          <w:szCs w:val="18"/>
          <w:lang w:val="en-US"/>
        </w:rPr>
      </w:pPr>
    </w:p>
    <w:p w:rsidR="00531938" w:rsidRDefault="00531938">
      <w:pPr>
        <w:pStyle w:val="Body"/>
        <w:rPr>
          <w:sz w:val="18"/>
          <w:szCs w:val="18"/>
          <w:lang w:val="en-US"/>
        </w:rPr>
      </w:pPr>
    </w:p>
    <w:p w:rsidR="00E30EFB" w:rsidRDefault="00E30EFB">
      <w:pPr>
        <w:pStyle w:val="Body"/>
        <w:rPr>
          <w:b/>
          <w:bCs/>
          <w:sz w:val="18"/>
          <w:szCs w:val="18"/>
          <w:lang w:val="en-US"/>
        </w:rPr>
      </w:pPr>
    </w:p>
    <w:p w:rsidR="00E30EFB" w:rsidRDefault="00E30EFB">
      <w:pPr>
        <w:pStyle w:val="Body"/>
        <w:rPr>
          <w:b/>
          <w:bCs/>
          <w:sz w:val="18"/>
          <w:szCs w:val="18"/>
          <w:lang w:val="en-US"/>
        </w:rPr>
      </w:pPr>
    </w:p>
    <w:p w:rsidR="00A43861" w:rsidRPr="0040577D" w:rsidRDefault="00BB611B">
      <w:pPr>
        <w:pStyle w:val="Body"/>
        <w:rPr>
          <w:b/>
          <w:bCs/>
          <w:sz w:val="18"/>
          <w:szCs w:val="18"/>
        </w:rPr>
      </w:pPr>
      <w:r w:rsidRPr="0040577D">
        <w:rPr>
          <w:b/>
          <w:bCs/>
          <w:sz w:val="18"/>
          <w:szCs w:val="18"/>
          <w:lang w:val="en-US"/>
        </w:rPr>
        <w:lastRenderedPageBreak/>
        <w:t xml:space="preserve">Table S3e: </w:t>
      </w:r>
      <w:r w:rsidR="009B16EB" w:rsidRPr="0040577D">
        <w:rPr>
          <w:b/>
          <w:bCs/>
          <w:sz w:val="18"/>
          <w:szCs w:val="18"/>
          <w:lang w:val="en-US"/>
        </w:rPr>
        <w:t>Number of m</w:t>
      </w:r>
      <w:r w:rsidRPr="0040577D">
        <w:rPr>
          <w:b/>
          <w:bCs/>
          <w:sz w:val="18"/>
          <w:szCs w:val="18"/>
          <w:lang w:val="en-US"/>
        </w:rPr>
        <w:t xml:space="preserve">ajor and </w:t>
      </w:r>
      <w:r w:rsidRPr="0040577D">
        <w:rPr>
          <w:rFonts w:cs="Arial"/>
          <w:b/>
          <w:bCs/>
          <w:sz w:val="18"/>
          <w:szCs w:val="18"/>
        </w:rPr>
        <w:t>life-</w:t>
      </w:r>
      <w:proofErr w:type="spellStart"/>
      <w:r w:rsidRPr="0040577D">
        <w:rPr>
          <w:rFonts w:cs="Arial"/>
          <w:b/>
          <w:bCs/>
          <w:sz w:val="18"/>
          <w:szCs w:val="18"/>
        </w:rPr>
        <w:t>threatening</w:t>
      </w:r>
      <w:proofErr w:type="spellEnd"/>
      <w:r w:rsidR="009B16EB" w:rsidRPr="0040577D">
        <w:rPr>
          <w:b/>
          <w:bCs/>
          <w:sz w:val="18"/>
          <w:szCs w:val="18"/>
          <w:lang w:val="en-US"/>
        </w:rPr>
        <w:t xml:space="preserve"> b</w:t>
      </w:r>
      <w:r w:rsidR="00F04AAF" w:rsidRPr="0040577D">
        <w:rPr>
          <w:b/>
          <w:bCs/>
          <w:sz w:val="18"/>
          <w:szCs w:val="18"/>
          <w:lang w:val="en-US"/>
        </w:rPr>
        <w:t>leeding</w:t>
      </w:r>
      <w:r w:rsidR="009B16EB" w:rsidRPr="0040577D">
        <w:rPr>
          <w:b/>
          <w:bCs/>
          <w:sz w:val="18"/>
          <w:szCs w:val="18"/>
          <w:lang w:val="en-US"/>
        </w:rPr>
        <w:t xml:space="preserve"> events reported for each regimen in included studies</w:t>
      </w:r>
    </w:p>
    <w:tbl>
      <w:tblPr>
        <w:tblW w:w="1180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360"/>
        <w:gridCol w:w="2360"/>
        <w:gridCol w:w="2364"/>
        <w:gridCol w:w="2360"/>
        <w:gridCol w:w="2364"/>
      </w:tblGrid>
      <w:tr w:rsidR="00A43861" w:rsidRPr="003F51BF">
        <w:trPr>
          <w:trHeight w:val="290"/>
        </w:trPr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861" w:rsidRPr="003F51BF" w:rsidRDefault="00F04AAF">
            <w:pPr>
              <w:pStyle w:val="Body"/>
              <w:jc w:val="center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Study</w:t>
            </w:r>
          </w:p>
        </w:tc>
        <w:tc>
          <w:tcPr>
            <w:tcW w:w="4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861" w:rsidRPr="003F51BF" w:rsidRDefault="00F04AAF">
            <w:pPr>
              <w:pStyle w:val="Body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MAPT</w:t>
            </w:r>
          </w:p>
        </w:tc>
        <w:tc>
          <w:tcPr>
            <w:tcW w:w="4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861" w:rsidRPr="003F51BF" w:rsidRDefault="00F04AAF">
            <w:pPr>
              <w:pStyle w:val="Body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DAPT</w:t>
            </w:r>
          </w:p>
        </w:tc>
      </w:tr>
      <w:tr w:rsidR="00A43861" w:rsidRPr="003F51BF">
        <w:trPr>
          <w:trHeight w:val="290"/>
        </w:trPr>
        <w:tc>
          <w:tcPr>
            <w:tcW w:w="2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861" w:rsidRPr="003F51BF" w:rsidRDefault="00A4386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861" w:rsidRPr="003F51BF" w:rsidRDefault="00564FD9">
            <w:pPr>
              <w:pStyle w:val="Body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Positive event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861" w:rsidRPr="003F51BF" w:rsidRDefault="00564FD9">
            <w:pPr>
              <w:pStyle w:val="Body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Number of patients receiving MAPT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861" w:rsidRPr="003F51BF" w:rsidRDefault="00564FD9">
            <w:pPr>
              <w:pStyle w:val="Body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Positive event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861" w:rsidRPr="003F51BF" w:rsidRDefault="00564FD9">
            <w:pPr>
              <w:pStyle w:val="Body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Number of patients receiving DAPT</w:t>
            </w:r>
          </w:p>
        </w:tc>
      </w:tr>
      <w:tr w:rsidR="00A43861" w:rsidRPr="003F51BF">
        <w:trPr>
          <w:trHeight w:val="49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>Randomized Controlled Trials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A4386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A4386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A4386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A4386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43861" w:rsidRPr="003F51BF">
        <w:trPr>
          <w:trHeight w:val="25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F51BF">
              <w:rPr>
                <w:sz w:val="18"/>
                <w:szCs w:val="18"/>
                <w:lang w:val="en-US"/>
              </w:rPr>
              <w:t>Rodes-Cabau</w:t>
            </w:r>
            <w:proofErr w:type="spellEnd"/>
            <w:r w:rsidRPr="003F51BF">
              <w:rPr>
                <w:sz w:val="18"/>
                <w:szCs w:val="18"/>
                <w:lang w:val="en-US"/>
              </w:rPr>
              <w:t xml:space="preserve"> (2017)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111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111</w:t>
            </w:r>
          </w:p>
        </w:tc>
      </w:tr>
      <w:tr w:rsidR="00A43861" w:rsidRPr="003F51BF">
        <w:trPr>
          <w:trHeight w:val="25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Stabile (2014)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60</w:t>
            </w:r>
          </w:p>
        </w:tc>
      </w:tr>
      <w:tr w:rsidR="00A43861" w:rsidRPr="003F51BF">
        <w:trPr>
          <w:trHeight w:val="25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F51BF">
              <w:rPr>
                <w:sz w:val="18"/>
                <w:szCs w:val="18"/>
                <w:lang w:val="en-US"/>
              </w:rPr>
              <w:t>Ussia</w:t>
            </w:r>
            <w:proofErr w:type="spellEnd"/>
            <w:r w:rsidRPr="003F51BF">
              <w:rPr>
                <w:sz w:val="18"/>
                <w:szCs w:val="18"/>
                <w:lang w:val="en-US"/>
              </w:rPr>
              <w:t xml:space="preserve"> (2011)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40</w:t>
            </w:r>
          </w:p>
        </w:tc>
      </w:tr>
      <w:tr w:rsidR="00A43861" w:rsidRPr="003F51BF">
        <w:trPr>
          <w:trHeight w:val="25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 xml:space="preserve">   Subtotal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>210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>20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>211</w:t>
            </w:r>
          </w:p>
        </w:tc>
      </w:tr>
      <w:tr w:rsidR="00A43861" w:rsidRPr="003F51BF">
        <w:trPr>
          <w:trHeight w:val="23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A4386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A4386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A4386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A4386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A4386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43861" w:rsidRPr="003F51BF">
        <w:trPr>
          <w:trHeight w:val="49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>Observational Studies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A4386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A4386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A4386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A4386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43861" w:rsidRPr="003F51BF">
        <w:trPr>
          <w:trHeight w:val="25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Chandrasekhar (2017)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208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434</w:t>
            </w:r>
          </w:p>
        </w:tc>
      </w:tr>
      <w:tr w:rsidR="00A43861" w:rsidRPr="003F51BF">
        <w:trPr>
          <w:trHeight w:val="25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F51BF">
              <w:rPr>
                <w:sz w:val="18"/>
                <w:szCs w:val="18"/>
                <w:lang w:val="en-US"/>
              </w:rPr>
              <w:t>D'ascenzo</w:t>
            </w:r>
            <w:proofErr w:type="spellEnd"/>
            <w:r w:rsidRPr="003F51BF">
              <w:rPr>
                <w:sz w:val="18"/>
                <w:szCs w:val="18"/>
                <w:lang w:val="en-US"/>
              </w:rPr>
              <w:t xml:space="preserve"> (2017)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605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605</w:t>
            </w:r>
          </w:p>
        </w:tc>
      </w:tr>
      <w:tr w:rsidR="00A43861" w:rsidRPr="003F51BF">
        <w:trPr>
          <w:trHeight w:val="49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 xml:space="preserve">De </w:t>
            </w:r>
            <w:proofErr w:type="spellStart"/>
            <w:r w:rsidRPr="003F51BF">
              <w:rPr>
                <w:sz w:val="18"/>
                <w:szCs w:val="18"/>
                <w:lang w:val="en-US"/>
              </w:rPr>
              <w:t>LaTorre</w:t>
            </w:r>
            <w:proofErr w:type="spellEnd"/>
            <w:r w:rsidRPr="003F51BF">
              <w:rPr>
                <w:sz w:val="18"/>
                <w:szCs w:val="18"/>
                <w:lang w:val="en-US"/>
              </w:rPr>
              <w:t xml:space="preserve"> Hernandez (2016)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50</w:t>
            </w:r>
          </w:p>
        </w:tc>
      </w:tr>
      <w:tr w:rsidR="00A43861" w:rsidRPr="003F51BF">
        <w:trPr>
          <w:trHeight w:val="25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Durand (2014)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164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128</w:t>
            </w:r>
          </w:p>
        </w:tc>
      </w:tr>
      <w:tr w:rsidR="00A43861" w:rsidRPr="003F51BF">
        <w:trPr>
          <w:trHeight w:val="25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F51BF">
              <w:rPr>
                <w:sz w:val="18"/>
                <w:szCs w:val="18"/>
                <w:lang w:val="en-US"/>
              </w:rPr>
              <w:t>Hioki</w:t>
            </w:r>
            <w:proofErr w:type="spellEnd"/>
            <w:r w:rsidRPr="003F51BF">
              <w:rPr>
                <w:sz w:val="18"/>
                <w:szCs w:val="18"/>
                <w:lang w:val="en-US"/>
              </w:rPr>
              <w:t xml:space="preserve"> (2016)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167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107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293</w:t>
            </w:r>
          </w:p>
        </w:tc>
      </w:tr>
      <w:tr w:rsidR="00A43861" w:rsidRPr="003F51BF">
        <w:trPr>
          <w:trHeight w:val="25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F51BF">
              <w:rPr>
                <w:sz w:val="18"/>
                <w:szCs w:val="18"/>
                <w:lang w:val="en-US"/>
              </w:rPr>
              <w:t>Mangieri</w:t>
            </w:r>
            <w:proofErr w:type="spellEnd"/>
            <w:r w:rsidRPr="003F51BF">
              <w:rPr>
                <w:sz w:val="18"/>
                <w:szCs w:val="18"/>
                <w:lang w:val="en-US"/>
              </w:rPr>
              <w:t xml:space="preserve"> (2017)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108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331</w:t>
            </w:r>
          </w:p>
        </w:tc>
      </w:tr>
      <w:tr w:rsidR="00A43861" w:rsidRPr="003F51BF">
        <w:trPr>
          <w:trHeight w:val="25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F51BF">
              <w:rPr>
                <w:sz w:val="18"/>
                <w:szCs w:val="18"/>
                <w:lang w:val="en-US"/>
              </w:rPr>
              <w:t>Poliacikova</w:t>
            </w:r>
            <w:proofErr w:type="spellEnd"/>
            <w:r w:rsidRPr="003F51BF">
              <w:rPr>
                <w:sz w:val="18"/>
                <w:szCs w:val="18"/>
                <w:lang w:val="en-US"/>
              </w:rPr>
              <w:t xml:space="preserve"> (2013)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55</w:t>
            </w:r>
          </w:p>
        </w:tc>
      </w:tr>
      <w:tr w:rsidR="00A43861" w:rsidRPr="003F51BF">
        <w:trPr>
          <w:trHeight w:val="25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Sherwood (2015)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321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1638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636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4132</w:t>
            </w:r>
          </w:p>
        </w:tc>
      </w:tr>
      <w:tr w:rsidR="00A43861" w:rsidRPr="003F51BF">
        <w:trPr>
          <w:trHeight w:val="25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31403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Ichibori</w:t>
            </w:r>
            <w:r w:rsidR="00F04AAF" w:rsidRPr="003F51BF">
              <w:rPr>
                <w:sz w:val="18"/>
                <w:szCs w:val="18"/>
                <w:lang w:val="en-US"/>
              </w:rPr>
              <w:t xml:space="preserve"> (2017)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78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sz w:val="18"/>
                <w:szCs w:val="18"/>
                <w:lang w:val="en-US"/>
              </w:rPr>
              <w:t>66</w:t>
            </w:r>
          </w:p>
        </w:tc>
      </w:tr>
      <w:tr w:rsidR="00A43861" w:rsidRPr="003F51BF">
        <w:trPr>
          <w:trHeight w:val="25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 xml:space="preserve">   Subtotal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>455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>3090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>962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>6094</w:t>
            </w:r>
          </w:p>
        </w:tc>
      </w:tr>
      <w:tr w:rsidR="00A43861" w:rsidRPr="003F51BF">
        <w:trPr>
          <w:trHeight w:val="25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>Total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>465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>3300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>982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861" w:rsidRPr="003F51BF" w:rsidRDefault="00F04A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3F51BF">
              <w:rPr>
                <w:b/>
                <w:bCs/>
                <w:sz w:val="18"/>
                <w:szCs w:val="18"/>
                <w:lang w:val="en-US"/>
              </w:rPr>
              <w:t>6305</w:t>
            </w:r>
          </w:p>
        </w:tc>
      </w:tr>
    </w:tbl>
    <w:p w:rsidR="00A43861" w:rsidRDefault="00A43861">
      <w:pPr>
        <w:pStyle w:val="Body"/>
        <w:rPr>
          <w:sz w:val="18"/>
          <w:szCs w:val="18"/>
        </w:rPr>
      </w:pPr>
    </w:p>
    <w:p w:rsidR="004C68A0" w:rsidRDefault="004C68A0">
      <w:pPr>
        <w:pStyle w:val="Body"/>
        <w:rPr>
          <w:sz w:val="18"/>
          <w:szCs w:val="18"/>
        </w:rPr>
      </w:pPr>
    </w:p>
    <w:p w:rsidR="004C68A0" w:rsidRDefault="004C68A0">
      <w:pPr>
        <w:pStyle w:val="Body"/>
        <w:rPr>
          <w:sz w:val="18"/>
          <w:szCs w:val="18"/>
        </w:rPr>
      </w:pPr>
    </w:p>
    <w:p w:rsidR="004C68A0" w:rsidRDefault="004C68A0">
      <w:pPr>
        <w:pStyle w:val="Body"/>
        <w:rPr>
          <w:sz w:val="18"/>
          <w:szCs w:val="18"/>
        </w:rPr>
      </w:pPr>
    </w:p>
    <w:tbl>
      <w:tblPr>
        <w:tblStyle w:val="TableGrid"/>
        <w:tblpPr w:leftFromText="180" w:rightFromText="180" w:vertAnchor="page" w:horzAnchor="margin" w:tblpY="2768"/>
        <w:tblW w:w="5000" w:type="pct"/>
        <w:tblLook w:val="04A0" w:firstRow="1" w:lastRow="0" w:firstColumn="1" w:lastColumn="0" w:noHBand="0" w:noVBand="1"/>
      </w:tblPr>
      <w:tblGrid>
        <w:gridCol w:w="845"/>
        <w:gridCol w:w="495"/>
        <w:gridCol w:w="477"/>
        <w:gridCol w:w="506"/>
        <w:gridCol w:w="507"/>
        <w:gridCol w:w="564"/>
        <w:gridCol w:w="564"/>
        <w:gridCol w:w="536"/>
        <w:gridCol w:w="623"/>
        <w:gridCol w:w="623"/>
        <w:gridCol w:w="682"/>
        <w:gridCol w:w="682"/>
        <w:gridCol w:w="682"/>
        <w:gridCol w:w="682"/>
        <w:gridCol w:w="682"/>
        <w:gridCol w:w="507"/>
        <w:gridCol w:w="507"/>
        <w:gridCol w:w="682"/>
        <w:gridCol w:w="623"/>
        <w:gridCol w:w="594"/>
        <w:gridCol w:w="623"/>
        <w:gridCol w:w="496"/>
        <w:gridCol w:w="469"/>
        <w:gridCol w:w="496"/>
        <w:gridCol w:w="469"/>
      </w:tblGrid>
      <w:tr w:rsidR="00E30EFB" w:rsidRPr="00E30EFB" w:rsidTr="00E30EFB">
        <w:tc>
          <w:tcPr>
            <w:tcW w:w="240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Study name</w:t>
            </w:r>
          </w:p>
        </w:tc>
        <w:tc>
          <w:tcPr>
            <w:tcW w:w="344" w:type="pct"/>
            <w:gridSpan w:val="2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Stabile</w:t>
            </w:r>
          </w:p>
        </w:tc>
        <w:tc>
          <w:tcPr>
            <w:tcW w:w="344" w:type="pct"/>
            <w:gridSpan w:val="2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E30EFB">
              <w:rPr>
                <w:rFonts w:ascii="Calibri" w:hAnsi="Calibri"/>
                <w:sz w:val="16"/>
                <w:szCs w:val="16"/>
              </w:rPr>
              <w:t>Ussia</w:t>
            </w:r>
            <w:proofErr w:type="spellEnd"/>
          </w:p>
        </w:tc>
        <w:tc>
          <w:tcPr>
            <w:tcW w:w="388" w:type="pct"/>
            <w:gridSpan w:val="2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E30EFB">
              <w:rPr>
                <w:rFonts w:ascii="Calibri" w:hAnsi="Calibri"/>
                <w:sz w:val="16"/>
                <w:szCs w:val="16"/>
              </w:rPr>
              <w:t>Rodes</w:t>
            </w:r>
            <w:proofErr w:type="spellEnd"/>
            <w:r w:rsidRPr="00E30EFB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E30EFB">
              <w:rPr>
                <w:rFonts w:ascii="Calibri" w:hAnsi="Calibri"/>
                <w:sz w:val="16"/>
                <w:szCs w:val="16"/>
              </w:rPr>
              <w:t>Cabau</w:t>
            </w:r>
            <w:proofErr w:type="spellEnd"/>
          </w:p>
        </w:tc>
        <w:tc>
          <w:tcPr>
            <w:tcW w:w="398" w:type="pct"/>
            <w:gridSpan w:val="2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E30EFB">
              <w:rPr>
                <w:rFonts w:ascii="Calibri" w:hAnsi="Calibri"/>
                <w:sz w:val="16"/>
                <w:szCs w:val="16"/>
              </w:rPr>
              <w:t>Poliacikova</w:t>
            </w:r>
            <w:proofErr w:type="spellEnd"/>
          </w:p>
        </w:tc>
        <w:tc>
          <w:tcPr>
            <w:tcW w:w="448" w:type="pct"/>
            <w:gridSpan w:val="2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Durand</w:t>
            </w:r>
          </w:p>
        </w:tc>
        <w:tc>
          <w:tcPr>
            <w:tcW w:w="468" w:type="pct"/>
            <w:gridSpan w:val="2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E30EFB">
              <w:rPr>
                <w:rFonts w:ascii="Calibri" w:hAnsi="Calibri"/>
                <w:sz w:val="16"/>
                <w:szCs w:val="16"/>
              </w:rPr>
              <w:t>Mangieri</w:t>
            </w:r>
            <w:proofErr w:type="spellEnd"/>
          </w:p>
        </w:tc>
        <w:tc>
          <w:tcPr>
            <w:tcW w:w="468" w:type="pct"/>
            <w:gridSpan w:val="2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E30EFB">
              <w:rPr>
                <w:rFonts w:ascii="Calibri" w:hAnsi="Calibri"/>
                <w:sz w:val="16"/>
                <w:szCs w:val="16"/>
              </w:rPr>
              <w:t>Ichibori</w:t>
            </w:r>
            <w:proofErr w:type="spellEnd"/>
          </w:p>
        </w:tc>
        <w:tc>
          <w:tcPr>
            <w:tcW w:w="348" w:type="pct"/>
            <w:gridSpan w:val="2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E30EFB">
              <w:rPr>
                <w:rFonts w:ascii="Calibri" w:hAnsi="Calibri"/>
                <w:sz w:val="16"/>
                <w:szCs w:val="16"/>
              </w:rPr>
              <w:t>D’ascenzo</w:t>
            </w:r>
            <w:proofErr w:type="spellEnd"/>
          </w:p>
        </w:tc>
        <w:tc>
          <w:tcPr>
            <w:tcW w:w="448" w:type="pct"/>
            <w:gridSpan w:val="2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 w:cs="Times New Roman"/>
                <w:sz w:val="16"/>
                <w:szCs w:val="16"/>
              </w:rPr>
              <w:t>De La Torre Hernandez</w:t>
            </w:r>
          </w:p>
        </w:tc>
        <w:tc>
          <w:tcPr>
            <w:tcW w:w="418" w:type="pct"/>
            <w:gridSpan w:val="2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 w:cs="Times New Roman"/>
                <w:sz w:val="16"/>
                <w:szCs w:val="16"/>
              </w:rPr>
              <w:t>Chandrasekhar</w:t>
            </w:r>
          </w:p>
        </w:tc>
        <w:tc>
          <w:tcPr>
            <w:tcW w:w="344" w:type="pct"/>
            <w:gridSpan w:val="2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Sherwood</w:t>
            </w:r>
          </w:p>
        </w:tc>
        <w:tc>
          <w:tcPr>
            <w:tcW w:w="344" w:type="pct"/>
            <w:gridSpan w:val="2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E30EFB">
              <w:rPr>
                <w:rFonts w:ascii="Calibri" w:hAnsi="Calibri"/>
                <w:sz w:val="16"/>
                <w:szCs w:val="16"/>
              </w:rPr>
              <w:t>Hioki</w:t>
            </w:r>
            <w:proofErr w:type="spellEnd"/>
          </w:p>
        </w:tc>
      </w:tr>
      <w:tr w:rsidR="00E30EFB" w:rsidRPr="00E30EFB" w:rsidTr="00E30EFB">
        <w:trPr>
          <w:trHeight w:val="350"/>
        </w:trPr>
        <w:tc>
          <w:tcPr>
            <w:tcW w:w="240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MAPT</w:t>
            </w:r>
          </w:p>
        </w:tc>
        <w:tc>
          <w:tcPr>
            <w:tcW w:w="170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DAPT</w:t>
            </w:r>
          </w:p>
        </w:tc>
        <w:tc>
          <w:tcPr>
            <w:tcW w:w="17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MAPT</w:t>
            </w:r>
          </w:p>
        </w:tc>
        <w:tc>
          <w:tcPr>
            <w:tcW w:w="170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DAPT</w:t>
            </w:r>
          </w:p>
        </w:tc>
        <w:tc>
          <w:tcPr>
            <w:tcW w:w="19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MAPT</w:t>
            </w:r>
          </w:p>
        </w:tc>
        <w:tc>
          <w:tcPr>
            <w:tcW w:w="19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DAPT</w:t>
            </w:r>
          </w:p>
        </w:tc>
        <w:tc>
          <w:tcPr>
            <w:tcW w:w="18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MAPT</w:t>
            </w:r>
          </w:p>
        </w:tc>
        <w:tc>
          <w:tcPr>
            <w:tcW w:w="21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DAPT</w:t>
            </w:r>
          </w:p>
        </w:tc>
        <w:tc>
          <w:tcPr>
            <w:tcW w:w="21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MAPT</w:t>
            </w:r>
          </w:p>
        </w:tc>
        <w:tc>
          <w:tcPr>
            <w:tcW w:w="23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DAPT</w:t>
            </w:r>
          </w:p>
        </w:tc>
        <w:tc>
          <w:tcPr>
            <w:tcW w:w="23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MAPT</w:t>
            </w:r>
          </w:p>
        </w:tc>
        <w:tc>
          <w:tcPr>
            <w:tcW w:w="23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DAPT</w:t>
            </w:r>
          </w:p>
        </w:tc>
        <w:tc>
          <w:tcPr>
            <w:tcW w:w="23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MAPT</w:t>
            </w:r>
          </w:p>
        </w:tc>
        <w:tc>
          <w:tcPr>
            <w:tcW w:w="23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DAPT</w:t>
            </w:r>
          </w:p>
        </w:tc>
        <w:tc>
          <w:tcPr>
            <w:tcW w:w="17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MAPT</w:t>
            </w:r>
          </w:p>
        </w:tc>
        <w:tc>
          <w:tcPr>
            <w:tcW w:w="17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DAPT</w:t>
            </w:r>
          </w:p>
        </w:tc>
        <w:tc>
          <w:tcPr>
            <w:tcW w:w="23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MAPT</w:t>
            </w:r>
          </w:p>
        </w:tc>
        <w:tc>
          <w:tcPr>
            <w:tcW w:w="21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DAPT</w:t>
            </w:r>
          </w:p>
        </w:tc>
        <w:tc>
          <w:tcPr>
            <w:tcW w:w="20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MAPT</w:t>
            </w:r>
          </w:p>
        </w:tc>
        <w:tc>
          <w:tcPr>
            <w:tcW w:w="21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DAPT</w:t>
            </w:r>
          </w:p>
        </w:tc>
        <w:tc>
          <w:tcPr>
            <w:tcW w:w="17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MAPT</w:t>
            </w:r>
          </w:p>
        </w:tc>
        <w:tc>
          <w:tcPr>
            <w:tcW w:w="170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DAPT</w:t>
            </w:r>
          </w:p>
        </w:tc>
        <w:tc>
          <w:tcPr>
            <w:tcW w:w="17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MAPT</w:t>
            </w:r>
          </w:p>
        </w:tc>
        <w:tc>
          <w:tcPr>
            <w:tcW w:w="170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DAPT</w:t>
            </w:r>
          </w:p>
        </w:tc>
      </w:tr>
      <w:tr w:rsidR="00E30EFB" w:rsidRPr="00E30EFB" w:rsidTr="00E30EFB">
        <w:tc>
          <w:tcPr>
            <w:tcW w:w="240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Age(mean ± SD)</w:t>
            </w:r>
          </w:p>
        </w:tc>
        <w:tc>
          <w:tcPr>
            <w:tcW w:w="17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 w:cs="AdvTT5235d5a9"/>
                <w:sz w:val="16"/>
                <w:szCs w:val="16"/>
              </w:rPr>
              <w:t>81.1 ± 4.8</w:t>
            </w:r>
          </w:p>
        </w:tc>
        <w:tc>
          <w:tcPr>
            <w:tcW w:w="170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 w:cs="AdvTT5235d5a9"/>
                <w:sz w:val="16"/>
                <w:szCs w:val="16"/>
              </w:rPr>
              <w:t>80.2 ± 5.7</w:t>
            </w:r>
          </w:p>
        </w:tc>
        <w:tc>
          <w:tcPr>
            <w:tcW w:w="17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 w:cs="Times-Roman"/>
                <w:sz w:val="16"/>
                <w:szCs w:val="16"/>
              </w:rPr>
              <w:t>81</w:t>
            </w:r>
            <w:r w:rsidRPr="00E30EFB">
              <w:rPr>
                <w:rFonts w:ascii="Calibri" w:hAnsi="Calibri" w:cs="AdvTT5235d5a9"/>
                <w:sz w:val="16"/>
                <w:szCs w:val="16"/>
              </w:rPr>
              <w:t>±4</w:t>
            </w:r>
          </w:p>
        </w:tc>
        <w:tc>
          <w:tcPr>
            <w:tcW w:w="170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80</w:t>
            </w:r>
            <w:r w:rsidRPr="00E30EFB">
              <w:rPr>
                <w:rFonts w:ascii="Calibri" w:hAnsi="Calibri" w:cs="AdvTT5235d5a9"/>
                <w:sz w:val="16"/>
                <w:szCs w:val="16"/>
              </w:rPr>
              <w:t>±6</w:t>
            </w:r>
          </w:p>
        </w:tc>
        <w:tc>
          <w:tcPr>
            <w:tcW w:w="19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79±9</w:t>
            </w:r>
          </w:p>
        </w:tc>
        <w:tc>
          <w:tcPr>
            <w:tcW w:w="19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79±9</w:t>
            </w:r>
          </w:p>
        </w:tc>
        <w:tc>
          <w:tcPr>
            <w:tcW w:w="18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82±6.9</w:t>
            </w:r>
          </w:p>
        </w:tc>
        <w:tc>
          <w:tcPr>
            <w:tcW w:w="21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81.6±6.3</w:t>
            </w:r>
          </w:p>
        </w:tc>
        <w:tc>
          <w:tcPr>
            <w:tcW w:w="21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82.7±6.3</w:t>
            </w:r>
          </w:p>
        </w:tc>
        <w:tc>
          <w:tcPr>
            <w:tcW w:w="23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84.6±5.8</w:t>
            </w:r>
          </w:p>
        </w:tc>
        <w:tc>
          <w:tcPr>
            <w:tcW w:w="23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84.3±7.1</w:t>
            </w:r>
          </w:p>
        </w:tc>
        <w:tc>
          <w:tcPr>
            <w:tcW w:w="23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82.9±8.2</w:t>
            </w:r>
          </w:p>
        </w:tc>
        <w:tc>
          <w:tcPr>
            <w:tcW w:w="23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83±6</w:t>
            </w:r>
          </w:p>
        </w:tc>
        <w:tc>
          <w:tcPr>
            <w:tcW w:w="23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84±6</w:t>
            </w:r>
          </w:p>
        </w:tc>
        <w:tc>
          <w:tcPr>
            <w:tcW w:w="17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81±4</w:t>
            </w:r>
          </w:p>
        </w:tc>
        <w:tc>
          <w:tcPr>
            <w:tcW w:w="17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81±5</w:t>
            </w:r>
          </w:p>
        </w:tc>
        <w:tc>
          <w:tcPr>
            <w:tcW w:w="23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81.6±6.7</w:t>
            </w:r>
          </w:p>
        </w:tc>
        <w:tc>
          <w:tcPr>
            <w:tcW w:w="21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81.9±4.7</w:t>
            </w:r>
          </w:p>
        </w:tc>
        <w:tc>
          <w:tcPr>
            <w:tcW w:w="20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82±6.9</w:t>
            </w:r>
          </w:p>
        </w:tc>
        <w:tc>
          <w:tcPr>
            <w:tcW w:w="21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82.6±5.5</w:t>
            </w:r>
          </w:p>
        </w:tc>
        <w:tc>
          <w:tcPr>
            <w:tcW w:w="17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84</w:t>
            </w:r>
          </w:p>
        </w:tc>
        <w:tc>
          <w:tcPr>
            <w:tcW w:w="170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84</w:t>
            </w:r>
          </w:p>
        </w:tc>
        <w:tc>
          <w:tcPr>
            <w:tcW w:w="17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70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E30EFB" w:rsidRPr="00E30EFB" w:rsidTr="00E30EFB">
        <w:tc>
          <w:tcPr>
            <w:tcW w:w="240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Female (%)</w:t>
            </w:r>
          </w:p>
        </w:tc>
        <w:tc>
          <w:tcPr>
            <w:tcW w:w="17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60</w:t>
            </w:r>
          </w:p>
        </w:tc>
        <w:tc>
          <w:tcPr>
            <w:tcW w:w="170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66.7</w:t>
            </w:r>
          </w:p>
        </w:tc>
        <w:tc>
          <w:tcPr>
            <w:tcW w:w="17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59</w:t>
            </w:r>
          </w:p>
        </w:tc>
        <w:tc>
          <w:tcPr>
            <w:tcW w:w="170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50</w:t>
            </w:r>
          </w:p>
        </w:tc>
        <w:tc>
          <w:tcPr>
            <w:tcW w:w="19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46.8</w:t>
            </w:r>
          </w:p>
        </w:tc>
        <w:tc>
          <w:tcPr>
            <w:tcW w:w="19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36.9</w:t>
            </w:r>
          </w:p>
        </w:tc>
        <w:tc>
          <w:tcPr>
            <w:tcW w:w="18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53.8</w:t>
            </w:r>
          </w:p>
        </w:tc>
        <w:tc>
          <w:tcPr>
            <w:tcW w:w="21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55.2</w:t>
            </w:r>
          </w:p>
        </w:tc>
        <w:tc>
          <w:tcPr>
            <w:tcW w:w="21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45.1</w:t>
            </w:r>
          </w:p>
        </w:tc>
        <w:tc>
          <w:tcPr>
            <w:tcW w:w="23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60.9</w:t>
            </w:r>
          </w:p>
        </w:tc>
        <w:tc>
          <w:tcPr>
            <w:tcW w:w="23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57.4</w:t>
            </w:r>
          </w:p>
        </w:tc>
        <w:tc>
          <w:tcPr>
            <w:tcW w:w="23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64.6</w:t>
            </w:r>
          </w:p>
        </w:tc>
        <w:tc>
          <w:tcPr>
            <w:tcW w:w="23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64.1</w:t>
            </w:r>
          </w:p>
        </w:tc>
        <w:tc>
          <w:tcPr>
            <w:tcW w:w="23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63.6</w:t>
            </w:r>
          </w:p>
        </w:tc>
        <w:tc>
          <w:tcPr>
            <w:tcW w:w="17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63</w:t>
            </w:r>
          </w:p>
        </w:tc>
        <w:tc>
          <w:tcPr>
            <w:tcW w:w="17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62</w:t>
            </w:r>
          </w:p>
        </w:tc>
        <w:tc>
          <w:tcPr>
            <w:tcW w:w="23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21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20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21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7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53.1</w:t>
            </w:r>
          </w:p>
        </w:tc>
        <w:tc>
          <w:tcPr>
            <w:tcW w:w="170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51.6</w:t>
            </w:r>
          </w:p>
        </w:tc>
        <w:tc>
          <w:tcPr>
            <w:tcW w:w="17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70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E30EFB" w:rsidRPr="00E30EFB" w:rsidTr="00E30EFB">
        <w:tc>
          <w:tcPr>
            <w:tcW w:w="240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 w:cs="AdvTT5235d5a9"/>
                <w:sz w:val="16"/>
                <w:szCs w:val="16"/>
              </w:rPr>
              <w:t>Diabetes (%)</w:t>
            </w:r>
          </w:p>
        </w:tc>
        <w:tc>
          <w:tcPr>
            <w:tcW w:w="17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28.3</w:t>
            </w:r>
          </w:p>
        </w:tc>
        <w:tc>
          <w:tcPr>
            <w:tcW w:w="170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25</w:t>
            </w:r>
          </w:p>
        </w:tc>
        <w:tc>
          <w:tcPr>
            <w:tcW w:w="17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21</w:t>
            </w:r>
          </w:p>
        </w:tc>
        <w:tc>
          <w:tcPr>
            <w:tcW w:w="170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33</w:t>
            </w:r>
          </w:p>
        </w:tc>
        <w:tc>
          <w:tcPr>
            <w:tcW w:w="19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32.7</w:t>
            </w:r>
          </w:p>
        </w:tc>
        <w:tc>
          <w:tcPr>
            <w:tcW w:w="19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36.9</w:t>
            </w:r>
          </w:p>
        </w:tc>
        <w:tc>
          <w:tcPr>
            <w:tcW w:w="18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17.6</w:t>
            </w:r>
          </w:p>
        </w:tc>
        <w:tc>
          <w:tcPr>
            <w:tcW w:w="21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27.6</w:t>
            </w:r>
          </w:p>
        </w:tc>
        <w:tc>
          <w:tcPr>
            <w:tcW w:w="21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24.4</w:t>
            </w:r>
          </w:p>
        </w:tc>
        <w:tc>
          <w:tcPr>
            <w:tcW w:w="23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23.4</w:t>
            </w:r>
          </w:p>
        </w:tc>
        <w:tc>
          <w:tcPr>
            <w:tcW w:w="23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17.5</w:t>
            </w:r>
          </w:p>
        </w:tc>
        <w:tc>
          <w:tcPr>
            <w:tcW w:w="23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26.8</w:t>
            </w:r>
          </w:p>
        </w:tc>
        <w:tc>
          <w:tcPr>
            <w:tcW w:w="23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30.8</w:t>
            </w:r>
          </w:p>
        </w:tc>
        <w:tc>
          <w:tcPr>
            <w:tcW w:w="23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33.3</w:t>
            </w:r>
          </w:p>
        </w:tc>
        <w:tc>
          <w:tcPr>
            <w:tcW w:w="17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26</w:t>
            </w:r>
          </w:p>
        </w:tc>
        <w:tc>
          <w:tcPr>
            <w:tcW w:w="17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26</w:t>
            </w:r>
          </w:p>
        </w:tc>
        <w:tc>
          <w:tcPr>
            <w:tcW w:w="23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21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20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21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7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70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7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70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E30EFB" w:rsidRPr="00E30EFB" w:rsidTr="00E30EFB">
        <w:tc>
          <w:tcPr>
            <w:tcW w:w="240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 w:cs="AdvTT5235d5a9"/>
                <w:sz w:val="16"/>
                <w:szCs w:val="16"/>
              </w:rPr>
              <w:t>Hypertension (%)</w:t>
            </w:r>
          </w:p>
        </w:tc>
        <w:tc>
          <w:tcPr>
            <w:tcW w:w="17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95</w:t>
            </w:r>
          </w:p>
        </w:tc>
        <w:tc>
          <w:tcPr>
            <w:tcW w:w="170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95</w:t>
            </w:r>
          </w:p>
        </w:tc>
        <w:tc>
          <w:tcPr>
            <w:tcW w:w="17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80</w:t>
            </w:r>
          </w:p>
        </w:tc>
        <w:tc>
          <w:tcPr>
            <w:tcW w:w="170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88</w:t>
            </w:r>
          </w:p>
        </w:tc>
        <w:tc>
          <w:tcPr>
            <w:tcW w:w="19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79.2</w:t>
            </w:r>
          </w:p>
        </w:tc>
        <w:tc>
          <w:tcPr>
            <w:tcW w:w="19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77.5</w:t>
            </w:r>
          </w:p>
        </w:tc>
        <w:tc>
          <w:tcPr>
            <w:tcW w:w="18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21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21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70.7</w:t>
            </w:r>
          </w:p>
        </w:tc>
        <w:tc>
          <w:tcPr>
            <w:tcW w:w="23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70.3</w:t>
            </w:r>
          </w:p>
        </w:tc>
        <w:tc>
          <w:tcPr>
            <w:tcW w:w="23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84.2</w:t>
            </w:r>
          </w:p>
        </w:tc>
        <w:tc>
          <w:tcPr>
            <w:tcW w:w="23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78.5</w:t>
            </w:r>
          </w:p>
        </w:tc>
        <w:tc>
          <w:tcPr>
            <w:tcW w:w="23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23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7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82</w:t>
            </w:r>
          </w:p>
        </w:tc>
        <w:tc>
          <w:tcPr>
            <w:tcW w:w="17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77</w:t>
            </w:r>
          </w:p>
        </w:tc>
        <w:tc>
          <w:tcPr>
            <w:tcW w:w="23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21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20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21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7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70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7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70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E30EFB" w:rsidRPr="00E30EFB" w:rsidTr="00E30EFB">
        <w:tc>
          <w:tcPr>
            <w:tcW w:w="240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 w:cs="AdvTT5235d5a9"/>
                <w:sz w:val="16"/>
                <w:szCs w:val="16"/>
              </w:rPr>
            </w:pPr>
            <w:proofErr w:type="spellStart"/>
            <w:r w:rsidRPr="00E30EFB">
              <w:rPr>
                <w:rFonts w:ascii="Calibri" w:hAnsi="Calibri" w:cs="AdvTT5235d5a9"/>
                <w:sz w:val="16"/>
                <w:szCs w:val="16"/>
              </w:rPr>
              <w:t>Hx</w:t>
            </w:r>
            <w:proofErr w:type="spellEnd"/>
            <w:r w:rsidRPr="00E30EFB">
              <w:rPr>
                <w:rFonts w:ascii="Calibri" w:hAnsi="Calibri" w:cs="AdvTT5235d5a9"/>
                <w:sz w:val="16"/>
                <w:szCs w:val="16"/>
              </w:rPr>
              <w:t xml:space="preserve"> of CAD (%)</w:t>
            </w:r>
          </w:p>
        </w:tc>
        <w:tc>
          <w:tcPr>
            <w:tcW w:w="17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70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7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70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9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9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54.9</w:t>
            </w:r>
          </w:p>
        </w:tc>
        <w:tc>
          <w:tcPr>
            <w:tcW w:w="21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63.8</w:t>
            </w:r>
          </w:p>
        </w:tc>
        <w:tc>
          <w:tcPr>
            <w:tcW w:w="21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50</w:t>
            </w:r>
          </w:p>
        </w:tc>
        <w:tc>
          <w:tcPr>
            <w:tcW w:w="23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30.5</w:t>
            </w:r>
          </w:p>
        </w:tc>
        <w:tc>
          <w:tcPr>
            <w:tcW w:w="23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23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23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37.2</w:t>
            </w:r>
          </w:p>
        </w:tc>
        <w:tc>
          <w:tcPr>
            <w:tcW w:w="23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53</w:t>
            </w:r>
          </w:p>
        </w:tc>
        <w:tc>
          <w:tcPr>
            <w:tcW w:w="17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40</w:t>
            </w:r>
          </w:p>
        </w:tc>
        <w:tc>
          <w:tcPr>
            <w:tcW w:w="17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41</w:t>
            </w:r>
          </w:p>
        </w:tc>
        <w:tc>
          <w:tcPr>
            <w:tcW w:w="23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21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20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21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7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55.7</w:t>
            </w:r>
          </w:p>
        </w:tc>
        <w:tc>
          <w:tcPr>
            <w:tcW w:w="170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67.1</w:t>
            </w:r>
          </w:p>
        </w:tc>
        <w:tc>
          <w:tcPr>
            <w:tcW w:w="17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70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E30EFB" w:rsidRPr="00E30EFB" w:rsidTr="00E30EFB">
        <w:tc>
          <w:tcPr>
            <w:tcW w:w="240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 w:cs="AdvTT5235d5a9"/>
                <w:sz w:val="16"/>
                <w:szCs w:val="16"/>
              </w:rPr>
            </w:pPr>
            <w:r w:rsidRPr="00E30EFB">
              <w:rPr>
                <w:rFonts w:ascii="Calibri" w:hAnsi="Calibri" w:cs="AdvTT5235d5a9"/>
                <w:sz w:val="16"/>
                <w:szCs w:val="16"/>
              </w:rPr>
              <w:t>Previous PCI (%)</w:t>
            </w:r>
          </w:p>
        </w:tc>
        <w:tc>
          <w:tcPr>
            <w:tcW w:w="17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23.3</w:t>
            </w:r>
          </w:p>
        </w:tc>
        <w:tc>
          <w:tcPr>
            <w:tcW w:w="170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21.3</w:t>
            </w:r>
          </w:p>
        </w:tc>
        <w:tc>
          <w:tcPr>
            <w:tcW w:w="17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23</w:t>
            </w:r>
          </w:p>
        </w:tc>
        <w:tc>
          <w:tcPr>
            <w:tcW w:w="170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30</w:t>
            </w:r>
          </w:p>
        </w:tc>
        <w:tc>
          <w:tcPr>
            <w:tcW w:w="19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9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22</w:t>
            </w:r>
          </w:p>
        </w:tc>
        <w:tc>
          <w:tcPr>
            <w:tcW w:w="21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27.6</w:t>
            </w:r>
          </w:p>
        </w:tc>
        <w:tc>
          <w:tcPr>
            <w:tcW w:w="21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23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23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24.1</w:t>
            </w:r>
          </w:p>
        </w:tc>
        <w:tc>
          <w:tcPr>
            <w:tcW w:w="23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22.3</w:t>
            </w:r>
          </w:p>
        </w:tc>
        <w:tc>
          <w:tcPr>
            <w:tcW w:w="23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14.1</w:t>
            </w:r>
          </w:p>
        </w:tc>
        <w:tc>
          <w:tcPr>
            <w:tcW w:w="23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37.9</w:t>
            </w:r>
          </w:p>
        </w:tc>
        <w:tc>
          <w:tcPr>
            <w:tcW w:w="17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7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23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21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20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21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31</w:t>
            </w:r>
          </w:p>
        </w:tc>
        <w:tc>
          <w:tcPr>
            <w:tcW w:w="17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70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7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70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E30EFB" w:rsidRPr="00E30EFB" w:rsidTr="00E30EFB">
        <w:trPr>
          <w:trHeight w:val="638"/>
        </w:trPr>
        <w:tc>
          <w:tcPr>
            <w:tcW w:w="240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E30EFB">
              <w:rPr>
                <w:rFonts w:ascii="Calibri" w:hAnsi="Calibri"/>
                <w:sz w:val="16"/>
                <w:szCs w:val="16"/>
              </w:rPr>
              <w:t>Euroscore</w:t>
            </w:r>
            <w:proofErr w:type="spellEnd"/>
          </w:p>
        </w:tc>
        <w:tc>
          <w:tcPr>
            <w:tcW w:w="17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 w:cs="AdvTT5235d5a9"/>
                <w:sz w:val="16"/>
                <w:szCs w:val="16"/>
              </w:rPr>
              <w:t>25.1 ± 12.0</w:t>
            </w:r>
          </w:p>
        </w:tc>
        <w:tc>
          <w:tcPr>
            <w:tcW w:w="170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 w:cs="AdvTT5235d5a9"/>
                <w:sz w:val="16"/>
                <w:szCs w:val="16"/>
              </w:rPr>
              <w:t>23.34 ± 8.15</w:t>
            </w:r>
          </w:p>
        </w:tc>
        <w:tc>
          <w:tcPr>
            <w:tcW w:w="17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21</w:t>
            </w:r>
            <w:r w:rsidRPr="00E30EFB">
              <w:rPr>
                <w:rFonts w:ascii="Calibri" w:hAnsi="Calibri" w:cs="AdvTT5235d5a9"/>
                <w:sz w:val="16"/>
                <w:szCs w:val="16"/>
              </w:rPr>
              <w:t>±16</w:t>
            </w:r>
          </w:p>
        </w:tc>
        <w:tc>
          <w:tcPr>
            <w:tcW w:w="170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23</w:t>
            </w:r>
            <w:r w:rsidRPr="00E30EFB">
              <w:rPr>
                <w:rFonts w:ascii="Calibri" w:hAnsi="Calibri" w:cs="AdvTT5235d5a9"/>
                <w:sz w:val="16"/>
                <w:szCs w:val="16"/>
              </w:rPr>
              <w:t>±15</w:t>
            </w:r>
          </w:p>
        </w:tc>
        <w:tc>
          <w:tcPr>
            <w:tcW w:w="19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9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21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21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20±12.4</w:t>
            </w:r>
          </w:p>
        </w:tc>
        <w:tc>
          <w:tcPr>
            <w:tcW w:w="23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20.2±11.6</w:t>
            </w:r>
          </w:p>
        </w:tc>
        <w:tc>
          <w:tcPr>
            <w:tcW w:w="23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21.3±17.2</w:t>
            </w:r>
          </w:p>
        </w:tc>
        <w:tc>
          <w:tcPr>
            <w:tcW w:w="23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19.4±13</w:t>
            </w:r>
          </w:p>
        </w:tc>
        <w:tc>
          <w:tcPr>
            <w:tcW w:w="23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24.2±15.6</w:t>
            </w:r>
          </w:p>
        </w:tc>
        <w:tc>
          <w:tcPr>
            <w:tcW w:w="23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25.5±18.5</w:t>
            </w:r>
          </w:p>
        </w:tc>
        <w:tc>
          <w:tcPr>
            <w:tcW w:w="17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19±13</w:t>
            </w:r>
          </w:p>
        </w:tc>
        <w:tc>
          <w:tcPr>
            <w:tcW w:w="17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21±14</w:t>
            </w:r>
          </w:p>
        </w:tc>
        <w:tc>
          <w:tcPr>
            <w:tcW w:w="23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17.7±10.4</w:t>
            </w:r>
          </w:p>
        </w:tc>
        <w:tc>
          <w:tcPr>
            <w:tcW w:w="21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18.2±12</w:t>
            </w:r>
          </w:p>
        </w:tc>
        <w:tc>
          <w:tcPr>
            <w:tcW w:w="20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17±11.3</w:t>
            </w:r>
          </w:p>
        </w:tc>
        <w:tc>
          <w:tcPr>
            <w:tcW w:w="21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16±10.1</w:t>
            </w:r>
          </w:p>
        </w:tc>
        <w:tc>
          <w:tcPr>
            <w:tcW w:w="17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70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7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70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E30EFB" w:rsidRPr="00E30EFB" w:rsidTr="00E30EFB">
        <w:tc>
          <w:tcPr>
            <w:tcW w:w="240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STS score</w:t>
            </w:r>
          </w:p>
        </w:tc>
        <w:tc>
          <w:tcPr>
            <w:tcW w:w="17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 w:cs="AdvTT5235d5a9"/>
                <w:sz w:val="16"/>
                <w:szCs w:val="16"/>
              </w:rPr>
              <w:t>10.4 ± 6.8</w:t>
            </w:r>
          </w:p>
        </w:tc>
        <w:tc>
          <w:tcPr>
            <w:tcW w:w="170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 w:cs="AdvTT5235d5a9"/>
                <w:sz w:val="16"/>
                <w:szCs w:val="16"/>
              </w:rPr>
              <w:t>9.7 ± 5.1</w:t>
            </w:r>
          </w:p>
        </w:tc>
        <w:tc>
          <w:tcPr>
            <w:tcW w:w="17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7</w:t>
            </w:r>
            <w:r w:rsidRPr="00E30EFB">
              <w:rPr>
                <w:rFonts w:ascii="Calibri" w:hAnsi="Calibri" w:cs="AdvTT5235d5a9"/>
                <w:sz w:val="16"/>
                <w:szCs w:val="16"/>
              </w:rPr>
              <w:t>±3</w:t>
            </w:r>
          </w:p>
        </w:tc>
        <w:tc>
          <w:tcPr>
            <w:tcW w:w="170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8</w:t>
            </w:r>
            <w:r w:rsidRPr="00E30EFB">
              <w:rPr>
                <w:rFonts w:ascii="Calibri" w:hAnsi="Calibri" w:cs="AdvTT5235d5a9"/>
                <w:sz w:val="16"/>
                <w:szCs w:val="16"/>
              </w:rPr>
              <w:t>±5</w:t>
            </w:r>
          </w:p>
        </w:tc>
        <w:tc>
          <w:tcPr>
            <w:tcW w:w="19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6.4±4.6</w:t>
            </w:r>
          </w:p>
        </w:tc>
        <w:tc>
          <w:tcPr>
            <w:tcW w:w="19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6.2±4.4</w:t>
            </w:r>
          </w:p>
        </w:tc>
        <w:tc>
          <w:tcPr>
            <w:tcW w:w="18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21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21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7.4±6.1</w:t>
            </w:r>
          </w:p>
        </w:tc>
        <w:tc>
          <w:tcPr>
            <w:tcW w:w="23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6.9±4</w:t>
            </w:r>
          </w:p>
        </w:tc>
        <w:tc>
          <w:tcPr>
            <w:tcW w:w="23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7.9±6.7</w:t>
            </w:r>
          </w:p>
        </w:tc>
        <w:tc>
          <w:tcPr>
            <w:tcW w:w="23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7.2±6.6</w:t>
            </w:r>
          </w:p>
        </w:tc>
        <w:tc>
          <w:tcPr>
            <w:tcW w:w="23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10.7±7.4</w:t>
            </w:r>
          </w:p>
        </w:tc>
        <w:tc>
          <w:tcPr>
            <w:tcW w:w="23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12.2±12.7</w:t>
            </w:r>
          </w:p>
        </w:tc>
        <w:tc>
          <w:tcPr>
            <w:tcW w:w="17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8±6</w:t>
            </w:r>
          </w:p>
        </w:tc>
        <w:tc>
          <w:tcPr>
            <w:tcW w:w="17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8±7</w:t>
            </w:r>
          </w:p>
        </w:tc>
        <w:tc>
          <w:tcPr>
            <w:tcW w:w="23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21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20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6.2±4.7</w:t>
            </w:r>
          </w:p>
        </w:tc>
        <w:tc>
          <w:tcPr>
            <w:tcW w:w="21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8.3±7.4</w:t>
            </w:r>
          </w:p>
        </w:tc>
        <w:tc>
          <w:tcPr>
            <w:tcW w:w="17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6.4</w:t>
            </w:r>
          </w:p>
        </w:tc>
        <w:tc>
          <w:tcPr>
            <w:tcW w:w="170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6.1</w:t>
            </w:r>
          </w:p>
        </w:tc>
        <w:tc>
          <w:tcPr>
            <w:tcW w:w="17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70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E30EFB" w:rsidRPr="00E30EFB" w:rsidTr="00E30EFB">
        <w:tc>
          <w:tcPr>
            <w:tcW w:w="240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EF (Mean ± SD)</w:t>
            </w:r>
          </w:p>
        </w:tc>
        <w:tc>
          <w:tcPr>
            <w:tcW w:w="17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 w:cs="AdvTT5235d5a9"/>
                <w:sz w:val="16"/>
                <w:szCs w:val="16"/>
              </w:rPr>
              <w:t>51.3 ± 11.0</w:t>
            </w:r>
          </w:p>
        </w:tc>
        <w:tc>
          <w:tcPr>
            <w:tcW w:w="170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 w:cs="AdvTT5235d5a9"/>
                <w:sz w:val="16"/>
                <w:szCs w:val="16"/>
              </w:rPr>
              <w:t>52.4 ± 14.4</w:t>
            </w:r>
          </w:p>
        </w:tc>
        <w:tc>
          <w:tcPr>
            <w:tcW w:w="17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54</w:t>
            </w:r>
            <w:r w:rsidRPr="00E30EFB">
              <w:rPr>
                <w:rFonts w:ascii="Calibri" w:hAnsi="Calibri" w:cs="AdvTT5235d5a9"/>
                <w:sz w:val="16"/>
                <w:szCs w:val="16"/>
              </w:rPr>
              <w:t>±8</w:t>
            </w:r>
          </w:p>
        </w:tc>
        <w:tc>
          <w:tcPr>
            <w:tcW w:w="170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51</w:t>
            </w:r>
            <w:r w:rsidRPr="00E30EFB">
              <w:rPr>
                <w:rFonts w:ascii="Calibri" w:hAnsi="Calibri" w:cs="AdvTT5235d5a9"/>
                <w:sz w:val="16"/>
                <w:szCs w:val="16"/>
              </w:rPr>
              <w:t>±12</w:t>
            </w:r>
          </w:p>
        </w:tc>
        <w:tc>
          <w:tcPr>
            <w:tcW w:w="19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54±13</w:t>
            </w:r>
          </w:p>
        </w:tc>
        <w:tc>
          <w:tcPr>
            <w:tcW w:w="19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55±12</w:t>
            </w:r>
          </w:p>
        </w:tc>
        <w:tc>
          <w:tcPr>
            <w:tcW w:w="18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21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21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23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23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51.6±13.4</w:t>
            </w:r>
          </w:p>
        </w:tc>
        <w:tc>
          <w:tcPr>
            <w:tcW w:w="23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52.6±12.9</w:t>
            </w:r>
          </w:p>
        </w:tc>
        <w:tc>
          <w:tcPr>
            <w:tcW w:w="23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23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7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51±9</w:t>
            </w:r>
          </w:p>
        </w:tc>
        <w:tc>
          <w:tcPr>
            <w:tcW w:w="17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52±12</w:t>
            </w:r>
          </w:p>
        </w:tc>
        <w:tc>
          <w:tcPr>
            <w:tcW w:w="23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21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20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21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7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70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7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70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E30EFB" w:rsidRPr="00E30EFB" w:rsidTr="00E30EFB">
        <w:tc>
          <w:tcPr>
            <w:tcW w:w="240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E30EFB">
              <w:rPr>
                <w:rFonts w:ascii="Calibri" w:hAnsi="Calibri"/>
                <w:sz w:val="16"/>
                <w:szCs w:val="16"/>
              </w:rPr>
              <w:t>Hx</w:t>
            </w:r>
            <w:proofErr w:type="spellEnd"/>
            <w:r w:rsidRPr="00E30EFB">
              <w:rPr>
                <w:rFonts w:ascii="Calibri" w:hAnsi="Calibri"/>
                <w:sz w:val="16"/>
                <w:szCs w:val="16"/>
              </w:rPr>
              <w:t xml:space="preserve"> of MI (%)</w:t>
            </w:r>
          </w:p>
        </w:tc>
        <w:tc>
          <w:tcPr>
            <w:tcW w:w="17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70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7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170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19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18.4</w:t>
            </w:r>
          </w:p>
        </w:tc>
        <w:tc>
          <w:tcPr>
            <w:tcW w:w="19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23.4</w:t>
            </w:r>
          </w:p>
        </w:tc>
        <w:tc>
          <w:tcPr>
            <w:tcW w:w="18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21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21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23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23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23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19</w:t>
            </w:r>
          </w:p>
        </w:tc>
        <w:tc>
          <w:tcPr>
            <w:tcW w:w="23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23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7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17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21</w:t>
            </w:r>
          </w:p>
        </w:tc>
        <w:tc>
          <w:tcPr>
            <w:tcW w:w="23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21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20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21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7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70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7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70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E30EFB" w:rsidRPr="00E30EFB" w:rsidTr="00E30EFB">
        <w:tc>
          <w:tcPr>
            <w:tcW w:w="240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E30EFB">
              <w:rPr>
                <w:rFonts w:ascii="Calibri" w:hAnsi="Calibri"/>
                <w:sz w:val="16"/>
                <w:szCs w:val="16"/>
              </w:rPr>
              <w:t>Hx</w:t>
            </w:r>
            <w:proofErr w:type="spellEnd"/>
            <w:r w:rsidRPr="00E30EFB">
              <w:rPr>
                <w:rFonts w:ascii="Calibri" w:hAnsi="Calibri"/>
                <w:sz w:val="16"/>
                <w:szCs w:val="16"/>
              </w:rPr>
              <w:t xml:space="preserve"> of CABG (%)</w:t>
            </w:r>
          </w:p>
        </w:tc>
        <w:tc>
          <w:tcPr>
            <w:tcW w:w="17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70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7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170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9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38.5</w:t>
            </w:r>
          </w:p>
        </w:tc>
        <w:tc>
          <w:tcPr>
            <w:tcW w:w="19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35.1</w:t>
            </w:r>
          </w:p>
        </w:tc>
        <w:tc>
          <w:tcPr>
            <w:tcW w:w="18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20.9</w:t>
            </w:r>
          </w:p>
        </w:tc>
        <w:tc>
          <w:tcPr>
            <w:tcW w:w="21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29.3</w:t>
            </w:r>
          </w:p>
        </w:tc>
        <w:tc>
          <w:tcPr>
            <w:tcW w:w="21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23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23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18.5</w:t>
            </w:r>
          </w:p>
        </w:tc>
        <w:tc>
          <w:tcPr>
            <w:tcW w:w="23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21.1</w:t>
            </w:r>
          </w:p>
        </w:tc>
        <w:tc>
          <w:tcPr>
            <w:tcW w:w="23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15.2</w:t>
            </w:r>
          </w:p>
        </w:tc>
        <w:tc>
          <w:tcPr>
            <w:tcW w:w="23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12.8</w:t>
            </w:r>
          </w:p>
        </w:tc>
        <w:tc>
          <w:tcPr>
            <w:tcW w:w="17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7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23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21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20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21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7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70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7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70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E30EFB" w:rsidRPr="00E30EFB" w:rsidTr="00E30EFB">
        <w:tc>
          <w:tcPr>
            <w:tcW w:w="240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E30EFB">
              <w:rPr>
                <w:rFonts w:ascii="Calibri" w:hAnsi="Calibri"/>
                <w:sz w:val="16"/>
                <w:szCs w:val="16"/>
              </w:rPr>
              <w:t>Hx</w:t>
            </w:r>
            <w:proofErr w:type="spellEnd"/>
            <w:r w:rsidRPr="00E30EFB">
              <w:rPr>
                <w:rFonts w:ascii="Calibri" w:hAnsi="Calibri"/>
                <w:sz w:val="16"/>
                <w:szCs w:val="16"/>
              </w:rPr>
              <w:t xml:space="preserve"> of stroke (%)</w:t>
            </w:r>
          </w:p>
        </w:tc>
        <w:tc>
          <w:tcPr>
            <w:tcW w:w="17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70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7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170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9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9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21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21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23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23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23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23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19.7</w:t>
            </w:r>
          </w:p>
        </w:tc>
        <w:tc>
          <w:tcPr>
            <w:tcW w:w="23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28.2</w:t>
            </w:r>
          </w:p>
        </w:tc>
        <w:tc>
          <w:tcPr>
            <w:tcW w:w="17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7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23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21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20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21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7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70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7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70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E30EFB" w:rsidRPr="00E30EFB" w:rsidTr="00E30EFB">
        <w:tc>
          <w:tcPr>
            <w:tcW w:w="240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PAD (%)</w:t>
            </w:r>
          </w:p>
        </w:tc>
        <w:tc>
          <w:tcPr>
            <w:tcW w:w="17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70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7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170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9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20</w:t>
            </w:r>
          </w:p>
        </w:tc>
        <w:tc>
          <w:tcPr>
            <w:tcW w:w="19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25.2</w:t>
            </w:r>
          </w:p>
        </w:tc>
        <w:tc>
          <w:tcPr>
            <w:tcW w:w="18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21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21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23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23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23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23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23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7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37</w:t>
            </w:r>
          </w:p>
        </w:tc>
        <w:tc>
          <w:tcPr>
            <w:tcW w:w="17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36</w:t>
            </w:r>
          </w:p>
        </w:tc>
        <w:tc>
          <w:tcPr>
            <w:tcW w:w="23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21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20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3.9</w:t>
            </w:r>
          </w:p>
        </w:tc>
        <w:tc>
          <w:tcPr>
            <w:tcW w:w="21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17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70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7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70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E30EFB" w:rsidRPr="00E30EFB" w:rsidTr="00E30EFB">
        <w:tc>
          <w:tcPr>
            <w:tcW w:w="240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Atrial fibrillation (%)</w:t>
            </w:r>
          </w:p>
        </w:tc>
        <w:tc>
          <w:tcPr>
            <w:tcW w:w="17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70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7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170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19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9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21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27.6</w:t>
            </w:r>
          </w:p>
        </w:tc>
        <w:tc>
          <w:tcPr>
            <w:tcW w:w="21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23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23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20.3</w:t>
            </w:r>
          </w:p>
        </w:tc>
        <w:tc>
          <w:tcPr>
            <w:tcW w:w="23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16.2</w:t>
            </w:r>
          </w:p>
        </w:tc>
        <w:tc>
          <w:tcPr>
            <w:tcW w:w="23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23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7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17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23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21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20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21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7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70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74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70" w:type="pct"/>
            <w:vAlign w:val="center"/>
          </w:tcPr>
          <w:p w:rsidR="00E30EFB" w:rsidRPr="00E30EFB" w:rsidRDefault="00E30EFB" w:rsidP="00E30EF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0EFB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</w:tbl>
    <w:p w:rsidR="00E30EFB" w:rsidRPr="00E30EFB" w:rsidRDefault="00E30EFB" w:rsidP="00E30EFB">
      <w:pPr>
        <w:pStyle w:val="Header"/>
        <w:rPr>
          <w:rFonts w:ascii="Calibri" w:hAnsi="Calibri"/>
          <w:b/>
          <w:bCs/>
          <w:sz w:val="18"/>
          <w:szCs w:val="18"/>
        </w:rPr>
      </w:pPr>
      <w:r w:rsidRPr="00E30EFB">
        <w:rPr>
          <w:rFonts w:ascii="Calibri" w:hAnsi="Calibri"/>
          <w:b/>
          <w:bCs/>
          <w:sz w:val="18"/>
          <w:szCs w:val="18"/>
        </w:rPr>
        <w:t>Table S4: Baseline characteristics of patients included in each study</w:t>
      </w:r>
    </w:p>
    <w:p w:rsidR="004C68A0" w:rsidRPr="00E30EFB" w:rsidRDefault="004C68A0">
      <w:pPr>
        <w:pStyle w:val="Body"/>
        <w:rPr>
          <w:sz w:val="18"/>
          <w:szCs w:val="18"/>
          <w:lang w:val="en-US"/>
        </w:rPr>
      </w:pPr>
    </w:p>
    <w:p w:rsidR="004C68A0" w:rsidRDefault="004C68A0">
      <w:pPr>
        <w:pStyle w:val="Body"/>
        <w:rPr>
          <w:sz w:val="18"/>
          <w:szCs w:val="18"/>
        </w:rPr>
      </w:pPr>
    </w:p>
    <w:p w:rsidR="004C68A0" w:rsidRDefault="004C68A0">
      <w:pPr>
        <w:pStyle w:val="Body"/>
        <w:rPr>
          <w:sz w:val="18"/>
          <w:szCs w:val="18"/>
        </w:rPr>
      </w:pPr>
    </w:p>
    <w:p w:rsidR="00E30EFB" w:rsidRDefault="00E30EFB" w:rsidP="004C68A0"/>
    <w:p w:rsidR="004C68A0" w:rsidRPr="000C037B" w:rsidRDefault="004C68A0" w:rsidP="004C68A0">
      <w:pPr>
        <w:rPr>
          <w:sz w:val="20"/>
          <w:szCs w:val="20"/>
        </w:rPr>
      </w:pPr>
      <w:proofErr w:type="spellStart"/>
      <w:r w:rsidRPr="000C037B">
        <w:rPr>
          <w:sz w:val="20"/>
          <w:szCs w:val="20"/>
        </w:rPr>
        <w:t>Hx</w:t>
      </w:r>
      <w:proofErr w:type="spellEnd"/>
      <w:r w:rsidRPr="000C037B">
        <w:rPr>
          <w:sz w:val="20"/>
          <w:szCs w:val="20"/>
        </w:rPr>
        <w:t>= history, CAD=coronary artery disease, EF= ejection fraction, MI= myocardial infarction, CABG= coronary artery bypass surgery, PAD= peripheral arterial disease</w:t>
      </w:r>
    </w:p>
    <w:p w:rsidR="004C68A0" w:rsidRPr="004C68A0" w:rsidRDefault="004C68A0">
      <w:pPr>
        <w:pStyle w:val="Body"/>
        <w:rPr>
          <w:sz w:val="18"/>
          <w:szCs w:val="18"/>
          <w:lang w:val="en-US"/>
        </w:rPr>
      </w:pPr>
    </w:p>
    <w:sectPr w:rsidR="004C68A0" w:rsidRPr="004C68A0"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F11" w:rsidRDefault="00257F11">
      <w:r>
        <w:separator/>
      </w:r>
    </w:p>
  </w:endnote>
  <w:endnote w:type="continuationSeparator" w:id="0">
    <w:p w:rsidR="00257F11" w:rsidRDefault="0025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TT5235d5a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F11" w:rsidRDefault="00257F11">
      <w:r>
        <w:separator/>
      </w:r>
    </w:p>
  </w:footnote>
  <w:footnote w:type="continuationSeparator" w:id="0">
    <w:p w:rsidR="00257F11" w:rsidRDefault="00257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94E68"/>
    <w:multiLevelType w:val="hybridMultilevel"/>
    <w:tmpl w:val="5114D15E"/>
    <w:lvl w:ilvl="0" w:tplc="8B18BBD0">
      <w:start w:val="1"/>
      <w:numFmt w:val="decimal"/>
      <w:lvlText w:val="%1."/>
      <w:lvlJc w:val="left"/>
      <w:pPr>
        <w:ind w:left="216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B2E3BE">
      <w:start w:val="1"/>
      <w:numFmt w:val="lowerLetter"/>
      <w:lvlText w:val="%2."/>
      <w:lvlJc w:val="left"/>
      <w:pPr>
        <w:ind w:left="936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DCC406">
      <w:start w:val="1"/>
      <w:numFmt w:val="lowerRoman"/>
      <w:suff w:val="nothing"/>
      <w:lvlText w:val="%3."/>
      <w:lvlJc w:val="left"/>
      <w:pPr>
        <w:ind w:left="1656" w:hanging="1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DE0D86">
      <w:start w:val="1"/>
      <w:numFmt w:val="decimal"/>
      <w:lvlText w:val="%4."/>
      <w:lvlJc w:val="left"/>
      <w:pPr>
        <w:ind w:left="2376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148B8B0">
      <w:start w:val="1"/>
      <w:numFmt w:val="lowerLetter"/>
      <w:lvlText w:val="%5."/>
      <w:lvlJc w:val="left"/>
      <w:pPr>
        <w:ind w:left="3096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242D56">
      <w:start w:val="1"/>
      <w:numFmt w:val="lowerRoman"/>
      <w:suff w:val="nothing"/>
      <w:lvlText w:val="%6."/>
      <w:lvlJc w:val="left"/>
      <w:pPr>
        <w:ind w:left="3816" w:hanging="1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F83990">
      <w:start w:val="1"/>
      <w:numFmt w:val="decimal"/>
      <w:lvlText w:val="%7."/>
      <w:lvlJc w:val="left"/>
      <w:pPr>
        <w:ind w:left="4536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0EC52C">
      <w:start w:val="1"/>
      <w:numFmt w:val="lowerLetter"/>
      <w:lvlText w:val="%8."/>
      <w:lvlJc w:val="left"/>
      <w:pPr>
        <w:ind w:left="5256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972AB0C">
      <w:start w:val="1"/>
      <w:numFmt w:val="lowerRoman"/>
      <w:suff w:val="nothing"/>
      <w:lvlText w:val="%9."/>
      <w:lvlJc w:val="left"/>
      <w:pPr>
        <w:ind w:left="5976" w:hanging="1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1DE50014"/>
    <w:multiLevelType w:val="hybridMultilevel"/>
    <w:tmpl w:val="512EA302"/>
    <w:lvl w:ilvl="0" w:tplc="255A79BA">
      <w:start w:val="1"/>
      <w:numFmt w:val="bullet"/>
      <w:lvlText w:val="-"/>
      <w:lvlJc w:val="left"/>
      <w:pPr>
        <w:ind w:left="208" w:hanging="2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09063AE">
      <w:start w:val="1"/>
      <w:numFmt w:val="bullet"/>
      <w:lvlText w:val="-"/>
      <w:lvlJc w:val="left"/>
      <w:pPr>
        <w:ind w:left="7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D62328">
      <w:start w:val="1"/>
      <w:numFmt w:val="bullet"/>
      <w:lvlText w:val="-"/>
      <w:lvlJc w:val="left"/>
      <w:pPr>
        <w:ind w:left="13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6841BE">
      <w:start w:val="1"/>
      <w:numFmt w:val="bullet"/>
      <w:lvlText w:val="-"/>
      <w:lvlJc w:val="left"/>
      <w:pPr>
        <w:ind w:left="19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BAED82">
      <w:start w:val="1"/>
      <w:numFmt w:val="bullet"/>
      <w:lvlText w:val="-"/>
      <w:lvlJc w:val="left"/>
      <w:pPr>
        <w:ind w:left="25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EC0DE2">
      <w:start w:val="1"/>
      <w:numFmt w:val="bullet"/>
      <w:lvlText w:val="-"/>
      <w:lvlJc w:val="left"/>
      <w:pPr>
        <w:ind w:left="3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200CE6">
      <w:start w:val="1"/>
      <w:numFmt w:val="bullet"/>
      <w:lvlText w:val="-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500586C">
      <w:start w:val="1"/>
      <w:numFmt w:val="bullet"/>
      <w:lvlText w:val="-"/>
      <w:lvlJc w:val="left"/>
      <w:pPr>
        <w:ind w:left="43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C81782">
      <w:start w:val="1"/>
      <w:numFmt w:val="bullet"/>
      <w:lvlText w:val="-"/>
      <w:lvlJc w:val="left"/>
      <w:pPr>
        <w:ind w:left="49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2021565B"/>
    <w:multiLevelType w:val="hybridMultilevel"/>
    <w:tmpl w:val="70200CDE"/>
    <w:lvl w:ilvl="0" w:tplc="E8E2D85C">
      <w:start w:val="1"/>
      <w:numFmt w:val="bullet"/>
      <w:lvlText w:val="-"/>
      <w:lvlJc w:val="left"/>
      <w:pPr>
        <w:ind w:left="208" w:hanging="2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702FEA">
      <w:start w:val="1"/>
      <w:numFmt w:val="bullet"/>
      <w:lvlText w:val="-"/>
      <w:lvlJc w:val="left"/>
      <w:pPr>
        <w:ind w:left="7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8B2CF4A">
      <w:start w:val="1"/>
      <w:numFmt w:val="bullet"/>
      <w:lvlText w:val="-"/>
      <w:lvlJc w:val="left"/>
      <w:pPr>
        <w:ind w:left="13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DE12B0">
      <w:start w:val="1"/>
      <w:numFmt w:val="bullet"/>
      <w:lvlText w:val="-"/>
      <w:lvlJc w:val="left"/>
      <w:pPr>
        <w:ind w:left="19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B6E73B2">
      <w:start w:val="1"/>
      <w:numFmt w:val="bullet"/>
      <w:lvlText w:val="-"/>
      <w:lvlJc w:val="left"/>
      <w:pPr>
        <w:ind w:left="25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CBA73E4">
      <w:start w:val="1"/>
      <w:numFmt w:val="bullet"/>
      <w:lvlText w:val="-"/>
      <w:lvlJc w:val="left"/>
      <w:pPr>
        <w:ind w:left="3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7CB66C">
      <w:start w:val="1"/>
      <w:numFmt w:val="bullet"/>
      <w:lvlText w:val="-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0E58D4">
      <w:start w:val="1"/>
      <w:numFmt w:val="bullet"/>
      <w:lvlText w:val="-"/>
      <w:lvlJc w:val="left"/>
      <w:pPr>
        <w:ind w:left="43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606322">
      <w:start w:val="1"/>
      <w:numFmt w:val="bullet"/>
      <w:lvlText w:val="-"/>
      <w:lvlJc w:val="left"/>
      <w:pPr>
        <w:ind w:left="49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251E326D"/>
    <w:multiLevelType w:val="hybridMultilevel"/>
    <w:tmpl w:val="58A65DB8"/>
    <w:lvl w:ilvl="0" w:tplc="DACEBD68">
      <w:start w:val="1"/>
      <w:numFmt w:val="decimal"/>
      <w:lvlText w:val="%1."/>
      <w:lvlJc w:val="left"/>
      <w:pPr>
        <w:ind w:left="252" w:hanging="2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CCE7FC">
      <w:start w:val="1"/>
      <w:numFmt w:val="lowerLetter"/>
      <w:lvlText w:val="%2."/>
      <w:lvlJc w:val="left"/>
      <w:pPr>
        <w:ind w:left="972" w:hanging="2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4EEDE8">
      <w:start w:val="1"/>
      <w:numFmt w:val="lowerRoman"/>
      <w:suff w:val="nothing"/>
      <w:lvlText w:val="%3."/>
      <w:lvlJc w:val="left"/>
      <w:pPr>
        <w:ind w:left="1692" w:hanging="1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8C700A">
      <w:start w:val="1"/>
      <w:numFmt w:val="decimal"/>
      <w:lvlText w:val="%4."/>
      <w:lvlJc w:val="left"/>
      <w:pPr>
        <w:ind w:left="2412" w:hanging="2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C894EC">
      <w:start w:val="1"/>
      <w:numFmt w:val="lowerLetter"/>
      <w:lvlText w:val="%5."/>
      <w:lvlJc w:val="left"/>
      <w:pPr>
        <w:ind w:left="3132" w:hanging="2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5FEC3E4">
      <w:start w:val="1"/>
      <w:numFmt w:val="lowerRoman"/>
      <w:suff w:val="nothing"/>
      <w:lvlText w:val="%6."/>
      <w:lvlJc w:val="left"/>
      <w:pPr>
        <w:ind w:left="3852" w:hanging="1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F4C9C6C">
      <w:start w:val="1"/>
      <w:numFmt w:val="decimal"/>
      <w:lvlText w:val="%7."/>
      <w:lvlJc w:val="left"/>
      <w:pPr>
        <w:ind w:left="4572" w:hanging="2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D29470">
      <w:start w:val="1"/>
      <w:numFmt w:val="lowerLetter"/>
      <w:lvlText w:val="%8."/>
      <w:lvlJc w:val="left"/>
      <w:pPr>
        <w:ind w:left="5292" w:hanging="2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58AA90">
      <w:start w:val="1"/>
      <w:numFmt w:val="lowerRoman"/>
      <w:suff w:val="nothing"/>
      <w:lvlText w:val="%9."/>
      <w:lvlJc w:val="left"/>
      <w:pPr>
        <w:ind w:left="6012" w:hanging="1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297704B8"/>
    <w:multiLevelType w:val="hybridMultilevel"/>
    <w:tmpl w:val="58A05AA0"/>
    <w:lvl w:ilvl="0" w:tplc="25521402">
      <w:start w:val="1"/>
      <w:numFmt w:val="decimal"/>
      <w:lvlText w:val="%1."/>
      <w:lvlJc w:val="left"/>
      <w:pPr>
        <w:ind w:left="252" w:hanging="2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1AE5F4A">
      <w:start w:val="1"/>
      <w:numFmt w:val="lowerLetter"/>
      <w:lvlText w:val="%2."/>
      <w:lvlJc w:val="left"/>
      <w:pPr>
        <w:ind w:left="972" w:hanging="2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5987D64">
      <w:start w:val="1"/>
      <w:numFmt w:val="lowerRoman"/>
      <w:suff w:val="nothing"/>
      <w:lvlText w:val="%3."/>
      <w:lvlJc w:val="left"/>
      <w:pPr>
        <w:ind w:left="1692" w:hanging="1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9ABAAC">
      <w:start w:val="1"/>
      <w:numFmt w:val="decimal"/>
      <w:lvlText w:val="%4."/>
      <w:lvlJc w:val="left"/>
      <w:pPr>
        <w:ind w:left="2412" w:hanging="2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42AB04A">
      <w:start w:val="1"/>
      <w:numFmt w:val="lowerLetter"/>
      <w:lvlText w:val="%5."/>
      <w:lvlJc w:val="left"/>
      <w:pPr>
        <w:ind w:left="3132" w:hanging="2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46841A">
      <w:start w:val="1"/>
      <w:numFmt w:val="lowerRoman"/>
      <w:suff w:val="nothing"/>
      <w:lvlText w:val="%6."/>
      <w:lvlJc w:val="left"/>
      <w:pPr>
        <w:ind w:left="3852" w:hanging="1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FE07DE">
      <w:start w:val="1"/>
      <w:numFmt w:val="decimal"/>
      <w:lvlText w:val="%7."/>
      <w:lvlJc w:val="left"/>
      <w:pPr>
        <w:ind w:left="4572" w:hanging="2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A43268">
      <w:start w:val="1"/>
      <w:numFmt w:val="lowerLetter"/>
      <w:lvlText w:val="%8."/>
      <w:lvlJc w:val="left"/>
      <w:pPr>
        <w:ind w:left="5292" w:hanging="2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6CDBDC">
      <w:start w:val="1"/>
      <w:numFmt w:val="lowerRoman"/>
      <w:suff w:val="nothing"/>
      <w:lvlText w:val="%9."/>
      <w:lvlJc w:val="left"/>
      <w:pPr>
        <w:ind w:left="6012" w:hanging="1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30AD179E"/>
    <w:multiLevelType w:val="hybridMultilevel"/>
    <w:tmpl w:val="6CF44018"/>
    <w:lvl w:ilvl="0" w:tplc="67C45FDE">
      <w:start w:val="1"/>
      <w:numFmt w:val="decimal"/>
      <w:lvlText w:val="%1."/>
      <w:lvlJc w:val="left"/>
      <w:pPr>
        <w:ind w:left="252" w:hanging="2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F4FF26">
      <w:start w:val="1"/>
      <w:numFmt w:val="lowerLetter"/>
      <w:lvlText w:val="%2."/>
      <w:lvlJc w:val="left"/>
      <w:pPr>
        <w:ind w:left="972" w:hanging="2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D8C678">
      <w:start w:val="1"/>
      <w:numFmt w:val="lowerRoman"/>
      <w:suff w:val="nothing"/>
      <w:lvlText w:val="%3."/>
      <w:lvlJc w:val="left"/>
      <w:pPr>
        <w:ind w:left="1692" w:hanging="1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0459B4">
      <w:start w:val="1"/>
      <w:numFmt w:val="decimal"/>
      <w:lvlText w:val="%4."/>
      <w:lvlJc w:val="left"/>
      <w:pPr>
        <w:ind w:left="2412" w:hanging="2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12DBF6">
      <w:start w:val="1"/>
      <w:numFmt w:val="lowerLetter"/>
      <w:lvlText w:val="%5."/>
      <w:lvlJc w:val="left"/>
      <w:pPr>
        <w:ind w:left="3132" w:hanging="2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563C28">
      <w:start w:val="1"/>
      <w:numFmt w:val="lowerRoman"/>
      <w:suff w:val="nothing"/>
      <w:lvlText w:val="%6."/>
      <w:lvlJc w:val="left"/>
      <w:pPr>
        <w:ind w:left="3852" w:hanging="1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D83650">
      <w:start w:val="1"/>
      <w:numFmt w:val="decimal"/>
      <w:lvlText w:val="%7."/>
      <w:lvlJc w:val="left"/>
      <w:pPr>
        <w:ind w:left="4572" w:hanging="2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F89C60">
      <w:start w:val="1"/>
      <w:numFmt w:val="lowerLetter"/>
      <w:lvlText w:val="%8."/>
      <w:lvlJc w:val="left"/>
      <w:pPr>
        <w:ind w:left="5292" w:hanging="2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7AEE20">
      <w:start w:val="1"/>
      <w:numFmt w:val="lowerRoman"/>
      <w:suff w:val="nothing"/>
      <w:lvlText w:val="%9."/>
      <w:lvlJc w:val="left"/>
      <w:pPr>
        <w:ind w:left="6012" w:hanging="1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53971E3A"/>
    <w:multiLevelType w:val="hybridMultilevel"/>
    <w:tmpl w:val="A36CFA70"/>
    <w:lvl w:ilvl="0" w:tplc="1D42F204">
      <w:start w:val="1"/>
      <w:numFmt w:val="decimal"/>
      <w:lvlText w:val="%1."/>
      <w:lvlJc w:val="left"/>
      <w:pPr>
        <w:ind w:left="252" w:hanging="2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4EFE50">
      <w:start w:val="1"/>
      <w:numFmt w:val="lowerLetter"/>
      <w:lvlText w:val="%2."/>
      <w:lvlJc w:val="left"/>
      <w:pPr>
        <w:ind w:left="972" w:hanging="2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E0173A">
      <w:start w:val="1"/>
      <w:numFmt w:val="lowerRoman"/>
      <w:suff w:val="nothing"/>
      <w:lvlText w:val="%3."/>
      <w:lvlJc w:val="left"/>
      <w:pPr>
        <w:ind w:left="1692" w:hanging="1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5C946A">
      <w:start w:val="1"/>
      <w:numFmt w:val="decimal"/>
      <w:lvlText w:val="%4."/>
      <w:lvlJc w:val="left"/>
      <w:pPr>
        <w:ind w:left="2412" w:hanging="2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70FD18">
      <w:start w:val="1"/>
      <w:numFmt w:val="lowerLetter"/>
      <w:lvlText w:val="%5."/>
      <w:lvlJc w:val="left"/>
      <w:pPr>
        <w:ind w:left="3132" w:hanging="2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C6D2AA">
      <w:start w:val="1"/>
      <w:numFmt w:val="lowerRoman"/>
      <w:suff w:val="nothing"/>
      <w:lvlText w:val="%6."/>
      <w:lvlJc w:val="left"/>
      <w:pPr>
        <w:ind w:left="3852" w:hanging="1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988588">
      <w:start w:val="1"/>
      <w:numFmt w:val="decimal"/>
      <w:lvlText w:val="%7."/>
      <w:lvlJc w:val="left"/>
      <w:pPr>
        <w:ind w:left="4572" w:hanging="2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D360742">
      <w:start w:val="1"/>
      <w:numFmt w:val="lowerLetter"/>
      <w:lvlText w:val="%8."/>
      <w:lvlJc w:val="left"/>
      <w:pPr>
        <w:ind w:left="5292" w:hanging="2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DC7A66">
      <w:start w:val="1"/>
      <w:numFmt w:val="lowerRoman"/>
      <w:suff w:val="nothing"/>
      <w:lvlText w:val="%9."/>
      <w:lvlJc w:val="left"/>
      <w:pPr>
        <w:ind w:left="6012" w:hanging="1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581A2113"/>
    <w:multiLevelType w:val="multilevel"/>
    <w:tmpl w:val="05CCA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515D8B"/>
    <w:multiLevelType w:val="hybridMultilevel"/>
    <w:tmpl w:val="AA5C2BD8"/>
    <w:lvl w:ilvl="0" w:tplc="ADFAFF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57C5C"/>
    <w:multiLevelType w:val="multilevel"/>
    <w:tmpl w:val="47585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2D7137"/>
    <w:multiLevelType w:val="hybridMultilevel"/>
    <w:tmpl w:val="5AE2F476"/>
    <w:lvl w:ilvl="0" w:tplc="4312623E">
      <w:start w:val="1"/>
      <w:numFmt w:val="decimal"/>
      <w:lvlText w:val="%1."/>
      <w:lvlJc w:val="left"/>
      <w:pPr>
        <w:ind w:left="217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D40D7E">
      <w:start w:val="1"/>
      <w:numFmt w:val="lowerLetter"/>
      <w:lvlText w:val="%2."/>
      <w:lvlJc w:val="left"/>
      <w:pPr>
        <w:ind w:left="937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F87B88">
      <w:start w:val="1"/>
      <w:numFmt w:val="lowerRoman"/>
      <w:suff w:val="nothing"/>
      <w:lvlText w:val="%3."/>
      <w:lvlJc w:val="left"/>
      <w:pPr>
        <w:ind w:left="1657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1">
      <w:start w:val="1"/>
      <w:numFmt w:val="bullet"/>
      <w:lvlText w:val=""/>
      <w:lvlJc w:val="left"/>
      <w:pPr>
        <w:ind w:left="2377" w:hanging="217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B014A4">
      <w:start w:val="1"/>
      <w:numFmt w:val="lowerLetter"/>
      <w:lvlText w:val="%5."/>
      <w:lvlJc w:val="left"/>
      <w:pPr>
        <w:ind w:left="3097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CFE5B5A">
      <w:start w:val="1"/>
      <w:numFmt w:val="lowerRoman"/>
      <w:suff w:val="nothing"/>
      <w:lvlText w:val="%6."/>
      <w:lvlJc w:val="left"/>
      <w:pPr>
        <w:ind w:left="3817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3ADFD2">
      <w:start w:val="1"/>
      <w:numFmt w:val="decimal"/>
      <w:lvlText w:val="%7."/>
      <w:lvlJc w:val="left"/>
      <w:pPr>
        <w:ind w:left="4537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C80D0A">
      <w:start w:val="1"/>
      <w:numFmt w:val="lowerLetter"/>
      <w:lvlText w:val="%8."/>
      <w:lvlJc w:val="left"/>
      <w:pPr>
        <w:ind w:left="5257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2C34B4">
      <w:start w:val="1"/>
      <w:numFmt w:val="lowerRoman"/>
      <w:suff w:val="nothing"/>
      <w:lvlText w:val="%9."/>
      <w:lvlJc w:val="left"/>
      <w:pPr>
        <w:ind w:left="5977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734F7E9D"/>
    <w:multiLevelType w:val="hybridMultilevel"/>
    <w:tmpl w:val="220803DE"/>
    <w:lvl w:ilvl="0" w:tplc="9F2E585E">
      <w:start w:val="1"/>
      <w:numFmt w:val="decimal"/>
      <w:lvlText w:val="%1."/>
      <w:lvlJc w:val="left"/>
      <w:pPr>
        <w:ind w:left="342" w:hanging="3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92DDD6">
      <w:start w:val="1"/>
      <w:numFmt w:val="lowerLetter"/>
      <w:lvlText w:val="%2."/>
      <w:lvlJc w:val="left"/>
      <w:pPr>
        <w:ind w:left="1062" w:hanging="3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786ABA">
      <w:start w:val="1"/>
      <w:numFmt w:val="lowerRoman"/>
      <w:lvlText w:val="%3."/>
      <w:lvlJc w:val="left"/>
      <w:pPr>
        <w:ind w:left="1782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F66070">
      <w:start w:val="1"/>
      <w:numFmt w:val="decimal"/>
      <w:lvlText w:val="%4."/>
      <w:lvlJc w:val="left"/>
      <w:pPr>
        <w:ind w:left="2502" w:hanging="3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564FE4">
      <w:start w:val="1"/>
      <w:numFmt w:val="lowerLetter"/>
      <w:lvlText w:val="%5."/>
      <w:lvlJc w:val="left"/>
      <w:pPr>
        <w:ind w:left="3222" w:hanging="3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A28E6">
      <w:start w:val="1"/>
      <w:numFmt w:val="lowerRoman"/>
      <w:lvlText w:val="%6."/>
      <w:lvlJc w:val="left"/>
      <w:pPr>
        <w:ind w:left="3942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958AAF2">
      <w:start w:val="1"/>
      <w:numFmt w:val="decimal"/>
      <w:lvlText w:val="%7."/>
      <w:lvlJc w:val="left"/>
      <w:pPr>
        <w:ind w:left="4662" w:hanging="3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F2CD884">
      <w:start w:val="1"/>
      <w:numFmt w:val="lowerLetter"/>
      <w:lvlText w:val="%8."/>
      <w:lvlJc w:val="left"/>
      <w:pPr>
        <w:ind w:left="5382" w:hanging="3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E402CA">
      <w:start w:val="1"/>
      <w:numFmt w:val="lowerRoman"/>
      <w:lvlText w:val="%9."/>
      <w:lvlJc w:val="left"/>
      <w:pPr>
        <w:ind w:left="6102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75DE16A6"/>
    <w:multiLevelType w:val="multilevel"/>
    <w:tmpl w:val="15746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EA0F1F"/>
    <w:multiLevelType w:val="hybridMultilevel"/>
    <w:tmpl w:val="A7585B34"/>
    <w:lvl w:ilvl="0" w:tplc="4D5C3CA0">
      <w:start w:val="1"/>
      <w:numFmt w:val="decimal"/>
      <w:lvlText w:val="%1."/>
      <w:lvlJc w:val="left"/>
      <w:pPr>
        <w:ind w:left="252" w:hanging="2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80B3C0">
      <w:start w:val="1"/>
      <w:numFmt w:val="lowerLetter"/>
      <w:lvlText w:val="%2."/>
      <w:lvlJc w:val="left"/>
      <w:pPr>
        <w:ind w:left="972" w:hanging="2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7623B4">
      <w:start w:val="1"/>
      <w:numFmt w:val="lowerRoman"/>
      <w:suff w:val="nothing"/>
      <w:lvlText w:val="%3."/>
      <w:lvlJc w:val="left"/>
      <w:pPr>
        <w:ind w:left="1692" w:hanging="1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023A66">
      <w:start w:val="1"/>
      <w:numFmt w:val="decimal"/>
      <w:lvlText w:val="%4."/>
      <w:lvlJc w:val="left"/>
      <w:pPr>
        <w:ind w:left="2412" w:hanging="2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02A41C">
      <w:start w:val="1"/>
      <w:numFmt w:val="lowerLetter"/>
      <w:lvlText w:val="%5."/>
      <w:lvlJc w:val="left"/>
      <w:pPr>
        <w:ind w:left="3132" w:hanging="2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2E5012">
      <w:start w:val="1"/>
      <w:numFmt w:val="lowerRoman"/>
      <w:suff w:val="nothing"/>
      <w:lvlText w:val="%6."/>
      <w:lvlJc w:val="left"/>
      <w:pPr>
        <w:ind w:left="3852" w:hanging="1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986570A">
      <w:start w:val="1"/>
      <w:numFmt w:val="decimal"/>
      <w:lvlText w:val="%7."/>
      <w:lvlJc w:val="left"/>
      <w:pPr>
        <w:ind w:left="4572" w:hanging="2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7E54C8">
      <w:start w:val="1"/>
      <w:numFmt w:val="lowerLetter"/>
      <w:lvlText w:val="%8."/>
      <w:lvlJc w:val="left"/>
      <w:pPr>
        <w:ind w:left="5292" w:hanging="2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4429F06">
      <w:start w:val="1"/>
      <w:numFmt w:val="lowerRoman"/>
      <w:suff w:val="nothing"/>
      <w:lvlText w:val="%9."/>
      <w:lvlJc w:val="left"/>
      <w:pPr>
        <w:ind w:left="6012" w:hanging="1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7D06231C"/>
    <w:multiLevelType w:val="multilevel"/>
    <w:tmpl w:val="65F87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0"/>
  </w:num>
  <w:num w:numId="5">
    <w:abstractNumId w:val="4"/>
  </w:num>
  <w:num w:numId="6">
    <w:abstractNumId w:val="0"/>
  </w:num>
  <w:num w:numId="7">
    <w:abstractNumId w:val="5"/>
  </w:num>
  <w:num w:numId="8">
    <w:abstractNumId w:val="11"/>
  </w:num>
  <w:num w:numId="9">
    <w:abstractNumId w:val="1"/>
  </w:num>
  <w:num w:numId="10">
    <w:abstractNumId w:val="2"/>
  </w:num>
  <w:num w:numId="11">
    <w:abstractNumId w:val="8"/>
  </w:num>
  <w:num w:numId="12">
    <w:abstractNumId w:val="9"/>
  </w:num>
  <w:num w:numId="13">
    <w:abstractNumId w:val="14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61"/>
    <w:rsid w:val="00026198"/>
    <w:rsid w:val="00051BD7"/>
    <w:rsid w:val="000C037B"/>
    <w:rsid w:val="00106A9B"/>
    <w:rsid w:val="001235DC"/>
    <w:rsid w:val="001241B5"/>
    <w:rsid w:val="00175E8C"/>
    <w:rsid w:val="001D1D15"/>
    <w:rsid w:val="001E0730"/>
    <w:rsid w:val="001E4B48"/>
    <w:rsid w:val="00214D25"/>
    <w:rsid w:val="00240FBC"/>
    <w:rsid w:val="002524D4"/>
    <w:rsid w:val="00257F11"/>
    <w:rsid w:val="002A382B"/>
    <w:rsid w:val="0030457C"/>
    <w:rsid w:val="00315BA1"/>
    <w:rsid w:val="00336B58"/>
    <w:rsid w:val="003540B0"/>
    <w:rsid w:val="003D1FB2"/>
    <w:rsid w:val="003E08B2"/>
    <w:rsid w:val="003E49EF"/>
    <w:rsid w:val="003E6C27"/>
    <w:rsid w:val="003E78A9"/>
    <w:rsid w:val="003F51BF"/>
    <w:rsid w:val="0040577D"/>
    <w:rsid w:val="00434B8F"/>
    <w:rsid w:val="004C68A0"/>
    <w:rsid w:val="004F35DC"/>
    <w:rsid w:val="00512D33"/>
    <w:rsid w:val="00531938"/>
    <w:rsid w:val="0055261C"/>
    <w:rsid w:val="00564FD9"/>
    <w:rsid w:val="005B6682"/>
    <w:rsid w:val="00606C4D"/>
    <w:rsid w:val="006D4B89"/>
    <w:rsid w:val="00766167"/>
    <w:rsid w:val="007B54A5"/>
    <w:rsid w:val="007D5B89"/>
    <w:rsid w:val="007F084E"/>
    <w:rsid w:val="00835B35"/>
    <w:rsid w:val="00867B82"/>
    <w:rsid w:val="0088532C"/>
    <w:rsid w:val="008E4353"/>
    <w:rsid w:val="008F2A20"/>
    <w:rsid w:val="00905D21"/>
    <w:rsid w:val="009A6AEC"/>
    <w:rsid w:val="009B16EB"/>
    <w:rsid w:val="009C0065"/>
    <w:rsid w:val="009C432D"/>
    <w:rsid w:val="00A327DD"/>
    <w:rsid w:val="00A43861"/>
    <w:rsid w:val="00A92754"/>
    <w:rsid w:val="00B26B03"/>
    <w:rsid w:val="00B464E8"/>
    <w:rsid w:val="00B72985"/>
    <w:rsid w:val="00B95E0D"/>
    <w:rsid w:val="00BB611B"/>
    <w:rsid w:val="00C643DF"/>
    <w:rsid w:val="00C65380"/>
    <w:rsid w:val="00CA1865"/>
    <w:rsid w:val="00CB220E"/>
    <w:rsid w:val="00CD44C5"/>
    <w:rsid w:val="00CF4059"/>
    <w:rsid w:val="00D277E1"/>
    <w:rsid w:val="00D9221E"/>
    <w:rsid w:val="00DA4AB1"/>
    <w:rsid w:val="00DF6873"/>
    <w:rsid w:val="00E1646B"/>
    <w:rsid w:val="00E30EFB"/>
    <w:rsid w:val="00E4192B"/>
    <w:rsid w:val="00E509DB"/>
    <w:rsid w:val="00EC498D"/>
    <w:rsid w:val="00ED5AB0"/>
    <w:rsid w:val="00F04AAF"/>
    <w:rsid w:val="00F137D3"/>
    <w:rsid w:val="00F22064"/>
    <w:rsid w:val="00F31403"/>
    <w:rsid w:val="00F3634E"/>
    <w:rsid w:val="00FC00B4"/>
    <w:rsid w:val="00FC477F"/>
    <w:rsid w:val="00FE0F78"/>
    <w:rsid w:val="00FE11A7"/>
    <w:rsid w:val="00FE66E3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F35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8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8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68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8A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68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A0"/>
    <w:rPr>
      <w:sz w:val="24"/>
      <w:szCs w:val="24"/>
    </w:rPr>
  </w:style>
  <w:style w:type="table" w:styleId="TableGrid">
    <w:name w:val="Table Grid"/>
    <w:basedOn w:val="TableNormal"/>
    <w:uiPriority w:val="59"/>
    <w:rsid w:val="004C68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F35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8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8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68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8A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68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A0"/>
    <w:rPr>
      <w:sz w:val="24"/>
      <w:szCs w:val="24"/>
    </w:rPr>
  </w:style>
  <w:style w:type="table" w:styleId="TableGrid">
    <w:name w:val="Table Grid"/>
    <w:basedOn w:val="TableNormal"/>
    <w:uiPriority w:val="59"/>
    <w:rsid w:val="004C68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26FA9-2659-4A68-BD6A-992E3B298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25</Pages>
  <Words>4887</Words>
  <Characters>27860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Wassim</dc:creator>
  <cp:lastModifiedBy>Charl</cp:lastModifiedBy>
  <cp:revision>1</cp:revision>
  <dcterms:created xsi:type="dcterms:W3CDTF">2018-01-27T22:34:00Z</dcterms:created>
  <dcterms:modified xsi:type="dcterms:W3CDTF">2010-02-01T22:05:00Z</dcterms:modified>
</cp:coreProperties>
</file>