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DA" w:rsidRDefault="009E3091">
      <w:pPr>
        <w:pStyle w:val="Title"/>
        <w:keepNext/>
        <w:keepLines/>
        <w:spacing w:line="276" w:lineRule="auto"/>
        <w:jc w:val="left"/>
        <w:rPr>
          <w:sz w:val="24"/>
          <w:szCs w:val="24"/>
        </w:rPr>
      </w:pPr>
      <w:bookmarkStart w:id="0" w:name="_gznl178vay0n" w:colFirst="0" w:colLast="0"/>
      <w:bookmarkEnd w:id="0"/>
      <w:r>
        <w:rPr>
          <w:noProof/>
          <w:sz w:val="24"/>
          <w:szCs w:val="24"/>
          <w:lang w:val="de-DE"/>
        </w:rPr>
        <w:drawing>
          <wp:inline distT="114300" distB="114300" distL="114300" distR="114300">
            <wp:extent cx="2215598" cy="509588"/>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215598" cy="509588"/>
                    </a:xfrm>
                    <a:prstGeom prst="rect">
                      <a:avLst/>
                    </a:prstGeom>
                    <a:ln/>
                  </pic:spPr>
                </pic:pic>
              </a:graphicData>
            </a:graphic>
          </wp:inline>
        </w:drawing>
      </w:r>
    </w:p>
    <w:p w:rsidR="003A02DA" w:rsidRDefault="003A02DA">
      <w:pPr>
        <w:pStyle w:val="Title"/>
        <w:keepNext/>
        <w:keepLines/>
        <w:spacing w:line="276" w:lineRule="auto"/>
        <w:jc w:val="center"/>
        <w:rPr>
          <w:sz w:val="24"/>
          <w:szCs w:val="24"/>
        </w:rPr>
      </w:pPr>
      <w:bookmarkStart w:id="1" w:name="_nj0cntsoic2k" w:colFirst="0" w:colLast="0"/>
      <w:bookmarkEnd w:id="1"/>
    </w:p>
    <w:p w:rsidR="003A02DA" w:rsidRDefault="009E3091">
      <w:pPr>
        <w:pStyle w:val="Title"/>
        <w:keepNext/>
        <w:keepLines/>
        <w:spacing w:after="200" w:line="276" w:lineRule="auto"/>
        <w:jc w:val="center"/>
        <w:rPr>
          <w:sz w:val="24"/>
          <w:szCs w:val="24"/>
        </w:rPr>
      </w:pPr>
      <w:bookmarkStart w:id="2" w:name="_tzwg91r2pi0" w:colFirst="0" w:colLast="0"/>
      <w:bookmarkEnd w:id="2"/>
      <w:r>
        <w:rPr>
          <w:sz w:val="24"/>
          <w:szCs w:val="24"/>
        </w:rPr>
        <w:t>Supplementary Information for</w:t>
      </w:r>
    </w:p>
    <w:p w:rsidR="003A02DA" w:rsidRDefault="009E3091">
      <w:pPr>
        <w:pStyle w:val="Title"/>
        <w:keepNext/>
        <w:keepLines/>
        <w:spacing w:line="276" w:lineRule="auto"/>
        <w:jc w:val="center"/>
        <w:rPr>
          <w:sz w:val="24"/>
          <w:szCs w:val="24"/>
        </w:rPr>
      </w:pPr>
      <w:bookmarkStart w:id="3" w:name="_i5khkwagub7w" w:colFirst="0" w:colLast="0"/>
      <w:bookmarkEnd w:id="3"/>
      <w:r>
        <w:rPr>
          <w:sz w:val="24"/>
          <w:szCs w:val="24"/>
        </w:rPr>
        <w:t>Proteomic Evidence of Diet in Ancient Dental Calculus</w:t>
      </w:r>
      <w:r>
        <w:rPr>
          <w:sz w:val="24"/>
          <w:szCs w:val="24"/>
        </w:rPr>
        <w:br/>
      </w:r>
    </w:p>
    <w:p w:rsidR="003A02DA" w:rsidRDefault="009E3091">
      <w:pPr>
        <w:spacing w:after="0" w:line="276" w:lineRule="auto"/>
        <w:jc w:val="center"/>
      </w:pPr>
      <w:r>
        <w:t xml:space="preserve">Jessica Hendy*, Christina Warinner, Abigail </w:t>
      </w:r>
      <w:proofErr w:type="spellStart"/>
      <w:r>
        <w:t>Bouwman</w:t>
      </w:r>
      <w:proofErr w:type="spellEnd"/>
      <w:r>
        <w:t xml:space="preserve">, Matthew Collins, Sarah </w:t>
      </w:r>
      <w:proofErr w:type="spellStart"/>
      <w:r>
        <w:t>Fiddyment</w:t>
      </w:r>
      <w:proofErr w:type="spellEnd"/>
      <w:r>
        <w:t xml:space="preserve">, Roman Fischer, Richard Hagan, Courtney A. Hofman, </w:t>
      </w:r>
      <w:proofErr w:type="spellStart"/>
      <w:r>
        <w:t>Malin</w:t>
      </w:r>
      <w:proofErr w:type="spellEnd"/>
      <w:r>
        <w:t xml:space="preserve"> Holst, Eros Chaves, Lauren Klaus, </w:t>
      </w:r>
      <w:proofErr w:type="spellStart"/>
      <w:r>
        <w:t>Greger</w:t>
      </w:r>
      <w:proofErr w:type="spellEnd"/>
      <w:r>
        <w:t xml:space="preserve"> Larson, Meaghan Mackie, Krista McGrath, Amy </w:t>
      </w:r>
      <w:proofErr w:type="spellStart"/>
      <w:r>
        <w:t>Mundorff</w:t>
      </w:r>
      <w:proofErr w:type="spellEnd"/>
      <w:r>
        <w:t xml:space="preserve">, Anita </w:t>
      </w:r>
      <w:proofErr w:type="spellStart"/>
      <w:r>
        <w:t>Radini</w:t>
      </w:r>
      <w:proofErr w:type="spellEnd"/>
      <w:r>
        <w:t xml:space="preserve">, </w:t>
      </w:r>
      <w:proofErr w:type="spellStart"/>
      <w:r>
        <w:t>Huiyun</w:t>
      </w:r>
      <w:proofErr w:type="spellEnd"/>
      <w:r>
        <w:t xml:space="preserve"> Rao, Christian Trachsel, Irina M. Velsko, Camilla F. Speller*. </w:t>
      </w:r>
    </w:p>
    <w:p w:rsidR="003A02DA" w:rsidRDefault="003A02DA">
      <w:pPr>
        <w:spacing w:after="0" w:line="276" w:lineRule="auto"/>
        <w:jc w:val="left"/>
      </w:pPr>
    </w:p>
    <w:p w:rsidR="003A02DA" w:rsidRDefault="009E3091">
      <w:pPr>
        <w:spacing w:after="0" w:line="276" w:lineRule="auto"/>
        <w:jc w:val="left"/>
      </w:pPr>
      <w:r>
        <w:t>*Correspondence to: Jessica Hendy (hendy@shh.mpg.de), Camilla Speller (camilla.speller@york.ac.uk)</w:t>
      </w:r>
    </w:p>
    <w:p w:rsidR="003A02DA" w:rsidRDefault="003A02DA">
      <w:pPr>
        <w:spacing w:after="0" w:line="276" w:lineRule="auto"/>
        <w:jc w:val="left"/>
      </w:pPr>
    </w:p>
    <w:p w:rsidR="003A02DA" w:rsidRDefault="009E3091">
      <w:pPr>
        <w:spacing w:after="0" w:line="276" w:lineRule="auto"/>
        <w:jc w:val="left"/>
      </w:pPr>
      <w:r>
        <w:t xml:space="preserve">This pdf includes: </w:t>
      </w:r>
    </w:p>
    <w:p w:rsidR="003A02DA" w:rsidRDefault="003A02DA">
      <w:pPr>
        <w:spacing w:after="0" w:line="276" w:lineRule="auto"/>
        <w:jc w:val="left"/>
      </w:pPr>
    </w:p>
    <w:p w:rsidR="003A02DA" w:rsidRDefault="009E3091">
      <w:pPr>
        <w:numPr>
          <w:ilvl w:val="0"/>
          <w:numId w:val="3"/>
        </w:numPr>
        <w:spacing w:after="0" w:line="276" w:lineRule="auto"/>
        <w:contextualSpacing/>
        <w:jc w:val="left"/>
      </w:pPr>
      <w:r>
        <w:t xml:space="preserve">Detailed description of methods </w:t>
      </w:r>
    </w:p>
    <w:p w:rsidR="003A02DA" w:rsidRDefault="009E3091">
      <w:pPr>
        <w:numPr>
          <w:ilvl w:val="0"/>
          <w:numId w:val="3"/>
        </w:numPr>
        <w:spacing w:after="0" w:line="276" w:lineRule="auto"/>
        <w:contextualSpacing/>
        <w:jc w:val="left"/>
      </w:pPr>
      <w:r>
        <w:t>SI Table 4. Contaminant list</w:t>
      </w:r>
    </w:p>
    <w:p w:rsidR="003A02DA" w:rsidRDefault="009E3091">
      <w:pPr>
        <w:numPr>
          <w:ilvl w:val="0"/>
          <w:numId w:val="3"/>
        </w:numPr>
        <w:spacing w:after="0" w:line="276" w:lineRule="auto"/>
        <w:contextualSpacing/>
        <w:jc w:val="left"/>
      </w:pPr>
      <w:r>
        <w:t xml:space="preserve">SI Table 5. Total protein identifications, as well as putative dietary protein and peptide identifications using semi-tryptic and fully-tryptic peptide identification search strategies. </w:t>
      </w:r>
    </w:p>
    <w:p w:rsidR="003A02DA" w:rsidRDefault="009E3091">
      <w:pPr>
        <w:numPr>
          <w:ilvl w:val="0"/>
          <w:numId w:val="3"/>
        </w:numPr>
        <w:spacing w:after="0" w:line="276" w:lineRule="auto"/>
        <w:jc w:val="left"/>
      </w:pPr>
      <w:r>
        <w:t xml:space="preserve">SI Table 6. Putative dietary proteins and peptides identified searching against </w:t>
      </w:r>
      <w:proofErr w:type="spellStart"/>
      <w:r w:rsidRPr="00236A06">
        <w:t>Uniprot</w:t>
      </w:r>
      <w:proofErr w:type="spellEnd"/>
      <w:r>
        <w:t xml:space="preserve"> and HOMD databases and searching against the </w:t>
      </w:r>
      <w:proofErr w:type="spellStart"/>
      <w:r>
        <w:t>Uniprot</w:t>
      </w:r>
      <w:proofErr w:type="spellEnd"/>
      <w:r>
        <w:t xml:space="preserve"> database alone. </w:t>
      </w:r>
    </w:p>
    <w:p w:rsidR="003A02DA" w:rsidRDefault="009E3091">
      <w:pPr>
        <w:numPr>
          <w:ilvl w:val="0"/>
          <w:numId w:val="3"/>
        </w:numPr>
        <w:spacing w:after="0" w:line="276" w:lineRule="auto"/>
        <w:jc w:val="left"/>
      </w:pPr>
      <w:r>
        <w:t>SI Figure 1. Relationship between quantity of dental calculus used for protein extraction and the number of identified proteins.</w:t>
      </w:r>
    </w:p>
    <w:p w:rsidR="003A02DA" w:rsidRDefault="009E3091">
      <w:pPr>
        <w:numPr>
          <w:ilvl w:val="0"/>
          <w:numId w:val="3"/>
        </w:numPr>
        <w:spacing w:after="0" w:line="276" w:lineRule="auto"/>
        <w:jc w:val="left"/>
      </w:pPr>
      <w:r>
        <w:t xml:space="preserve">SI Figure 2. Bar chart demonstrating the mean frequency of ‘alpha-amylase 1’ peptides in dental calculus from different archaeological time periods and modern samples.  </w:t>
      </w:r>
    </w:p>
    <w:p w:rsidR="003A02DA" w:rsidRDefault="009E3091">
      <w:pPr>
        <w:numPr>
          <w:ilvl w:val="0"/>
          <w:numId w:val="3"/>
        </w:numPr>
        <w:spacing w:after="0" w:line="276" w:lineRule="auto"/>
        <w:jc w:val="left"/>
      </w:pPr>
      <w:r>
        <w:t xml:space="preserve">SI Figure 3. Comparison of FASP and GASP extracts from two samples of modern dental calculus. </w:t>
      </w:r>
    </w:p>
    <w:p w:rsidR="003A02DA" w:rsidRDefault="003A02DA">
      <w:pPr>
        <w:spacing w:after="0" w:line="276" w:lineRule="auto"/>
        <w:jc w:val="left"/>
      </w:pPr>
    </w:p>
    <w:p w:rsidR="003A02DA" w:rsidRDefault="009E3091">
      <w:pPr>
        <w:numPr>
          <w:ilvl w:val="0"/>
          <w:numId w:val="1"/>
        </w:numPr>
        <w:spacing w:after="0" w:line="276" w:lineRule="auto"/>
        <w:contextualSpacing/>
        <w:jc w:val="left"/>
        <w:rPr>
          <w:b/>
        </w:rPr>
      </w:pPr>
      <w:r>
        <w:rPr>
          <w:b/>
        </w:rPr>
        <w:t xml:space="preserve">Detailed Description of Methods </w:t>
      </w:r>
    </w:p>
    <w:p w:rsidR="003A02DA" w:rsidRDefault="003A02DA">
      <w:pPr>
        <w:spacing w:after="0" w:line="276" w:lineRule="auto"/>
        <w:jc w:val="left"/>
        <w:rPr>
          <w:b/>
        </w:rPr>
      </w:pPr>
    </w:p>
    <w:p w:rsidR="003A02DA" w:rsidRDefault="009E3091">
      <w:pPr>
        <w:spacing w:after="0" w:line="276" w:lineRule="auto"/>
        <w:jc w:val="left"/>
      </w:pPr>
      <w:bookmarkStart w:id="4" w:name="_30j0zll" w:colFirst="0" w:colLast="0"/>
      <w:bookmarkEnd w:id="4"/>
      <w:proofErr w:type="gramStart"/>
      <w:r>
        <w:rPr>
          <w:b/>
        </w:rPr>
        <w:t>Summary.</w:t>
      </w:r>
      <w:proofErr w:type="gramEnd"/>
      <w:r>
        <w:t xml:space="preserve"> A total of 100 archaeological samples of dental calculus were analyzed in this study, with an additional 14 deriving from dental calculus deposits of modern or recently deceased individuals. Of these 14 modern individuals, 10 were dental patients and 4 recently deceased individuals from the University of Tennessee Forensic Anthropology Centre. Two extraction methods were performed; a Filter-Aided Sample Preparation Protocol (FASP) previously published in Warinner et al. </w:t>
      </w:r>
      <w:hyperlink r:id="rId10">
        <w:r>
          <w:rPr>
            <w:color w:val="000000"/>
          </w:rPr>
          <w:t>[1,2]</w:t>
        </w:r>
      </w:hyperlink>
      <w:r>
        <w:t xml:space="preserve">, and a Gel-Aided Sample Preparation Protocol (GASP) based on Fischer and Kessler </w:t>
      </w:r>
      <w:hyperlink r:id="rId11">
        <w:r>
          <w:rPr>
            <w:color w:val="000000"/>
          </w:rPr>
          <w:t>[3]</w:t>
        </w:r>
      </w:hyperlink>
      <w:r>
        <w:t xml:space="preserve"> modified for ancient mineralized samples. This latter extraction method was applied in order to improve the number of identified proteins from ancient and </w:t>
      </w:r>
      <w:r>
        <w:lastRenderedPageBreak/>
        <w:t xml:space="preserve">modern samples. Protein extractions were performed at three locations; the ancient protein laboratory at </w:t>
      </w:r>
      <w:proofErr w:type="spellStart"/>
      <w:r>
        <w:t>BioArCh</w:t>
      </w:r>
      <w:proofErr w:type="spellEnd"/>
      <w:r>
        <w:t>, at the Department of Archaeology, University of York (UK), laboratories at the Department of Archaeology, University of Oxford, and at the Laboratories of Molecular Anthropology and Microbiome Research at Oklahoma University (USA). MS/MS analysis was performed in two locations; the mass spectrometry laboratories at the Target Discovery Institute (University of Oxford, United Kingdom), and at the Functional Genomics Center Zürich (ETH Zürich/University of Zürich, Switzerland). The extraction procedure, location of extraction and location of MS/MS analysis for each sample is summarized in Supplementary Table 1.</w:t>
      </w:r>
    </w:p>
    <w:p w:rsidR="003A02DA" w:rsidRDefault="003A02DA">
      <w:pPr>
        <w:spacing w:after="0" w:line="276" w:lineRule="auto"/>
        <w:jc w:val="left"/>
      </w:pPr>
    </w:p>
    <w:p w:rsidR="003A02DA" w:rsidRDefault="009E3091">
      <w:pPr>
        <w:spacing w:after="0" w:line="276" w:lineRule="auto"/>
        <w:jc w:val="left"/>
      </w:pPr>
      <w:proofErr w:type="gramStart"/>
      <w:r>
        <w:rPr>
          <w:b/>
        </w:rPr>
        <w:t>Re-Analysis of Published Datasets.</w:t>
      </w:r>
      <w:proofErr w:type="gramEnd"/>
      <w:r>
        <w:rPr>
          <w:i/>
        </w:rPr>
        <w:t xml:space="preserve"> </w:t>
      </w:r>
      <w:r>
        <w:t xml:space="preserve">We </w:t>
      </w:r>
      <w:proofErr w:type="spellStart"/>
      <w:r>
        <w:t>analysed</w:t>
      </w:r>
      <w:proofErr w:type="spellEnd"/>
      <w:r>
        <w:t xml:space="preserve"> 38 existing datasets previously published in Warinner et al. </w:t>
      </w:r>
      <w:hyperlink r:id="rId12">
        <w:r>
          <w:rPr>
            <w:color w:val="000000"/>
          </w:rPr>
          <w:t>[1]</w:t>
        </w:r>
      </w:hyperlink>
      <w:r>
        <w:t xml:space="preserve"> </w:t>
      </w:r>
      <w:proofErr w:type="spellStart"/>
      <w:r>
        <w:t>focussing</w:t>
      </w:r>
      <w:proofErr w:type="spellEnd"/>
      <w:r>
        <w:t xml:space="preserve"> on populations from the UK. Raw data were downloaded from </w:t>
      </w:r>
      <w:proofErr w:type="spellStart"/>
      <w:r>
        <w:t>ProteomeXchange</w:t>
      </w:r>
      <w:proofErr w:type="spellEnd"/>
      <w:r>
        <w:t xml:space="preserve"> (Accession ID: PXD001362) and converted to </w:t>
      </w:r>
      <w:proofErr w:type="spellStart"/>
      <w:r>
        <w:t>mgf</w:t>
      </w:r>
      <w:proofErr w:type="spellEnd"/>
      <w:r>
        <w:t xml:space="preserve"> files using </w:t>
      </w:r>
      <w:proofErr w:type="spellStart"/>
      <w:r>
        <w:t>Proteowizard</w:t>
      </w:r>
      <w:proofErr w:type="spellEnd"/>
      <w:r>
        <w:t xml:space="preserve"> </w:t>
      </w:r>
      <w:proofErr w:type="spellStart"/>
      <w:r>
        <w:t>MSConvert</w:t>
      </w:r>
      <w:proofErr w:type="spellEnd"/>
      <w:r>
        <w:t xml:space="preserve"> (version 3.0.4743) using the 200 most intense peaks in each MS/MS spectrum. MS/MS ion database searching was performed on Mascot (Matrix </w:t>
      </w:r>
      <w:proofErr w:type="spellStart"/>
      <w:r>
        <w:t>Science</w:t>
      </w:r>
      <w:r>
        <w:rPr>
          <w:vertAlign w:val="superscript"/>
        </w:rPr>
        <w:t>TM</w:t>
      </w:r>
      <w:proofErr w:type="spellEnd"/>
      <w:r>
        <w:t xml:space="preserve">, version 2.4.01), against </w:t>
      </w:r>
      <w:proofErr w:type="spellStart"/>
      <w:r>
        <w:t>UniProt</w:t>
      </w:r>
      <w:proofErr w:type="spellEnd"/>
      <w:r>
        <w:t xml:space="preserve"> and the Human Oral Microbiome database previously published in Warinner et al. </w:t>
      </w:r>
      <w:hyperlink r:id="rId13">
        <w:r>
          <w:rPr>
            <w:color w:val="000000"/>
          </w:rPr>
          <w:t>[1]</w:t>
        </w:r>
      </w:hyperlink>
      <w:r>
        <w:t xml:space="preserve">.  Searches were filtered to display peptides with an </w:t>
      </w:r>
      <w:proofErr w:type="spellStart"/>
      <w:r>
        <w:t>ion</w:t>
      </w:r>
      <w:proofErr w:type="spellEnd"/>
      <w:r>
        <w:t xml:space="preserve"> score of greater than 25, and estimated protein false discovery rates were adjusted to 5%. </w:t>
      </w:r>
    </w:p>
    <w:p w:rsidR="003A02DA" w:rsidRDefault="003A02DA">
      <w:pPr>
        <w:spacing w:after="0" w:line="276" w:lineRule="auto"/>
        <w:jc w:val="left"/>
      </w:pPr>
    </w:p>
    <w:p w:rsidR="003A02DA" w:rsidRDefault="009E3091">
      <w:pPr>
        <w:spacing w:after="0" w:line="276" w:lineRule="auto"/>
        <w:jc w:val="left"/>
      </w:pPr>
      <w:r>
        <w:rPr>
          <w:b/>
        </w:rPr>
        <w:t xml:space="preserve">Protein Extraction: Gel Aided Sample Preparation Protocol. </w:t>
      </w:r>
      <w:r>
        <w:t xml:space="preserve">We selected 62 samples of dental calculus from post-medieval contexts in England and extracted proteins using a Gel-Aided Sample Preparation protocol based on Fischer and Kessler </w:t>
      </w:r>
      <w:hyperlink r:id="rId14">
        <w:r>
          <w:rPr>
            <w:color w:val="000000"/>
          </w:rPr>
          <w:t>[3]</w:t>
        </w:r>
      </w:hyperlink>
      <w:r>
        <w:t xml:space="preserve"> modified for ancient mineralized samples. Sample were ground to a powder using sterile </w:t>
      </w:r>
      <w:proofErr w:type="spellStart"/>
      <w:r>
        <w:t>micropestles</w:t>
      </w:r>
      <w:proofErr w:type="spellEnd"/>
      <w:r>
        <w:t xml:space="preserve">, </w:t>
      </w:r>
      <w:proofErr w:type="gramStart"/>
      <w:r>
        <w:t>then</w:t>
      </w:r>
      <w:proofErr w:type="gramEnd"/>
      <w:r>
        <w:t xml:space="preserve"> decalcified for 5 minutes with 1 mL of 0.5M EDTA to remove possible surface contamination. This pre-digestion supernatant was removed, and a further 1 mL of 0.5M EDTA added, and rotated at room temperature for seven days to fully demineralize. Samples were centrifuged at 13,000 RPM for 2 minutes and 950 </w:t>
      </w:r>
      <w:proofErr w:type="spellStart"/>
      <w:r>
        <w:t>μL</w:t>
      </w:r>
      <w:proofErr w:type="spellEnd"/>
      <w:r>
        <w:t xml:space="preserve"> of supernatant transferred into a new </w:t>
      </w:r>
      <w:proofErr w:type="spellStart"/>
      <w:r>
        <w:t>eppendorf</w:t>
      </w:r>
      <w:proofErr w:type="spellEnd"/>
      <w:r>
        <w:t xml:space="preserve"> tube, while the pellet and remaining supernatant was retained for proteomic analysis. For samples from Fewston (Sample code: FW) the total 1 mL of EDTA decalcified solution was used for proteomic analysis.</w:t>
      </w:r>
    </w:p>
    <w:p w:rsidR="003A02DA" w:rsidRDefault="003A02DA">
      <w:pPr>
        <w:spacing w:after="0" w:line="276" w:lineRule="auto"/>
        <w:jc w:val="left"/>
      </w:pPr>
    </w:p>
    <w:p w:rsidR="003A02DA" w:rsidRDefault="009E3091">
      <w:pPr>
        <w:spacing w:after="0" w:line="276" w:lineRule="auto"/>
        <w:jc w:val="left"/>
      </w:pPr>
      <w:r>
        <w:t xml:space="preserve">To the pellet and remaining 50 </w:t>
      </w:r>
      <w:proofErr w:type="spellStart"/>
      <w:r>
        <w:t>μL</w:t>
      </w:r>
      <w:proofErr w:type="spellEnd"/>
      <w:r>
        <w:t xml:space="preserve"> of EDTA, 5 </w:t>
      </w:r>
      <w:proofErr w:type="spellStart"/>
      <w:r>
        <w:t>μL</w:t>
      </w:r>
      <w:proofErr w:type="spellEnd"/>
      <w:r>
        <w:t xml:space="preserve"> of SDS (20%) was added with 45 </w:t>
      </w:r>
      <w:proofErr w:type="spellStart"/>
      <w:r>
        <w:t>μL</w:t>
      </w:r>
      <w:proofErr w:type="spellEnd"/>
      <w:r>
        <w:t xml:space="preserve"> of B-PER (Bacterial Protein Extraction Reagent, </w:t>
      </w:r>
      <w:proofErr w:type="spellStart"/>
      <w:r>
        <w:t>Thermo</w:t>
      </w:r>
      <w:proofErr w:type="spellEnd"/>
      <w:r>
        <w:t xml:space="preserve"> Fisher), then shaken for 15 minutes at room temperature. 50 </w:t>
      </w:r>
      <w:proofErr w:type="spellStart"/>
      <w:r>
        <w:t>μL</w:t>
      </w:r>
      <w:proofErr w:type="spellEnd"/>
      <w:r>
        <w:t xml:space="preserve"> of DTT (1M) was added and the samples shaken for a further 30 minutes at room temperature. 100 </w:t>
      </w:r>
      <w:proofErr w:type="spellStart"/>
      <w:r>
        <w:t>μL</w:t>
      </w:r>
      <w:proofErr w:type="spellEnd"/>
      <w:r>
        <w:t xml:space="preserve"> of Proto-Gel (30%, National Diagnostics) was added and gently </w:t>
      </w:r>
      <w:proofErr w:type="spellStart"/>
      <w:r>
        <w:t>resuspended</w:t>
      </w:r>
      <w:proofErr w:type="spellEnd"/>
      <w:r>
        <w:t xml:space="preserve"> to mix, then left on the benchtop for 20 minutes. To polymerize the gel, 8 </w:t>
      </w:r>
      <w:proofErr w:type="spellStart"/>
      <w:r>
        <w:t>μL</w:t>
      </w:r>
      <w:proofErr w:type="spellEnd"/>
      <w:r>
        <w:t xml:space="preserve"> of </w:t>
      </w:r>
      <w:proofErr w:type="spellStart"/>
      <w:r>
        <w:t>tetramethylethylenediamine</w:t>
      </w:r>
      <w:proofErr w:type="spellEnd"/>
      <w:r>
        <w:t xml:space="preserve"> (TEMED), followed by 8 </w:t>
      </w:r>
      <w:proofErr w:type="spellStart"/>
      <w:r>
        <w:t>μL</w:t>
      </w:r>
      <w:proofErr w:type="spellEnd"/>
      <w:r>
        <w:t xml:space="preserve"> of 10% ammonium persulfate (APS) was added and gently mixed. The polymerized gel was then shredded into pieces to increase the surface area by passing the gel through a plastic grid inset by pulse centrifugation. The gel pieces were fixed through the addition of methanol/water/acetic acid/ solution (50/40/10). The solution was centrifuged, and the supernatant discarded. 1 mL of acetonitrile was added to dehydrate the gel pieces. A series of washing and drying steps using acetonitrile were then performed to </w:t>
      </w:r>
      <w:r>
        <w:lastRenderedPageBreak/>
        <w:t xml:space="preserve">exchange buffers. 1 mL of urea (6M) was added to the dehydrated gel pieces and rotated for 3 minutes. 1 mL of acetonitrile was added to partially dehydrate, rotated for 3 min, briefly centrifuged, </w:t>
      </w:r>
      <w:proofErr w:type="gramStart"/>
      <w:r>
        <w:t>then</w:t>
      </w:r>
      <w:proofErr w:type="gramEnd"/>
      <w:r>
        <w:t xml:space="preserve"> the supernatant removed. A further 1 mL of acetonitrile was added to fully dehydrate the gel pieces. A further 1 mL of urea (6M) was added and subsequently removed using acetonitrile dehydration. To the dried gel pieces, 1 mL of ammonium bicarbonate (0.05M</w:t>
      </w:r>
      <w:proofErr w:type="gramStart"/>
      <w:r>
        <w:t>)  was</w:t>
      </w:r>
      <w:proofErr w:type="gramEnd"/>
      <w:r>
        <w:t xml:space="preserve"> added and  rotated for 3 minutes. 1 mL of acetonitrile was added to partially dehydrate, rotated for 3 minutes, briefly centrifuged, </w:t>
      </w:r>
      <w:proofErr w:type="gramStart"/>
      <w:r>
        <w:t>then</w:t>
      </w:r>
      <w:proofErr w:type="gramEnd"/>
      <w:r>
        <w:t xml:space="preserve"> the supernatant removed. A further 1 mL of acetonitrile was added to fully dehydrate the gel pieces. 200 </w:t>
      </w:r>
      <w:proofErr w:type="spellStart"/>
      <w:r>
        <w:t>μL</w:t>
      </w:r>
      <w:proofErr w:type="spellEnd"/>
      <w:r>
        <w:t xml:space="preserve"> of ammonium bicarbonate (0.05M) and trypsin (5 </w:t>
      </w:r>
      <w:proofErr w:type="spellStart"/>
      <w:r>
        <w:t>μL</w:t>
      </w:r>
      <w:proofErr w:type="spellEnd"/>
      <w:r>
        <w:t xml:space="preserve"> </w:t>
      </w:r>
      <w:proofErr w:type="gramStart"/>
      <w:r>
        <w:t xml:space="preserve">of 0.5 </w:t>
      </w:r>
      <w:proofErr w:type="spellStart"/>
      <w:r>
        <w:t>μg</w:t>
      </w:r>
      <w:proofErr w:type="spellEnd"/>
      <w:r>
        <w:t>/</w:t>
      </w:r>
      <w:proofErr w:type="spellStart"/>
      <w:r>
        <w:t>μL</w:t>
      </w:r>
      <w:proofErr w:type="spellEnd"/>
      <w:proofErr w:type="gramEnd"/>
      <w:r>
        <w:t>) were added and left to digest at 37 °C overnight.</w:t>
      </w:r>
      <w:r>
        <w:br/>
      </w:r>
      <w:r>
        <w:br/>
        <w:t xml:space="preserve">The following morning, digested peptides were extracted from the gel. 200 </w:t>
      </w:r>
      <w:proofErr w:type="spellStart"/>
      <w:r>
        <w:t>μL</w:t>
      </w:r>
      <w:proofErr w:type="spellEnd"/>
      <w:r>
        <w:t xml:space="preserve"> of acetonitrile was added to dehydrate the gel pieces, samples were rotated for 5 minutes, pulse centrifuged, </w:t>
      </w:r>
      <w:proofErr w:type="gramStart"/>
      <w:r>
        <w:t>then</w:t>
      </w:r>
      <w:proofErr w:type="gramEnd"/>
      <w:r>
        <w:t xml:space="preserve"> the supernatant transferred to a new tube. 200 </w:t>
      </w:r>
      <w:proofErr w:type="spellStart"/>
      <w:r>
        <w:t>μL</w:t>
      </w:r>
      <w:proofErr w:type="spellEnd"/>
      <w:r>
        <w:t xml:space="preserve"> of 5% formic acid solution was added to the gel pieces to extract acidic peptides from the gel pieces, rotated for 5 minutes, then pulse centrifuged. 200 </w:t>
      </w:r>
      <w:proofErr w:type="spellStart"/>
      <w:r>
        <w:t>μL</w:t>
      </w:r>
      <w:proofErr w:type="spellEnd"/>
      <w:r>
        <w:t xml:space="preserve"> of acetonitrile was added to the gel pieces, rotated for 5 minutes, pulse centrifuged, and the supernatant transferred to the tube containing the first fraction. To fully dehydrate the gel, a further 200 </w:t>
      </w:r>
      <w:proofErr w:type="spellStart"/>
      <w:r>
        <w:t>μL</w:t>
      </w:r>
      <w:proofErr w:type="spellEnd"/>
      <w:r>
        <w:t xml:space="preserve"> of acetonitrile was added, rotated for 5 minutes, pulse centrifuged, and the supernatant transferred to the sample tube. After drying in a centrifugal evaporator all samples of extracted peptides, apart from FW samples and Z100 and Z90 were desalted using Millipore Zip-Tips prior to MS/MS analysis. </w:t>
      </w:r>
      <w:r>
        <w:br/>
      </w:r>
      <w:r>
        <w:br/>
      </w:r>
      <w:proofErr w:type="gramStart"/>
      <w:r>
        <w:rPr>
          <w:b/>
        </w:rPr>
        <w:t>Modern Samples.</w:t>
      </w:r>
      <w:proofErr w:type="gramEnd"/>
      <w:r>
        <w:rPr>
          <w:i/>
        </w:rPr>
        <w:t xml:space="preserve"> </w:t>
      </w:r>
      <w:r>
        <w:t xml:space="preserve">We also extracted proteins from samples of modern dental calculus including US dental patients (n=10) and individuals from recent human skeletal material from the Forensic Anthropology Centre, University of Tennessee (n=4). Samples from the University of Tennessee were extracted following </w:t>
      </w:r>
      <w:proofErr w:type="gramStart"/>
      <w:r>
        <w:t>a the</w:t>
      </w:r>
      <w:proofErr w:type="gramEnd"/>
      <w:r>
        <w:t xml:space="preserve"> FASP method described in Warinner et al. </w:t>
      </w:r>
      <w:hyperlink r:id="rId15">
        <w:r>
          <w:rPr>
            <w:color w:val="000000"/>
          </w:rPr>
          <w:t>[1]</w:t>
        </w:r>
      </w:hyperlink>
      <w:r>
        <w:t xml:space="preserve">, but with separate extracts from supernatant and pellet fractions.  Samples from dental patients were extracted using FASP previously published in Warinner et al. [1], although two samples (OU1005, OU1010) were subsampled, with one fraction extracted using FASP and the other with GASP, enabling a paired comparison of GASP and FASP extractions for modern samples. </w:t>
      </w:r>
    </w:p>
    <w:p w:rsidR="003A02DA" w:rsidRDefault="003A02DA">
      <w:pPr>
        <w:spacing w:after="0" w:line="276" w:lineRule="auto"/>
        <w:jc w:val="left"/>
        <w:rPr>
          <w:i/>
        </w:rPr>
      </w:pPr>
    </w:p>
    <w:p w:rsidR="003A02DA" w:rsidRDefault="009E3091">
      <w:pPr>
        <w:spacing w:after="0" w:line="276" w:lineRule="auto"/>
        <w:jc w:val="left"/>
        <w:rPr>
          <w:i/>
        </w:rPr>
      </w:pPr>
      <w:proofErr w:type="spellStart"/>
      <w:proofErr w:type="gramStart"/>
      <w:r>
        <w:rPr>
          <w:b/>
        </w:rPr>
        <w:t>nLC</w:t>
      </w:r>
      <w:proofErr w:type="spellEnd"/>
      <w:r>
        <w:rPr>
          <w:b/>
        </w:rPr>
        <w:t>-MS/MS</w:t>
      </w:r>
      <w:proofErr w:type="gramEnd"/>
      <w:r>
        <w:rPr>
          <w:b/>
        </w:rPr>
        <w:t xml:space="preserve"> Analysis.</w:t>
      </w:r>
      <w:r>
        <w:t xml:space="preserve"> Tryptic peptides were </w:t>
      </w:r>
      <w:proofErr w:type="spellStart"/>
      <w:r>
        <w:t>analysed</w:t>
      </w:r>
      <w:proofErr w:type="spellEnd"/>
      <w:r>
        <w:t xml:space="preserve"> at two locations: at the Mass Spectrometry Laboratories of the Target Discovery Institute at the University of Oxford using </w:t>
      </w:r>
      <w:proofErr w:type="gramStart"/>
      <w:r>
        <w:t>a</w:t>
      </w:r>
      <w:proofErr w:type="gramEnd"/>
      <w:r>
        <w:t xml:space="preserve"> n-LC Q-</w:t>
      </w:r>
      <w:proofErr w:type="spellStart"/>
      <w:r>
        <w:t>Exactive</w:t>
      </w:r>
      <w:proofErr w:type="spellEnd"/>
      <w:r>
        <w:t xml:space="preserve"> tandem mass spectrometer according to previously published specifications </w:t>
      </w:r>
      <w:hyperlink r:id="rId16">
        <w:r>
          <w:rPr>
            <w:color w:val="000000"/>
          </w:rPr>
          <w:t>[1]</w:t>
        </w:r>
      </w:hyperlink>
      <w:r>
        <w:t xml:space="preserve"> and at the Functional Genomics Center Zurich of the University/ETH Zurich using the following instrument setup. Samples were analyzed on a Q-</w:t>
      </w:r>
      <w:proofErr w:type="spellStart"/>
      <w:r>
        <w:t>Exactive</w:t>
      </w:r>
      <w:proofErr w:type="spellEnd"/>
      <w:r>
        <w:t xml:space="preserve"> HF mass spectrometer (</w:t>
      </w:r>
      <w:proofErr w:type="spellStart"/>
      <w:r>
        <w:t>Thermo</w:t>
      </w:r>
      <w:proofErr w:type="spellEnd"/>
      <w:r>
        <w:t xml:space="preserve"> Scientific, Bremen, Germany) coupled to an ACQUITY UPLC M-Class system (Waters AG, Baden-</w:t>
      </w:r>
      <w:proofErr w:type="spellStart"/>
      <w:r>
        <w:t>Dättwil</w:t>
      </w:r>
      <w:proofErr w:type="spellEnd"/>
      <w:r>
        <w:t xml:space="preserve">, Switzerland). Full scan MS spectra were acquired from 375-1500 m/z with an automatic gain control target of 3e6, an </w:t>
      </w:r>
      <w:proofErr w:type="spellStart"/>
      <w:r>
        <w:t>Orbitrap</w:t>
      </w:r>
      <w:proofErr w:type="spellEnd"/>
      <w:r>
        <w:t xml:space="preserve"> resolution of 60,000 (at 200 m/z), and a maximum injection time of 15 </w:t>
      </w:r>
      <w:proofErr w:type="spellStart"/>
      <w:r>
        <w:t>ms.</w:t>
      </w:r>
      <w:proofErr w:type="spellEnd"/>
      <w:r>
        <w:t xml:space="preserve"> Precursor for ms2 scans where isolated with the quadrupole with a window of 1.2 Da, an automated gain control value of 1e5, a maximum fill time of 50 </w:t>
      </w:r>
      <w:proofErr w:type="spellStart"/>
      <w:r>
        <w:t>ms</w:t>
      </w:r>
      <w:proofErr w:type="spellEnd"/>
      <w:r>
        <w:t xml:space="preserve"> </w:t>
      </w:r>
      <w:r>
        <w:lastRenderedPageBreak/>
        <w:t xml:space="preserve">and HCD fragmented with a normalized collision energy of 28. From each MS1 scan the 12 most intense precursor ions were fragmented and scanned with a resolution of 30’000 (at 200 m/z) and a fixed first mass of 130 m/z. Filter criteria for MS2 selection were an intensity threshold of 9e4 and unassigned and singly charged ions were excluded. Selected precursor ions were put onto a dynamic exclusion list for 20 seconds. Peptide separation was achieved by RP-HPLC on C18 column (in house packed, 150 mm x 75 µm, 1.9 µm, </w:t>
      </w:r>
      <w:proofErr w:type="spellStart"/>
      <w:r>
        <w:t>Reprosil</w:t>
      </w:r>
      <w:proofErr w:type="spellEnd"/>
      <w:r>
        <w:t xml:space="preserve"> pure C-18 AQ, 120 Ǻ (Dr. </w:t>
      </w:r>
      <w:proofErr w:type="spellStart"/>
      <w:r>
        <w:t>Maisch</w:t>
      </w:r>
      <w:proofErr w:type="spellEnd"/>
      <w:r>
        <w:t xml:space="preserve"> GmbH)). Solvent composition at the two channels was 0.1% formic acid in H2O for channel A and 0.1% formic acid in acetonitrile for channel B. Column temperature was 50°C. 4 µL for each samples were loaded onto the column for 10 minutes with 100% solvent A at 1 µL/min. Composition and flow was changed to 98 % solvent A and 0.3 µL/min and allowed to stabilize for 3 minutes afterwards. Peptides were separated over 60 minutes with a linear gradient of 2 – 40 % B. Column was cleaned after the run by increasing to 98% B in 2 minutes and holding 98 % B for 15 minutes prior to re-establishing loading condition.</w:t>
      </w:r>
      <w:r>
        <w:rPr>
          <w:i/>
        </w:rPr>
        <w:br/>
      </w:r>
    </w:p>
    <w:p w:rsidR="003A02DA" w:rsidRDefault="009E3091">
      <w:pPr>
        <w:spacing w:after="0" w:line="276" w:lineRule="auto"/>
        <w:jc w:val="left"/>
        <w:rPr>
          <w:highlight w:val="white"/>
        </w:rPr>
      </w:pPr>
      <w:proofErr w:type="gramStart"/>
      <w:r>
        <w:rPr>
          <w:b/>
        </w:rPr>
        <w:t>Data Analysis.</w:t>
      </w:r>
      <w:proofErr w:type="gramEnd"/>
      <w:r>
        <w:rPr>
          <w:b/>
        </w:rPr>
        <w:t xml:space="preserve"> </w:t>
      </w:r>
      <w:r>
        <w:t>Raw spectral data was converted to Mascot generic format (</w:t>
      </w:r>
      <w:proofErr w:type="spellStart"/>
      <w:r>
        <w:t>mgf</w:t>
      </w:r>
      <w:proofErr w:type="spellEnd"/>
      <w:r>
        <w:t xml:space="preserve">) using </w:t>
      </w:r>
      <w:proofErr w:type="spellStart"/>
      <w:r>
        <w:t>Proteowizard</w:t>
      </w:r>
      <w:proofErr w:type="spellEnd"/>
      <w:r>
        <w:t xml:space="preserve"> </w:t>
      </w:r>
      <w:proofErr w:type="spellStart"/>
      <w:r>
        <w:t>MSConvert</w:t>
      </w:r>
      <w:proofErr w:type="spellEnd"/>
      <w:r>
        <w:t xml:space="preserve"> (version 3.0.4743) using the 200 most intense peaks in each MS/MS spectrum. MS/MS ion database searching was performed on Mascot (Matrix </w:t>
      </w:r>
      <w:proofErr w:type="spellStart"/>
      <w:r>
        <w:t>Science</w:t>
      </w:r>
      <w:r>
        <w:rPr>
          <w:vertAlign w:val="superscript"/>
        </w:rPr>
        <w:t>TM</w:t>
      </w:r>
      <w:proofErr w:type="spellEnd"/>
      <w:r>
        <w:t xml:space="preserve">, version 2.4.01), against </w:t>
      </w:r>
      <w:proofErr w:type="spellStart"/>
      <w:r>
        <w:t>UniProt</w:t>
      </w:r>
      <w:proofErr w:type="spellEnd"/>
      <w:r>
        <w:t xml:space="preserve"> </w:t>
      </w:r>
      <w:r w:rsidR="0077320C">
        <w:t xml:space="preserve">(release 2017_06) </w:t>
      </w:r>
      <w:r>
        <w:t xml:space="preserve">and the Human Oral Microbiome database previously published in Warinner et al. </w:t>
      </w:r>
      <w:hyperlink r:id="rId17">
        <w:r>
          <w:rPr>
            <w:color w:val="000000"/>
          </w:rPr>
          <w:t>[1]</w:t>
        </w:r>
      </w:hyperlink>
      <w:r>
        <w:t xml:space="preserve">. Searches were performed against a decoy database to estimate protein false discovery rates, which were adjusted to less than 5%. For samples extracted using GASP, </w:t>
      </w:r>
      <w:proofErr w:type="spellStart"/>
      <w:r>
        <w:t>propionamide</w:t>
      </w:r>
      <w:proofErr w:type="spellEnd"/>
      <w:r>
        <w:t xml:space="preserve"> (C) was set as a fixed modification and acetylation (protein N-terminus), </w:t>
      </w:r>
      <w:proofErr w:type="spellStart"/>
      <w:r>
        <w:t>deamidation</w:t>
      </w:r>
      <w:proofErr w:type="spellEnd"/>
      <w:r>
        <w:t xml:space="preserve"> (NQ), methionine oxidation, </w:t>
      </w:r>
      <w:proofErr w:type="spellStart"/>
      <w:r>
        <w:t>propionamide</w:t>
      </w:r>
      <w:proofErr w:type="spellEnd"/>
      <w:r>
        <w:t xml:space="preserve"> (K) and </w:t>
      </w:r>
      <w:proofErr w:type="spellStart"/>
      <w:r>
        <w:t>propionamide</w:t>
      </w:r>
      <w:proofErr w:type="spellEnd"/>
      <w:r>
        <w:t xml:space="preserve"> (N-terminus) were set as variable modifications. For samples extracted using FASP post-translational modifications were set as </w:t>
      </w:r>
      <w:proofErr w:type="spellStart"/>
      <w:r>
        <w:t>carbamidomethylation</w:t>
      </w:r>
      <w:proofErr w:type="spellEnd"/>
      <w:r>
        <w:t xml:space="preserve"> (fixed modification), and acetylation (protein N-term), </w:t>
      </w:r>
      <w:proofErr w:type="spellStart"/>
      <w:r>
        <w:t>deamidation</w:t>
      </w:r>
      <w:proofErr w:type="spellEnd"/>
      <w:r>
        <w:t xml:space="preserve"> (NQ), glutamine to pyroglutamate, and methionine oxidation as variable modifications. Peptide tolerance was 10 ppm, and MS/MS ion tolerance was 0.07 Da. </w:t>
      </w:r>
      <w:r>
        <w:rPr>
          <w:highlight w:val="white"/>
        </w:rPr>
        <w:t xml:space="preserve">Tryptic peptides were searched with up to 1 missed cleavage; semi-tryptic peptides were also searched with up to 1 missed cleavage for a subset of the samples. Protein results were filtered to a false discovery rate of less than 5% and an ion score of &gt;25, and containing a minimum of two distinct peptides matching to different regions of the protein. To </w:t>
      </w:r>
      <w:proofErr w:type="spellStart"/>
      <w:r>
        <w:rPr>
          <w:highlight w:val="white"/>
        </w:rPr>
        <w:t>characterise</w:t>
      </w:r>
      <w:proofErr w:type="spellEnd"/>
      <w:r>
        <w:rPr>
          <w:highlight w:val="white"/>
        </w:rPr>
        <w:t xml:space="preserve"> differences in dietary protein identifications using different search databases, MS/MS ion database searching was also performed using Mascot (Matrix </w:t>
      </w:r>
      <w:proofErr w:type="spellStart"/>
      <w:r>
        <w:rPr>
          <w:highlight w:val="white"/>
        </w:rPr>
        <w:t>Science</w:t>
      </w:r>
      <w:r>
        <w:rPr>
          <w:highlight w:val="white"/>
          <w:vertAlign w:val="superscript"/>
        </w:rPr>
        <w:t>TM</w:t>
      </w:r>
      <w:proofErr w:type="spellEnd"/>
      <w:r>
        <w:rPr>
          <w:highlight w:val="white"/>
        </w:rPr>
        <w:t xml:space="preserve">, version 2.4.01), against the </w:t>
      </w:r>
      <w:proofErr w:type="spellStart"/>
      <w:r>
        <w:rPr>
          <w:highlight w:val="white"/>
        </w:rPr>
        <w:t>UniProt</w:t>
      </w:r>
      <w:proofErr w:type="spellEnd"/>
      <w:r>
        <w:rPr>
          <w:highlight w:val="white"/>
        </w:rPr>
        <w:t xml:space="preserve"> database only, using the same parameters listed above. </w:t>
      </w:r>
    </w:p>
    <w:p w:rsidR="003A02DA" w:rsidRDefault="003A02DA">
      <w:pPr>
        <w:spacing w:after="0" w:line="276" w:lineRule="auto"/>
        <w:jc w:val="left"/>
        <w:rPr>
          <w:highlight w:val="yellow"/>
        </w:rPr>
      </w:pPr>
    </w:p>
    <w:p w:rsidR="003A02DA" w:rsidRDefault="009E3091">
      <w:pPr>
        <w:spacing w:after="0" w:line="276" w:lineRule="auto"/>
        <w:jc w:val="left"/>
      </w:pPr>
      <w:r>
        <w:t xml:space="preserve">Based on initial Mascot results, we used an R script to assign proteins by taxon/protein name into the following classifications: Contaminant, Non-Human Animal, Human, and Plant (main text, Table 2). We took a conservative approach and assigned any protein identified in our blank controls or injection blanks to the ‘contaminant’ category. Initially, all non-human animal and plant peptides were considered as deriving from potential dietary proteins, and were further interrogated using BLAST (NCBI). Peptides were aligned using </w:t>
      </w:r>
      <w:proofErr w:type="spellStart"/>
      <w:r>
        <w:t>BLASTp</w:t>
      </w:r>
      <w:proofErr w:type="spellEnd"/>
      <w:r>
        <w:t xml:space="preserve"> against all non-</w:t>
      </w:r>
      <w:r>
        <w:lastRenderedPageBreak/>
        <w:t xml:space="preserve">redundant nucleotide sequences. Any non-human animal or plant peptides that also matched identically to human or microbial proteins were eliminated as possible dietary proteins. Likewise, any non-human animal or plant peptides deriving from proteins identified within the ‘contaminant’ dataset (SI Table 4) were also eliminated as </w:t>
      </w:r>
      <w:proofErr w:type="spellStart"/>
      <w:r>
        <w:t>as</w:t>
      </w:r>
      <w:proofErr w:type="spellEnd"/>
      <w:r>
        <w:t xml:space="preserve"> potential dietary proteins. Protein expression data (tissue or cell specificity) was retrieved from </w:t>
      </w:r>
      <w:proofErr w:type="spellStart"/>
      <w:r>
        <w:t>UniProtKB</w:t>
      </w:r>
      <w:proofErr w:type="spellEnd"/>
      <w:r>
        <w:t xml:space="preserve"> where available. Statistical analyses were conducted using SPSS (v. 23, IBM Corporation). We assessed normality of the data using the Shapiro-Wilks test and tested assumption of homogeneity of variances using </w:t>
      </w:r>
      <w:proofErr w:type="spellStart"/>
      <w:r>
        <w:t>Levene's</w:t>
      </w:r>
      <w:proofErr w:type="spellEnd"/>
      <w:r>
        <w:t xml:space="preserve"> test of equality of variances. When comparing total protein identifications </w:t>
      </w:r>
      <w:proofErr w:type="gramStart"/>
      <w:r>
        <w:t>and  alpha</w:t>
      </w:r>
      <w:proofErr w:type="gramEnd"/>
      <w:r>
        <w:t xml:space="preserve">-amylase 1 peptides through time, we applied Welch's ANOVA, followed by Games-Howell post hoc tests. </w:t>
      </w:r>
    </w:p>
    <w:p w:rsidR="003A02DA" w:rsidRDefault="003A02DA">
      <w:pPr>
        <w:spacing w:after="0" w:line="276" w:lineRule="auto"/>
        <w:jc w:val="left"/>
      </w:pPr>
    </w:p>
    <w:p w:rsidR="003A02DA" w:rsidRDefault="009E3091">
      <w:pPr>
        <w:spacing w:after="0" w:line="276" w:lineRule="auto"/>
        <w:jc w:val="left"/>
      </w:pPr>
      <w:proofErr w:type="gramStart"/>
      <w:r>
        <w:rPr>
          <w:b/>
        </w:rPr>
        <w:t>Contamination controls and data authentication.</w:t>
      </w:r>
      <w:proofErr w:type="gramEnd"/>
      <w:r>
        <w:rPr>
          <w:b/>
        </w:rPr>
        <w:t xml:space="preserve"> </w:t>
      </w:r>
      <w:r>
        <w:t xml:space="preserve">Several precautionary measures were taken to reduce contamination and ensure that the reported proteins were endogenous to the dental calculus </w:t>
      </w:r>
      <w:hyperlink r:id="rId18">
        <w:r>
          <w:rPr>
            <w:color w:val="000000"/>
          </w:rPr>
          <w:t>[4]</w:t>
        </w:r>
      </w:hyperlink>
      <w:r>
        <w:t xml:space="preserve">, including: 1) the use of dedicated ancient protein laboratories where modern proteins are not extracted or </w:t>
      </w:r>
      <w:proofErr w:type="spellStart"/>
      <w:r>
        <w:t>analysed</w:t>
      </w:r>
      <w:proofErr w:type="spellEnd"/>
      <w:r>
        <w:t xml:space="preserve">; 2) the inclusion of blank controls to monitor for contamination during protein extraction; 3) the inclusion of injection blanks between each dental calculus sample to monitor for protein carryover during LC-MS/MS; and 4) stringent MS/MS ion search criteria and inclusion criteria (e.g., two unique peptides, verification through </w:t>
      </w:r>
      <w:proofErr w:type="spellStart"/>
      <w:r>
        <w:t>BLASTp</w:t>
      </w:r>
      <w:proofErr w:type="spellEnd"/>
      <w:r>
        <w:t xml:space="preserve"> searches). </w:t>
      </w: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ind w:left="720" w:hanging="360"/>
        <w:jc w:val="left"/>
        <w:rPr>
          <w:b/>
        </w:rPr>
      </w:pPr>
    </w:p>
    <w:p w:rsidR="003A02DA" w:rsidRDefault="009E3091">
      <w:pPr>
        <w:widowControl w:val="0"/>
        <w:pBdr>
          <w:top w:val="nil"/>
          <w:left w:val="nil"/>
          <w:bottom w:val="nil"/>
          <w:right w:val="nil"/>
          <w:between w:val="nil"/>
        </w:pBdr>
        <w:spacing w:after="0" w:line="276" w:lineRule="auto"/>
        <w:jc w:val="left"/>
        <w:rPr>
          <w:b/>
        </w:rPr>
        <w:sectPr w:rsidR="003A02DA">
          <w:headerReference w:type="default" r:id="rId19"/>
          <w:pgSz w:w="12240" w:h="15840"/>
          <w:pgMar w:top="1440" w:right="1440" w:bottom="1440" w:left="1440" w:header="360" w:footer="720" w:gutter="0"/>
          <w:pgNumType w:start="1"/>
          <w:cols w:space="720"/>
        </w:sectPr>
      </w:pPr>
      <w:r>
        <w:br w:type="page"/>
      </w:r>
    </w:p>
    <w:p w:rsidR="003A02DA" w:rsidRDefault="009E3091">
      <w:pPr>
        <w:numPr>
          <w:ilvl w:val="0"/>
          <w:numId w:val="2"/>
        </w:numPr>
        <w:spacing w:after="0" w:line="276" w:lineRule="auto"/>
        <w:contextualSpacing/>
        <w:jc w:val="left"/>
        <w:rPr>
          <w:b/>
        </w:rPr>
      </w:pPr>
      <w:r>
        <w:rPr>
          <w:b/>
        </w:rPr>
        <w:lastRenderedPageBreak/>
        <w:t>Contaminant List</w:t>
      </w:r>
    </w:p>
    <w:p w:rsidR="003A02DA" w:rsidRDefault="003A02DA">
      <w:pPr>
        <w:spacing w:after="0" w:line="276" w:lineRule="auto"/>
        <w:jc w:val="left"/>
      </w:pPr>
    </w:p>
    <w:p w:rsidR="003A02DA" w:rsidRDefault="009E3091">
      <w:pPr>
        <w:spacing w:after="0" w:line="276" w:lineRule="auto"/>
        <w:jc w:val="left"/>
      </w:pPr>
      <w:r>
        <w:rPr>
          <w:b/>
        </w:rPr>
        <w:t>SI Table 4.</w:t>
      </w:r>
      <w:r>
        <w:t xml:space="preserve"> A list of contaminants was compiled based on: a) previous reports of contaminating proteins in previous studies </w:t>
      </w:r>
      <w:hyperlink r:id="rId20">
        <w:r>
          <w:rPr>
            <w:color w:val="000000"/>
          </w:rPr>
          <w:t>[1]</w:t>
        </w:r>
      </w:hyperlink>
      <w:r>
        <w:t>; and b) detection of these proteins in extraction and instrument blanks.</w:t>
      </w:r>
    </w:p>
    <w:p w:rsidR="003A02DA" w:rsidRDefault="003A02DA">
      <w:pPr>
        <w:spacing w:after="0" w:line="276" w:lineRule="auto"/>
        <w:jc w:val="left"/>
      </w:pPr>
    </w:p>
    <w:tbl>
      <w:tblPr>
        <w:tblStyle w:val="a"/>
        <w:tblW w:w="8580" w:type="dxa"/>
        <w:tblInd w:w="-60" w:type="dxa"/>
        <w:tblLayout w:type="fixed"/>
        <w:tblLook w:val="0600" w:firstRow="0" w:lastRow="0" w:firstColumn="0" w:lastColumn="0" w:noHBand="1" w:noVBand="1"/>
      </w:tblPr>
      <w:tblGrid>
        <w:gridCol w:w="2935"/>
        <w:gridCol w:w="2720"/>
        <w:gridCol w:w="2925"/>
      </w:tblGrid>
      <w:tr w:rsidR="003A02DA" w:rsidTr="003151C9">
        <w:trPr>
          <w:trHeight w:val="300"/>
        </w:trPr>
        <w:tc>
          <w:tcPr>
            <w:tcW w:w="2935" w:type="dxa"/>
            <w:tcBorders>
              <w:top w:val="single" w:sz="4" w:space="0" w:color="auto"/>
              <w:bottom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rPr>
                <w:b/>
              </w:rPr>
              <w:t>Protein</w:t>
            </w:r>
          </w:p>
        </w:tc>
        <w:tc>
          <w:tcPr>
            <w:tcW w:w="2720" w:type="dxa"/>
            <w:tcBorders>
              <w:top w:val="single" w:sz="4" w:space="0" w:color="auto"/>
              <w:bottom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rPr>
                <w:b/>
              </w:rPr>
              <w:t>Species</w:t>
            </w:r>
          </w:p>
        </w:tc>
        <w:tc>
          <w:tcPr>
            <w:tcW w:w="2925" w:type="dxa"/>
            <w:tcBorders>
              <w:top w:val="single" w:sz="4" w:space="0" w:color="auto"/>
              <w:bottom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rPr>
                <w:b/>
              </w:rPr>
              <w:t>Reason</w:t>
            </w:r>
          </w:p>
        </w:tc>
      </w:tr>
      <w:tr w:rsidR="003A02DA" w:rsidTr="00124101">
        <w:trPr>
          <w:trHeight w:val="520"/>
        </w:trPr>
        <w:tc>
          <w:tcPr>
            <w:tcW w:w="2935" w:type="dxa"/>
            <w:tcBorders>
              <w:top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Lysozyme, Ovalbumin</w:t>
            </w:r>
          </w:p>
        </w:tc>
        <w:tc>
          <w:tcPr>
            <w:tcW w:w="2720" w:type="dxa"/>
            <w:tcBorders>
              <w:top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tcBorders>
              <w:top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Laboratory Reagent and Common Contaminant</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Keratins</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Skin</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Collagens</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Skin</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Albumin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proofErr w:type="spellStart"/>
            <w:r>
              <w:rPr>
                <w:i/>
              </w:rPr>
              <w:t>Bos</w:t>
            </w:r>
            <w:proofErr w:type="spellEnd"/>
            <w:r>
              <w:rPr>
                <w:i/>
              </w:rPr>
              <w:t xml:space="preserve"> </w:t>
            </w:r>
            <w:proofErr w:type="spellStart"/>
            <w:r>
              <w:rPr>
                <w:i/>
              </w:rPr>
              <w:t>taurus</w:t>
            </w:r>
            <w:proofErr w:type="spellEnd"/>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Laboratory Reagent</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Green fluorescent protein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proofErr w:type="spellStart"/>
            <w:r>
              <w:rPr>
                <w:i/>
              </w:rPr>
              <w:t>Aequorea</w:t>
            </w:r>
            <w:proofErr w:type="spellEnd"/>
            <w:r>
              <w:rPr>
                <w:i/>
              </w:rPr>
              <w:t xml:space="preserve"> </w:t>
            </w:r>
            <w:proofErr w:type="spellStart"/>
            <w:r>
              <w:rPr>
                <w:i/>
              </w:rPr>
              <w:t>victoria</w:t>
            </w:r>
            <w:proofErr w:type="spellEnd"/>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Laboratory Reagent</w:t>
            </w:r>
          </w:p>
        </w:tc>
      </w:tr>
      <w:tr w:rsidR="003A02DA" w:rsidTr="00124101">
        <w:trPr>
          <w:trHeight w:val="52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Rubber elongation factor protein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proofErr w:type="spellStart"/>
            <w:r>
              <w:rPr>
                <w:i/>
              </w:rPr>
              <w:t>Hevea</w:t>
            </w:r>
            <w:proofErr w:type="spellEnd"/>
            <w:r>
              <w:rPr>
                <w:i/>
              </w:rPr>
              <w:t xml:space="preserve"> </w:t>
            </w:r>
            <w:proofErr w:type="spellStart"/>
            <w:r>
              <w:rPr>
                <w:i/>
              </w:rPr>
              <w:t>brasiliensis</w:t>
            </w:r>
            <w:proofErr w:type="spellEnd"/>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Latex Gloves</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proofErr w:type="spellStart"/>
            <w:r>
              <w:rPr>
                <w:highlight w:val="white"/>
              </w:rPr>
              <w:t>Dermcidin</w:t>
            </w:r>
            <w:proofErr w:type="spellEnd"/>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rPr>
                <w:i/>
              </w:rPr>
              <w:t>Homo sapiens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Skin</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Tubulin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Common Contaminant</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Actin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Common Contaminant</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Any Saccharomyces protein</w:t>
            </w:r>
          </w:p>
        </w:tc>
        <w:tc>
          <w:tcPr>
            <w:tcW w:w="2720" w:type="dxa"/>
            <w:shd w:val="clear" w:color="auto" w:fill="FFFFFF"/>
            <w:tcMar>
              <w:top w:w="40" w:type="dxa"/>
              <w:left w:w="40" w:type="dxa"/>
              <w:bottom w:w="40" w:type="dxa"/>
              <w:right w:w="40" w:type="dxa"/>
            </w:tcMar>
            <w:vAlign w:val="center"/>
          </w:tcPr>
          <w:p w:rsidR="003A02DA" w:rsidRDefault="009E3091" w:rsidP="00124101">
            <w:pPr>
              <w:spacing w:after="0" w:line="276" w:lineRule="auto"/>
              <w:jc w:val="center"/>
            </w:pPr>
            <w:r>
              <w:rPr>
                <w:i/>
                <w:highlight w:val="white"/>
              </w:rPr>
              <w:t>Saccharomyces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Dust/Environment</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S100-A8</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Detection in extraction blank</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 xml:space="preserve">Glutathione S-transferase class-mu 26 </w:t>
            </w:r>
            <w:proofErr w:type="spellStart"/>
            <w:r>
              <w:t>kDa</w:t>
            </w:r>
            <w:proofErr w:type="spellEnd"/>
            <w:r>
              <w:t xml:space="preserve"> isozyme</w:t>
            </w:r>
          </w:p>
        </w:tc>
        <w:tc>
          <w:tcPr>
            <w:tcW w:w="2720" w:type="dxa"/>
            <w:shd w:val="clear" w:color="auto" w:fill="FFFFFF"/>
            <w:tcMar>
              <w:top w:w="40" w:type="dxa"/>
              <w:left w:w="40" w:type="dxa"/>
              <w:bottom w:w="40" w:type="dxa"/>
              <w:right w:w="40" w:type="dxa"/>
            </w:tcMar>
            <w:vAlign w:val="center"/>
          </w:tcPr>
          <w:p w:rsidR="003A02DA" w:rsidRDefault="009E3091" w:rsidP="00124101">
            <w:pPr>
              <w:spacing w:after="0" w:line="276" w:lineRule="auto"/>
              <w:jc w:val="center"/>
            </w:pPr>
            <w:r>
              <w:rPr>
                <w:i/>
                <w:highlight w:val="white"/>
              </w:rPr>
              <w:t>Schistosoma</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Detection in extraction blank</w:t>
            </w:r>
          </w:p>
        </w:tc>
      </w:tr>
      <w:tr w:rsidR="003A02DA" w:rsidTr="00124101">
        <w:trPr>
          <w:trHeight w:val="300"/>
        </w:trPr>
        <w:tc>
          <w:tcPr>
            <w:tcW w:w="2935" w:type="dxa"/>
            <w:shd w:val="clear" w:color="auto" w:fill="auto"/>
            <w:tcMar>
              <w:top w:w="40" w:type="dxa"/>
              <w:left w:w="40" w:type="dxa"/>
              <w:bottom w:w="40" w:type="dxa"/>
              <w:right w:w="40" w:type="dxa"/>
            </w:tcMar>
            <w:vAlign w:val="center"/>
          </w:tcPr>
          <w:p w:rsidR="003A02DA" w:rsidRDefault="009E3091" w:rsidP="00124101">
            <w:pPr>
              <w:spacing w:after="0" w:line="276" w:lineRule="auto"/>
              <w:jc w:val="right"/>
            </w:pPr>
            <w:r>
              <w:t xml:space="preserve">Bifunctional protein </w:t>
            </w:r>
            <w:proofErr w:type="spellStart"/>
            <w:r>
              <w:t>GlmU</w:t>
            </w:r>
            <w:proofErr w:type="spellEnd"/>
          </w:p>
        </w:tc>
        <w:tc>
          <w:tcPr>
            <w:tcW w:w="2720" w:type="dxa"/>
            <w:shd w:val="clear" w:color="auto" w:fill="FFFFFF"/>
            <w:tcMar>
              <w:top w:w="40" w:type="dxa"/>
              <w:left w:w="40" w:type="dxa"/>
              <w:bottom w:w="40" w:type="dxa"/>
              <w:right w:w="40" w:type="dxa"/>
            </w:tcMar>
            <w:vAlign w:val="center"/>
          </w:tcPr>
          <w:p w:rsidR="003A02DA" w:rsidRDefault="009E3091" w:rsidP="00124101">
            <w:pPr>
              <w:spacing w:after="0" w:line="276" w:lineRule="auto"/>
              <w:jc w:val="center"/>
            </w:pPr>
            <w:proofErr w:type="spellStart"/>
            <w:r>
              <w:rPr>
                <w:i/>
                <w:highlight w:val="white"/>
              </w:rPr>
              <w:t>Acidiphilium</w:t>
            </w:r>
            <w:proofErr w:type="spellEnd"/>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Detection in extraction blank</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Alpha-1-acid glycoprotein</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Detection in extraction blank</w:t>
            </w:r>
          </w:p>
        </w:tc>
      </w:tr>
      <w:tr w:rsidR="003A02DA" w:rsidTr="00124101">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proofErr w:type="spellStart"/>
            <w:r>
              <w:rPr>
                <w:highlight w:val="white"/>
              </w:rPr>
              <w:t>Desmoplakin</w:t>
            </w:r>
            <w:proofErr w:type="spellEnd"/>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Skin</w:t>
            </w:r>
          </w:p>
        </w:tc>
      </w:tr>
      <w:tr w:rsidR="003A02DA" w:rsidTr="003151C9">
        <w:trPr>
          <w:trHeight w:val="300"/>
        </w:trPr>
        <w:tc>
          <w:tcPr>
            <w:tcW w:w="2935" w:type="dxa"/>
            <w:shd w:val="clear" w:color="auto" w:fill="FFFFFF"/>
            <w:tcMar>
              <w:top w:w="40" w:type="dxa"/>
              <w:left w:w="40" w:type="dxa"/>
              <w:bottom w:w="40" w:type="dxa"/>
              <w:right w:w="40" w:type="dxa"/>
            </w:tcMar>
            <w:vAlign w:val="center"/>
          </w:tcPr>
          <w:p w:rsidR="003A02DA" w:rsidRDefault="009E3091" w:rsidP="00124101">
            <w:pPr>
              <w:spacing w:after="0" w:line="276" w:lineRule="auto"/>
              <w:jc w:val="right"/>
              <w:rPr>
                <w:highlight w:val="white"/>
              </w:rPr>
            </w:pPr>
            <w:r>
              <w:rPr>
                <w:highlight w:val="white"/>
              </w:rPr>
              <w:t>Alpha-2-HS-glycoprotein (</w:t>
            </w:r>
            <w:proofErr w:type="spellStart"/>
            <w:r>
              <w:rPr>
                <w:highlight w:val="white"/>
              </w:rPr>
              <w:t>Fetuin</w:t>
            </w:r>
            <w:proofErr w:type="spellEnd"/>
            <w:r>
              <w:rPr>
                <w:highlight w:val="white"/>
              </w:rPr>
              <w:t>)</w:t>
            </w:r>
          </w:p>
        </w:tc>
        <w:tc>
          <w:tcPr>
            <w:tcW w:w="2720" w:type="dxa"/>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Laboratory Reagent</w:t>
            </w:r>
          </w:p>
        </w:tc>
      </w:tr>
      <w:tr w:rsidR="003A02DA" w:rsidTr="003151C9">
        <w:trPr>
          <w:trHeight w:val="300"/>
        </w:trPr>
        <w:tc>
          <w:tcPr>
            <w:tcW w:w="2935" w:type="dxa"/>
            <w:tcBorders>
              <w:bottom w:val="single" w:sz="4" w:space="0" w:color="auto"/>
            </w:tcBorders>
            <w:shd w:val="clear" w:color="auto" w:fill="FFFFFF"/>
            <w:tcMar>
              <w:top w:w="40" w:type="dxa"/>
              <w:left w:w="40" w:type="dxa"/>
              <w:bottom w:w="40" w:type="dxa"/>
              <w:right w:w="40" w:type="dxa"/>
            </w:tcMar>
            <w:vAlign w:val="center"/>
          </w:tcPr>
          <w:p w:rsidR="003A02DA" w:rsidRDefault="009E3091" w:rsidP="00124101">
            <w:pPr>
              <w:spacing w:after="0" w:line="276" w:lineRule="auto"/>
              <w:jc w:val="right"/>
            </w:pPr>
            <w:r>
              <w:rPr>
                <w:highlight w:val="white"/>
              </w:rPr>
              <w:t>Caspase-14</w:t>
            </w:r>
          </w:p>
        </w:tc>
        <w:tc>
          <w:tcPr>
            <w:tcW w:w="2720" w:type="dxa"/>
            <w:tcBorders>
              <w:bottom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center"/>
            </w:pPr>
            <w:r>
              <w:t>From any species</w:t>
            </w:r>
          </w:p>
        </w:tc>
        <w:tc>
          <w:tcPr>
            <w:tcW w:w="2925" w:type="dxa"/>
            <w:tcBorders>
              <w:bottom w:val="single" w:sz="4" w:space="0" w:color="auto"/>
            </w:tcBorders>
            <w:shd w:val="clear" w:color="auto" w:fill="auto"/>
            <w:tcMar>
              <w:top w:w="40" w:type="dxa"/>
              <w:left w:w="40" w:type="dxa"/>
              <w:bottom w:w="40" w:type="dxa"/>
              <w:right w:w="40" w:type="dxa"/>
            </w:tcMar>
            <w:vAlign w:val="center"/>
          </w:tcPr>
          <w:p w:rsidR="003A02DA" w:rsidRDefault="009E3091" w:rsidP="00124101">
            <w:pPr>
              <w:spacing w:after="0" w:line="276" w:lineRule="auto"/>
              <w:jc w:val="left"/>
            </w:pPr>
            <w:r>
              <w:t>Skin</w:t>
            </w:r>
          </w:p>
        </w:tc>
      </w:tr>
    </w:tbl>
    <w:p w:rsidR="003A02DA" w:rsidRDefault="003A02DA">
      <w:pPr>
        <w:spacing w:after="0" w:line="276" w:lineRule="auto"/>
        <w:jc w:val="left"/>
      </w:pPr>
    </w:p>
    <w:p w:rsidR="002330E9" w:rsidRDefault="002330E9">
      <w:pPr>
        <w:spacing w:after="0" w:line="276" w:lineRule="auto"/>
        <w:jc w:val="left"/>
      </w:pPr>
    </w:p>
    <w:p w:rsidR="002330E9" w:rsidRDefault="002330E9">
      <w:pPr>
        <w:spacing w:after="0" w:line="276" w:lineRule="auto"/>
        <w:jc w:val="left"/>
      </w:pPr>
    </w:p>
    <w:p w:rsidR="002330E9" w:rsidRDefault="002330E9">
      <w:pPr>
        <w:numPr>
          <w:ilvl w:val="0"/>
          <w:numId w:val="4"/>
        </w:numPr>
        <w:spacing w:after="0" w:line="276" w:lineRule="auto"/>
        <w:jc w:val="left"/>
        <w:rPr>
          <w:b/>
        </w:rPr>
        <w:sectPr w:rsidR="002330E9">
          <w:type w:val="continuous"/>
          <w:pgSz w:w="12240" w:h="15840"/>
          <w:pgMar w:top="1440" w:right="1440" w:bottom="1440" w:left="1440" w:header="360" w:footer="720" w:gutter="0"/>
          <w:cols w:space="720"/>
        </w:sectPr>
      </w:pPr>
    </w:p>
    <w:p w:rsidR="003A02DA" w:rsidRDefault="009E3091">
      <w:pPr>
        <w:numPr>
          <w:ilvl w:val="0"/>
          <w:numId w:val="4"/>
        </w:numPr>
        <w:spacing w:after="0" w:line="276" w:lineRule="auto"/>
        <w:jc w:val="left"/>
        <w:rPr>
          <w:b/>
        </w:rPr>
      </w:pPr>
      <w:r>
        <w:rPr>
          <w:b/>
        </w:rPr>
        <w:lastRenderedPageBreak/>
        <w:t>Comparison of dietary proteins identified using tryptic and semi-tryptic searches</w:t>
      </w:r>
    </w:p>
    <w:p w:rsidR="003A02DA" w:rsidRDefault="003A02DA">
      <w:pPr>
        <w:spacing w:after="0" w:line="276" w:lineRule="auto"/>
        <w:jc w:val="left"/>
      </w:pPr>
    </w:p>
    <w:p w:rsidR="003A02DA" w:rsidRDefault="009E3091">
      <w:pPr>
        <w:spacing w:after="0" w:line="276" w:lineRule="auto"/>
        <w:jc w:val="left"/>
      </w:pPr>
      <w:r>
        <w:rPr>
          <w:b/>
        </w:rPr>
        <w:t>SI Table 5.</w:t>
      </w:r>
      <w:r>
        <w:t xml:space="preserve"> </w:t>
      </w:r>
      <w:proofErr w:type="gramStart"/>
      <w:r>
        <w:t>Comparison of total protein identifications, as well as putative dietary protein and peptide identifications searching semi-tryptic and tryptic peptides from the same sample.</w:t>
      </w:r>
      <w:proofErr w:type="gramEnd"/>
      <w:r>
        <w:t xml:space="preserve"> </w:t>
      </w:r>
    </w:p>
    <w:p w:rsidR="003A02DA" w:rsidRDefault="003A02DA">
      <w:pPr>
        <w:spacing w:after="0" w:line="276" w:lineRule="auto"/>
        <w:jc w:val="left"/>
      </w:pPr>
    </w:p>
    <w:tbl>
      <w:tblPr>
        <w:tblStyle w:val="a0"/>
        <w:tblW w:w="97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215"/>
        <w:gridCol w:w="570"/>
        <w:gridCol w:w="2940"/>
        <w:gridCol w:w="630"/>
        <w:gridCol w:w="3000"/>
      </w:tblGrid>
      <w:tr w:rsidR="003A02DA" w:rsidTr="00990410">
        <w:trPr>
          <w:trHeight w:val="300"/>
        </w:trPr>
        <w:tc>
          <w:tcPr>
            <w:tcW w:w="1440" w:type="dxa"/>
            <w:vMerge w:val="restart"/>
            <w:tcBorders>
              <w:top w:val="nil"/>
              <w:left w:val="nil"/>
              <w:bottom w:val="single" w:sz="6" w:space="0" w:color="000000"/>
              <w:right w:val="single" w:sz="6" w:space="0" w:color="000000"/>
            </w:tcBorders>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Sample</w:t>
            </w:r>
          </w:p>
        </w:tc>
        <w:tc>
          <w:tcPr>
            <w:tcW w:w="1215" w:type="dxa"/>
            <w:vMerge w:val="restart"/>
            <w:tcBorders>
              <w:top w:val="nil"/>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rsidP="00990410">
            <w:pPr>
              <w:widowControl w:val="0"/>
              <w:spacing w:after="0" w:line="276" w:lineRule="auto"/>
              <w:jc w:val="center"/>
              <w:rPr>
                <w:b/>
                <w:sz w:val="20"/>
                <w:szCs w:val="20"/>
              </w:rPr>
            </w:pPr>
            <w:r>
              <w:rPr>
                <w:b/>
                <w:sz w:val="20"/>
                <w:szCs w:val="20"/>
              </w:rPr>
              <w:t>Period</w:t>
            </w:r>
          </w:p>
        </w:tc>
        <w:tc>
          <w:tcPr>
            <w:tcW w:w="3510" w:type="dxa"/>
            <w:gridSpan w:val="2"/>
            <w:tcBorders>
              <w:top w:val="nil"/>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Semi Tryptic</w:t>
            </w:r>
          </w:p>
        </w:tc>
        <w:tc>
          <w:tcPr>
            <w:tcW w:w="3630" w:type="dxa"/>
            <w:gridSpan w:val="2"/>
            <w:tcBorders>
              <w:top w:val="nil"/>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Tryptic</w:t>
            </w:r>
          </w:p>
        </w:tc>
      </w:tr>
      <w:tr w:rsidR="003A02DA" w:rsidTr="00990410">
        <w:trPr>
          <w:trHeight w:val="740"/>
        </w:trPr>
        <w:tc>
          <w:tcPr>
            <w:tcW w:w="1440" w:type="dxa"/>
            <w:vMerge/>
            <w:tcBorders>
              <w:top w:val="single" w:sz="6" w:space="0" w:color="000000"/>
              <w:left w:val="nil"/>
              <w:bottom w:val="double" w:sz="4" w:space="0" w:color="auto"/>
              <w:right w:val="single" w:sz="6" w:space="0" w:color="000000"/>
            </w:tcBorders>
            <w:tcMar>
              <w:top w:w="40" w:type="dxa"/>
              <w:left w:w="40" w:type="dxa"/>
              <w:bottom w:w="40" w:type="dxa"/>
              <w:right w:w="40" w:type="dxa"/>
            </w:tcMar>
            <w:vAlign w:val="center"/>
          </w:tcPr>
          <w:p w:rsidR="003A02DA" w:rsidRDefault="003A02DA" w:rsidP="00990410">
            <w:pPr>
              <w:widowControl w:val="0"/>
              <w:pBdr>
                <w:top w:val="nil"/>
                <w:left w:val="nil"/>
                <w:bottom w:val="nil"/>
                <w:right w:val="nil"/>
                <w:between w:val="nil"/>
              </w:pBdr>
              <w:spacing w:after="0" w:line="276" w:lineRule="auto"/>
              <w:jc w:val="right"/>
            </w:pPr>
          </w:p>
        </w:tc>
        <w:tc>
          <w:tcPr>
            <w:tcW w:w="1215" w:type="dxa"/>
            <w:vMerge/>
            <w:tcBorders>
              <w:top w:val="single" w:sz="6" w:space="0" w:color="000000"/>
              <w:left w:val="single" w:sz="6" w:space="0" w:color="CCCCCC"/>
              <w:bottom w:val="double" w:sz="4" w:space="0" w:color="auto"/>
              <w:right w:val="single" w:sz="6" w:space="0" w:color="000000"/>
            </w:tcBorders>
            <w:tcMar>
              <w:top w:w="40" w:type="dxa"/>
              <w:left w:w="40" w:type="dxa"/>
              <w:bottom w:w="40" w:type="dxa"/>
              <w:right w:w="40" w:type="dxa"/>
            </w:tcMar>
            <w:vAlign w:val="center"/>
          </w:tcPr>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tc>
        <w:tc>
          <w:tcPr>
            <w:tcW w:w="570" w:type="dxa"/>
            <w:tcBorders>
              <w:top w:val="single" w:sz="6" w:space="0" w:color="CCCCCC"/>
              <w:left w:val="single" w:sz="6" w:space="0" w:color="CCCCCC"/>
              <w:bottom w:val="double" w:sz="4" w:space="0" w:color="auto"/>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Total IDs</w:t>
            </w:r>
          </w:p>
        </w:tc>
        <w:tc>
          <w:tcPr>
            <w:tcW w:w="2940" w:type="dxa"/>
            <w:tcBorders>
              <w:top w:val="single" w:sz="6" w:space="0" w:color="CCCCCC"/>
              <w:left w:val="single" w:sz="6" w:space="0" w:color="CCCCCC"/>
              <w:bottom w:val="double" w:sz="4" w:space="0" w:color="auto"/>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Dietary Protein (number of peptides)</w:t>
            </w:r>
          </w:p>
        </w:tc>
        <w:tc>
          <w:tcPr>
            <w:tcW w:w="630" w:type="dxa"/>
            <w:tcBorders>
              <w:top w:val="single" w:sz="6" w:space="0" w:color="CCCCCC"/>
              <w:left w:val="single" w:sz="6" w:space="0" w:color="CCCCCC"/>
              <w:bottom w:val="double" w:sz="4" w:space="0" w:color="auto"/>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b/>
                <w:sz w:val="20"/>
                <w:szCs w:val="20"/>
              </w:rPr>
              <w:t>Total IDs</w:t>
            </w:r>
          </w:p>
        </w:tc>
        <w:tc>
          <w:tcPr>
            <w:tcW w:w="3000" w:type="dxa"/>
            <w:tcBorders>
              <w:top w:val="single" w:sz="6" w:space="0" w:color="CCCCCC"/>
              <w:left w:val="single" w:sz="6" w:space="0" w:color="CCCCCC"/>
              <w:bottom w:val="double" w:sz="4" w:space="0" w:color="auto"/>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b/>
                <w:sz w:val="20"/>
                <w:szCs w:val="20"/>
              </w:rPr>
            </w:pPr>
            <w:r>
              <w:rPr>
                <w:b/>
                <w:sz w:val="20"/>
                <w:szCs w:val="20"/>
              </w:rPr>
              <w:t>Dietary Protein (number of peptides)</w:t>
            </w:r>
          </w:p>
        </w:tc>
      </w:tr>
      <w:tr w:rsidR="003A02DA" w:rsidTr="00930829">
        <w:trPr>
          <w:trHeight w:val="300"/>
        </w:trPr>
        <w:tc>
          <w:tcPr>
            <w:tcW w:w="1440" w:type="dxa"/>
            <w:tcBorders>
              <w:top w:val="double" w:sz="4" w:space="0" w:color="auto"/>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ML1489 (CS1)</w:t>
            </w:r>
          </w:p>
        </w:tc>
        <w:tc>
          <w:tcPr>
            <w:tcW w:w="1215" w:type="dxa"/>
            <w:tcBorders>
              <w:top w:val="doub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Iron Age</w:t>
            </w:r>
          </w:p>
        </w:tc>
        <w:tc>
          <w:tcPr>
            <w:tcW w:w="570" w:type="dxa"/>
            <w:tcBorders>
              <w:top w:val="doub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44</w:t>
            </w:r>
          </w:p>
        </w:tc>
        <w:tc>
          <w:tcPr>
            <w:tcW w:w="2940" w:type="dxa"/>
            <w:tcBorders>
              <w:top w:val="doub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double" w:sz="4" w:space="0" w:color="auto"/>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62</w:t>
            </w:r>
          </w:p>
        </w:tc>
        <w:tc>
          <w:tcPr>
            <w:tcW w:w="3000" w:type="dxa"/>
            <w:tcBorders>
              <w:top w:val="double" w:sz="4" w:space="0" w:color="auto"/>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ML1823 (CS2)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Iron Age</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106</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158</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(17)</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ML3890 (CS3)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Iron Age</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20</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52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620"/>
        </w:trPr>
        <w:tc>
          <w:tcPr>
            <w:tcW w:w="1440" w:type="dxa"/>
            <w:vMerge w:val="restart"/>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ML1032 (CS4)</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Iron Age</w:t>
            </w:r>
          </w:p>
        </w:tc>
        <w:tc>
          <w:tcPr>
            <w:tcW w:w="57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86</w:t>
            </w:r>
          </w:p>
        </w:tc>
        <w:tc>
          <w:tcPr>
            <w:tcW w:w="294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(8); Pyruvate, phosphate </w:t>
            </w:r>
            <w:proofErr w:type="spellStart"/>
            <w:r>
              <w:rPr>
                <w:sz w:val="20"/>
                <w:szCs w:val="20"/>
              </w:rPr>
              <w:t>dikinase</w:t>
            </w:r>
            <w:proofErr w:type="spellEnd"/>
            <w:r>
              <w:rPr>
                <w:sz w:val="20"/>
                <w:szCs w:val="20"/>
              </w:rPr>
              <w:t xml:space="preserve">, </w:t>
            </w:r>
            <w:proofErr w:type="spellStart"/>
            <w:r>
              <w:rPr>
                <w:sz w:val="20"/>
                <w:szCs w:val="20"/>
              </w:rPr>
              <w:t>Oryza</w:t>
            </w:r>
            <w:proofErr w:type="spellEnd"/>
            <w:r>
              <w:rPr>
                <w:sz w:val="20"/>
                <w:szCs w:val="20"/>
              </w:rPr>
              <w:t xml:space="preserve"> sativa (3)</w:t>
            </w:r>
          </w:p>
        </w:tc>
        <w:tc>
          <w:tcPr>
            <w:tcW w:w="630" w:type="dxa"/>
            <w:vMerge w:val="restart"/>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109</w:t>
            </w:r>
          </w:p>
        </w:tc>
        <w:tc>
          <w:tcPr>
            <w:tcW w:w="3000" w:type="dxa"/>
            <w:vMerge w:val="restart"/>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(8)</w:t>
            </w:r>
          </w:p>
        </w:tc>
      </w:tr>
      <w:tr w:rsidR="003A02DA" w:rsidTr="00930829">
        <w:trPr>
          <w:trHeight w:val="317"/>
        </w:trPr>
        <w:tc>
          <w:tcPr>
            <w:tcW w:w="1440" w:type="dxa"/>
            <w:vMerge/>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3A02DA" w:rsidP="00930829">
            <w:pPr>
              <w:widowControl w:val="0"/>
              <w:pBdr>
                <w:top w:val="nil"/>
                <w:left w:val="nil"/>
                <w:bottom w:val="nil"/>
                <w:right w:val="nil"/>
                <w:between w:val="nil"/>
              </w:pBdr>
              <w:spacing w:after="0" w:line="276" w:lineRule="auto"/>
              <w:jc w:val="cente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3A02DA" w:rsidP="00990410">
            <w:pPr>
              <w:widowControl w:val="0"/>
              <w:pBdr>
                <w:top w:val="nil"/>
                <w:left w:val="nil"/>
                <w:bottom w:val="nil"/>
                <w:right w:val="nil"/>
                <w:between w:val="nil"/>
              </w:pBdr>
              <w:spacing w:after="0" w:line="276" w:lineRule="auto"/>
              <w:jc w:val="center"/>
            </w:pPr>
          </w:p>
        </w:tc>
        <w:tc>
          <w:tcPr>
            <w:tcW w:w="57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pBdr>
                <w:top w:val="nil"/>
                <w:left w:val="nil"/>
                <w:bottom w:val="nil"/>
                <w:right w:val="nil"/>
                <w:between w:val="nil"/>
              </w:pBdr>
              <w:spacing w:after="0" w:line="276" w:lineRule="auto"/>
              <w:jc w:val="center"/>
            </w:pPr>
          </w:p>
        </w:tc>
        <w:tc>
          <w:tcPr>
            <w:tcW w:w="294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3A02DA" w:rsidP="00990410">
            <w:pPr>
              <w:widowControl w:val="0"/>
              <w:pBdr>
                <w:top w:val="nil"/>
                <w:left w:val="nil"/>
                <w:bottom w:val="nil"/>
                <w:right w:val="nil"/>
                <w:between w:val="nil"/>
              </w:pBdr>
              <w:spacing w:after="0" w:line="276" w:lineRule="auto"/>
              <w:jc w:val="center"/>
            </w:pPr>
          </w:p>
        </w:tc>
        <w:tc>
          <w:tcPr>
            <w:tcW w:w="630" w:type="dxa"/>
            <w:vMerge/>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pBdr>
                <w:top w:val="nil"/>
                <w:left w:val="nil"/>
                <w:bottom w:val="nil"/>
                <w:right w:val="nil"/>
                <w:between w:val="nil"/>
              </w:pBdr>
              <w:spacing w:after="0" w:line="276" w:lineRule="auto"/>
              <w:jc w:val="center"/>
            </w:pPr>
          </w:p>
        </w:tc>
        <w:tc>
          <w:tcPr>
            <w:tcW w:w="3000" w:type="dxa"/>
            <w:vMerge/>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center"/>
          </w:tcPr>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p w:rsidR="003A02DA" w:rsidRDefault="003A02DA" w:rsidP="00990410">
            <w:pPr>
              <w:widowControl w:val="0"/>
              <w:spacing w:after="0" w:line="276" w:lineRule="auto"/>
              <w:jc w:val="cente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58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96</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(2)</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64</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79</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(12)</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106</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(7)</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42</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37</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90</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100</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OX09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33</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38</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OX10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126</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126</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OX12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116</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Ovi-caprid</w:t>
            </w:r>
            <w:proofErr w:type="spellEnd"/>
            <w:r>
              <w:rPr>
                <w:sz w:val="20"/>
                <w:szCs w:val="20"/>
              </w:rPr>
              <w:t xml:space="preserve"> (22)</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169</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(10)</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3DT26 (CS5)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55</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165</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3DT21 (CS6)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100</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110</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(16)</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6DT3 (CS7)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107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186</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6DT7(CS8)</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36</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52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6DT21 (CS9)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20</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HE1987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24</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31</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HE2000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Roman</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46</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Collectin-12, Cyprinid (3)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13</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JV15548 (CS12)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Viking</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68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132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(4)</w:t>
            </w: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NEM18 (CS13)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68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(20)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81</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(20)</w:t>
            </w: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lastRenderedPageBreak/>
              <w:t>NEM093 (CS14)</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23</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52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NEM099 (CS15)</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160</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NBS410 (CS16)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33</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48</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NBS262 (CS17)</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163</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52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NBS325 (CS18)</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proofErr w:type="spellStart"/>
            <w:r>
              <w:rPr>
                <w:sz w:val="20"/>
                <w:szCs w:val="20"/>
              </w:rPr>
              <w:t>Anglo-saxon</w:t>
            </w:r>
            <w:proofErr w:type="spellEnd"/>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39</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TKAC (CS19)</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64</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115</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TKDC (CS20)</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117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146</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TKEC (CS21)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97</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145</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TKFC (CS22)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70</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82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WG1252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222</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272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WG1082</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251</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(7)</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331</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(5)</w:t>
            </w: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WG1566</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189</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221</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WG1483</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155</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202</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r>
      <w:tr w:rsidR="003A02DA" w:rsidTr="00930829">
        <w:trPr>
          <w:trHeight w:val="300"/>
        </w:trPr>
        <w:tc>
          <w:tcPr>
            <w:tcW w:w="1440" w:type="dxa"/>
            <w:tcBorders>
              <w:top w:val="single" w:sz="6" w:space="0" w:color="CCCCCC"/>
              <w:left w:val="nil"/>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WG1561</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178</w:t>
            </w:r>
          </w:p>
        </w:tc>
        <w:tc>
          <w:tcPr>
            <w:tcW w:w="29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(4)</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221</w:t>
            </w:r>
          </w:p>
        </w:tc>
        <w:tc>
          <w:tcPr>
            <w:tcW w:w="3000" w:type="dxa"/>
            <w:tcBorders>
              <w:top w:val="single" w:sz="6" w:space="0" w:color="CCCCCC"/>
              <w:left w:val="single" w:sz="6" w:space="0" w:color="CCCCCC"/>
              <w:bottom w:val="single" w:sz="6" w:space="0" w:color="000000"/>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(5)</w:t>
            </w:r>
          </w:p>
        </w:tc>
      </w:tr>
      <w:tr w:rsidR="003A02DA" w:rsidTr="00930829">
        <w:trPr>
          <w:trHeight w:val="300"/>
        </w:trPr>
        <w:tc>
          <w:tcPr>
            <w:tcW w:w="1440" w:type="dxa"/>
            <w:tcBorders>
              <w:top w:val="single" w:sz="6" w:space="0" w:color="000000"/>
              <w:left w:val="nil"/>
              <w:bottom w:val="single" w:sz="4" w:space="0" w:color="auto"/>
              <w:right w:val="single" w:sz="6" w:space="0" w:color="000000"/>
            </w:tcBorders>
            <w:shd w:val="clear" w:color="auto" w:fill="auto"/>
            <w:tcMar>
              <w:top w:w="40" w:type="dxa"/>
              <w:left w:w="40" w:type="dxa"/>
              <w:bottom w:w="40" w:type="dxa"/>
              <w:right w:w="40" w:type="dxa"/>
            </w:tcMar>
            <w:vAlign w:val="center"/>
          </w:tcPr>
          <w:p w:rsidR="003A02DA" w:rsidRDefault="009E3091" w:rsidP="00930829">
            <w:pPr>
              <w:widowControl w:val="0"/>
              <w:spacing w:after="0" w:line="276" w:lineRule="auto"/>
              <w:jc w:val="center"/>
              <w:rPr>
                <w:sz w:val="20"/>
                <w:szCs w:val="20"/>
              </w:rPr>
            </w:pPr>
            <w:r>
              <w:rPr>
                <w:sz w:val="20"/>
                <w:szCs w:val="20"/>
              </w:rPr>
              <w:t>WG1585</w:t>
            </w:r>
          </w:p>
        </w:tc>
        <w:tc>
          <w:tcPr>
            <w:tcW w:w="1215" w:type="dxa"/>
            <w:tcBorders>
              <w:top w:val="single" w:sz="6" w:space="0" w:color="000000"/>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center"/>
          </w:tcPr>
          <w:p w:rsidR="003A02DA" w:rsidRDefault="009E3091" w:rsidP="00990410">
            <w:pPr>
              <w:widowControl w:val="0"/>
              <w:spacing w:after="0" w:line="276" w:lineRule="auto"/>
              <w:jc w:val="center"/>
              <w:rPr>
                <w:sz w:val="20"/>
                <w:szCs w:val="20"/>
              </w:rPr>
            </w:pPr>
            <w:r>
              <w:rPr>
                <w:sz w:val="20"/>
                <w:szCs w:val="20"/>
              </w:rPr>
              <w:t>Medieval</w:t>
            </w:r>
          </w:p>
        </w:tc>
        <w:tc>
          <w:tcPr>
            <w:tcW w:w="570" w:type="dxa"/>
            <w:tcBorders>
              <w:top w:val="single" w:sz="6" w:space="0" w:color="000000"/>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130</w:t>
            </w:r>
          </w:p>
        </w:tc>
        <w:tc>
          <w:tcPr>
            <w:tcW w:w="2940" w:type="dxa"/>
            <w:tcBorders>
              <w:top w:val="single" w:sz="6" w:space="0" w:color="000000"/>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3A02DA" w:rsidRDefault="003A02DA" w:rsidP="00990410">
            <w:pPr>
              <w:widowControl w:val="0"/>
              <w:spacing w:after="0" w:line="276" w:lineRule="auto"/>
              <w:jc w:val="center"/>
              <w:rPr>
                <w:sz w:val="20"/>
                <w:szCs w:val="20"/>
              </w:rPr>
            </w:pPr>
          </w:p>
        </w:tc>
        <w:tc>
          <w:tcPr>
            <w:tcW w:w="630" w:type="dxa"/>
            <w:tcBorders>
              <w:top w:val="single" w:sz="6" w:space="0" w:color="000000"/>
              <w:left w:val="single" w:sz="6" w:space="0" w:color="CCCCCC"/>
              <w:bottom w:val="single" w:sz="4" w:space="0" w:color="auto"/>
              <w:right w:val="single" w:sz="6" w:space="0" w:color="000000"/>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184</w:t>
            </w:r>
          </w:p>
        </w:tc>
        <w:tc>
          <w:tcPr>
            <w:tcW w:w="3000" w:type="dxa"/>
            <w:tcBorders>
              <w:top w:val="single" w:sz="6" w:space="0" w:color="000000"/>
              <w:left w:val="single" w:sz="6" w:space="0" w:color="CCCCCC"/>
              <w:bottom w:val="single" w:sz="4" w:space="0" w:color="auto"/>
              <w:right w:val="nil"/>
            </w:tcBorders>
            <w:shd w:val="clear" w:color="auto" w:fill="auto"/>
            <w:tcMar>
              <w:top w:w="40" w:type="dxa"/>
              <w:left w:w="40" w:type="dxa"/>
              <w:bottom w:w="40" w:type="dxa"/>
              <w:right w:w="40" w:type="dxa"/>
            </w:tcMar>
            <w:vAlign w:val="bottom"/>
          </w:tcPr>
          <w:p w:rsidR="003A02DA" w:rsidRDefault="009E3091" w:rsidP="00990410">
            <w:pPr>
              <w:widowControl w:val="0"/>
              <w:spacing w:after="0" w:line="276" w:lineRule="auto"/>
              <w:jc w:val="center"/>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(2)</w:t>
            </w:r>
          </w:p>
        </w:tc>
      </w:tr>
    </w:tbl>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jc w:val="left"/>
      </w:pPr>
    </w:p>
    <w:p w:rsidR="003A02DA" w:rsidRDefault="003A02DA">
      <w:pPr>
        <w:spacing w:after="0" w:line="276" w:lineRule="auto"/>
        <w:ind w:left="720" w:hanging="360"/>
        <w:jc w:val="left"/>
        <w:rPr>
          <w:b/>
        </w:rPr>
      </w:pPr>
    </w:p>
    <w:p w:rsidR="003A02DA" w:rsidRDefault="009E3091">
      <w:pPr>
        <w:widowControl w:val="0"/>
        <w:pBdr>
          <w:top w:val="nil"/>
          <w:left w:val="nil"/>
          <w:bottom w:val="nil"/>
          <w:right w:val="nil"/>
          <w:between w:val="nil"/>
        </w:pBdr>
        <w:spacing w:after="0" w:line="276" w:lineRule="auto"/>
        <w:jc w:val="left"/>
        <w:rPr>
          <w:b/>
        </w:rPr>
        <w:sectPr w:rsidR="003A02DA" w:rsidSect="002330E9">
          <w:pgSz w:w="12240" w:h="15840"/>
          <w:pgMar w:top="1440" w:right="1440" w:bottom="1440" w:left="1440" w:header="360" w:footer="720" w:gutter="0"/>
          <w:cols w:space="720"/>
        </w:sectPr>
      </w:pPr>
      <w:r>
        <w:br w:type="page"/>
      </w:r>
    </w:p>
    <w:p w:rsidR="003A02DA" w:rsidRDefault="009E3091">
      <w:pPr>
        <w:numPr>
          <w:ilvl w:val="0"/>
          <w:numId w:val="4"/>
        </w:numPr>
        <w:spacing w:after="0" w:line="276" w:lineRule="auto"/>
        <w:jc w:val="left"/>
        <w:rPr>
          <w:b/>
        </w:rPr>
      </w:pPr>
      <w:r>
        <w:rPr>
          <w:b/>
        </w:rPr>
        <w:lastRenderedPageBreak/>
        <w:t xml:space="preserve">Comparison of dietary proteins identified using </w:t>
      </w:r>
      <w:proofErr w:type="spellStart"/>
      <w:r>
        <w:rPr>
          <w:b/>
        </w:rPr>
        <w:t>UniProt</w:t>
      </w:r>
      <w:proofErr w:type="spellEnd"/>
      <w:r>
        <w:rPr>
          <w:b/>
        </w:rPr>
        <w:t xml:space="preserve"> and </w:t>
      </w:r>
      <w:proofErr w:type="spellStart"/>
      <w:r>
        <w:rPr>
          <w:b/>
        </w:rPr>
        <w:t>UniProt</w:t>
      </w:r>
      <w:proofErr w:type="spellEnd"/>
      <w:r>
        <w:rPr>
          <w:b/>
        </w:rPr>
        <w:t xml:space="preserve"> + HOMD</w:t>
      </w:r>
    </w:p>
    <w:p w:rsidR="003A02DA" w:rsidRDefault="003A02DA">
      <w:pPr>
        <w:spacing w:after="0" w:line="276" w:lineRule="auto"/>
        <w:jc w:val="left"/>
        <w:rPr>
          <w:b/>
        </w:rPr>
      </w:pPr>
    </w:p>
    <w:p w:rsidR="003A02DA" w:rsidRDefault="009E3091">
      <w:pPr>
        <w:spacing w:after="0" w:line="276" w:lineRule="auto"/>
        <w:jc w:val="left"/>
        <w:rPr>
          <w:b/>
        </w:rPr>
      </w:pPr>
      <w:r>
        <w:rPr>
          <w:b/>
        </w:rPr>
        <w:t>SI Table 6.</w:t>
      </w:r>
      <w:r>
        <w:t xml:space="preserve"> Comparison of putative dietary proteins and peptides identified searching against </w:t>
      </w:r>
      <w:proofErr w:type="spellStart"/>
      <w:r>
        <w:t>Uniprot</w:t>
      </w:r>
      <w:proofErr w:type="spellEnd"/>
      <w:r>
        <w:t xml:space="preserve"> and HOMD databases and searching against the </w:t>
      </w:r>
      <w:proofErr w:type="spellStart"/>
      <w:r>
        <w:t>Uniprot</w:t>
      </w:r>
      <w:proofErr w:type="spellEnd"/>
      <w:r>
        <w:t xml:space="preserve"> database alone. Shaded cells indicate proteins identified on the basis of only one peptide sequence. </w:t>
      </w:r>
    </w:p>
    <w:p w:rsidR="003A02DA" w:rsidRDefault="003A02DA">
      <w:pPr>
        <w:spacing w:after="0" w:line="276" w:lineRule="auto"/>
        <w:jc w:val="left"/>
      </w:pPr>
    </w:p>
    <w:tbl>
      <w:tblPr>
        <w:tblStyle w:val="a1"/>
        <w:tblW w:w="97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440"/>
        <w:gridCol w:w="1650"/>
        <w:gridCol w:w="3285"/>
        <w:gridCol w:w="3420"/>
      </w:tblGrid>
      <w:tr w:rsidR="003A02DA">
        <w:trPr>
          <w:trHeight w:val="300"/>
        </w:trPr>
        <w:tc>
          <w:tcPr>
            <w:tcW w:w="14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b/>
                <w:sz w:val="20"/>
                <w:szCs w:val="20"/>
              </w:rPr>
              <w:t>Sample</w:t>
            </w:r>
          </w:p>
        </w:tc>
        <w:tc>
          <w:tcPr>
            <w:tcW w:w="165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b/>
                <w:sz w:val="20"/>
                <w:szCs w:val="20"/>
              </w:rPr>
              <w:t>Period</w:t>
            </w:r>
          </w:p>
        </w:tc>
        <w:tc>
          <w:tcPr>
            <w:tcW w:w="328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b/>
                <w:sz w:val="20"/>
                <w:szCs w:val="20"/>
              </w:rPr>
            </w:pPr>
            <w:proofErr w:type="spellStart"/>
            <w:r>
              <w:rPr>
                <w:b/>
                <w:sz w:val="20"/>
                <w:szCs w:val="20"/>
              </w:rPr>
              <w:t>Uniprot</w:t>
            </w:r>
            <w:proofErr w:type="spellEnd"/>
          </w:p>
          <w:p w:rsidR="003A02DA" w:rsidRDefault="009E3091">
            <w:pPr>
              <w:spacing w:after="0" w:line="276" w:lineRule="auto"/>
              <w:jc w:val="left"/>
              <w:rPr>
                <w:b/>
                <w:sz w:val="20"/>
                <w:szCs w:val="20"/>
              </w:rPr>
            </w:pPr>
            <w:r>
              <w:rPr>
                <w:b/>
                <w:sz w:val="20"/>
                <w:szCs w:val="20"/>
              </w:rPr>
              <w:t>Protein (# of peptides)</w:t>
            </w:r>
          </w:p>
        </w:tc>
        <w:tc>
          <w:tcPr>
            <w:tcW w:w="34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b/>
                <w:sz w:val="20"/>
                <w:szCs w:val="20"/>
              </w:rPr>
            </w:pPr>
            <w:proofErr w:type="spellStart"/>
            <w:r>
              <w:rPr>
                <w:b/>
                <w:sz w:val="20"/>
                <w:szCs w:val="20"/>
              </w:rPr>
              <w:t>Uniprot</w:t>
            </w:r>
            <w:proofErr w:type="spellEnd"/>
            <w:r>
              <w:rPr>
                <w:b/>
                <w:sz w:val="20"/>
                <w:szCs w:val="20"/>
              </w:rPr>
              <w:t xml:space="preserve"> &amp; HOMD</w:t>
            </w:r>
          </w:p>
          <w:p w:rsidR="003A02DA" w:rsidRDefault="009E3091">
            <w:pPr>
              <w:spacing w:after="0" w:line="276" w:lineRule="auto"/>
              <w:jc w:val="left"/>
              <w:rPr>
                <w:b/>
                <w:sz w:val="20"/>
                <w:szCs w:val="20"/>
              </w:rPr>
            </w:pPr>
            <w:r>
              <w:rPr>
                <w:b/>
                <w:sz w:val="20"/>
                <w:szCs w:val="20"/>
              </w:rPr>
              <w:t>Protein (# of peptides)</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ML1489 (CS1)</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Iron Age</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(5)</w:t>
            </w:r>
          </w:p>
        </w:tc>
        <w:tc>
          <w:tcPr>
            <w:tcW w:w="342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(5)</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ML1823 (CS2)</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Iron Age</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(17)</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(17)</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Iron Age</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Protein phosphatase 1 regulatory subunit 32, </w:t>
            </w:r>
            <w:proofErr w:type="spellStart"/>
            <w:r>
              <w:rPr>
                <w:sz w:val="20"/>
                <w:szCs w:val="20"/>
              </w:rPr>
              <w:t>Bovidae</w:t>
            </w:r>
            <w:proofErr w:type="spellEnd"/>
            <w:r>
              <w:rPr>
                <w:sz w:val="20"/>
                <w:szCs w:val="20"/>
              </w:rPr>
              <w:t xml:space="preserve"> (3)</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ML3890 (CS3)</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Iron Age</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ML1032 (CS4)</w:t>
            </w:r>
          </w:p>
        </w:tc>
        <w:tc>
          <w:tcPr>
            <w:tcW w:w="165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Iron Age</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(8)</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(8)</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OX01</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(2)</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(2)</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OX03</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CASP-like protein 2C2, </w:t>
            </w:r>
            <w:proofErr w:type="spellStart"/>
            <w:r>
              <w:rPr>
                <w:sz w:val="20"/>
                <w:szCs w:val="20"/>
              </w:rPr>
              <w:t>Oryza</w:t>
            </w:r>
            <w:proofErr w:type="spellEnd"/>
            <w:r>
              <w:rPr>
                <w:sz w:val="20"/>
                <w:szCs w:val="20"/>
              </w:rPr>
              <w:t xml:space="preserve"> sativa (1); RNA </w:t>
            </w:r>
            <w:proofErr w:type="spellStart"/>
            <w:r>
              <w:rPr>
                <w:sz w:val="20"/>
                <w:szCs w:val="20"/>
              </w:rPr>
              <w:t>pseudouridylate</w:t>
            </w:r>
            <w:proofErr w:type="spellEnd"/>
            <w:r>
              <w:rPr>
                <w:sz w:val="20"/>
                <w:szCs w:val="20"/>
              </w:rPr>
              <w:t xml:space="preserve"> synthase domain-containing protein, Danio </w:t>
            </w:r>
            <w:proofErr w:type="spellStart"/>
            <w:r>
              <w:rPr>
                <w:sz w:val="20"/>
                <w:szCs w:val="20"/>
              </w:rPr>
              <w:t>rerio</w:t>
            </w:r>
            <w:proofErr w:type="spellEnd"/>
            <w:r>
              <w:rPr>
                <w:sz w:val="20"/>
                <w:szCs w:val="20"/>
              </w:rPr>
              <w:t xml:space="preserve"> (1)</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OX04</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(7)</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(7)</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OX05</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OX06</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(2); Bloom syndrome protein homolog, </w:t>
            </w:r>
            <w:proofErr w:type="spellStart"/>
            <w:r>
              <w:rPr>
                <w:sz w:val="20"/>
                <w:szCs w:val="20"/>
              </w:rPr>
              <w:t>Galloanserae</w:t>
            </w:r>
            <w:proofErr w:type="spellEnd"/>
            <w:r>
              <w:rPr>
                <w:sz w:val="20"/>
                <w:szCs w:val="20"/>
              </w:rPr>
              <w:t xml:space="preserve"> (2)</w:t>
            </w:r>
          </w:p>
        </w:tc>
        <w:tc>
          <w:tcPr>
            <w:tcW w:w="342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(2)</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OX09</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OX10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proofErr w:type="spellStart"/>
            <w:r>
              <w:rPr>
                <w:sz w:val="20"/>
                <w:szCs w:val="20"/>
              </w:rPr>
              <w:t>Chromodomain</w:t>
            </w:r>
            <w:proofErr w:type="spellEnd"/>
            <w:r>
              <w:rPr>
                <w:sz w:val="20"/>
                <w:szCs w:val="20"/>
              </w:rPr>
              <w:t xml:space="preserve">-helicase-DNA-binding protein 8, </w:t>
            </w:r>
            <w:proofErr w:type="spellStart"/>
            <w:r>
              <w:rPr>
                <w:sz w:val="20"/>
                <w:szCs w:val="20"/>
              </w:rPr>
              <w:t>Cyprinidae</w:t>
            </w:r>
            <w:proofErr w:type="spellEnd"/>
            <w:r>
              <w:rPr>
                <w:sz w:val="20"/>
                <w:szCs w:val="20"/>
              </w:rPr>
              <w:t xml:space="preserve"> (1); Vacuolar protein sorting-associated protein 26B-B, </w:t>
            </w:r>
            <w:proofErr w:type="spellStart"/>
            <w:r>
              <w:rPr>
                <w:sz w:val="20"/>
                <w:szCs w:val="20"/>
              </w:rPr>
              <w:t>Xenopus</w:t>
            </w:r>
            <w:proofErr w:type="spellEnd"/>
            <w:r>
              <w:rPr>
                <w:sz w:val="20"/>
                <w:szCs w:val="20"/>
              </w:rPr>
              <w:t xml:space="preserve"> </w:t>
            </w:r>
            <w:proofErr w:type="spellStart"/>
            <w:r>
              <w:rPr>
                <w:sz w:val="20"/>
                <w:szCs w:val="20"/>
              </w:rPr>
              <w:t>laevis</w:t>
            </w:r>
            <w:proofErr w:type="spellEnd"/>
            <w:r>
              <w:rPr>
                <w:sz w:val="20"/>
                <w:szCs w:val="20"/>
              </w:rPr>
              <w:t xml:space="preserve"> (1); F-box/</w:t>
            </w:r>
            <w:proofErr w:type="spellStart"/>
            <w:r>
              <w:rPr>
                <w:sz w:val="20"/>
                <w:szCs w:val="20"/>
              </w:rPr>
              <w:t>kelch</w:t>
            </w:r>
            <w:proofErr w:type="spellEnd"/>
            <w:r>
              <w:rPr>
                <w:sz w:val="20"/>
                <w:szCs w:val="20"/>
              </w:rPr>
              <w:t xml:space="preserve">-repeat protein At4g19870, </w:t>
            </w:r>
            <w:proofErr w:type="spellStart"/>
            <w:r>
              <w:rPr>
                <w:sz w:val="20"/>
                <w:szCs w:val="20"/>
              </w:rPr>
              <w:t>Camelinaea</w:t>
            </w:r>
            <w:proofErr w:type="spellEnd"/>
            <w:r>
              <w:rPr>
                <w:sz w:val="20"/>
                <w:szCs w:val="20"/>
              </w:rPr>
              <w:t xml:space="preserve"> (6); Putative glycerol-3-phosphate transporter 2, Arabidopsis thaliana (4); 3-oxoacyl-[acyl-carrier-protein] synthase III, </w:t>
            </w:r>
            <w:proofErr w:type="spellStart"/>
            <w:r>
              <w:rPr>
                <w:sz w:val="20"/>
                <w:szCs w:val="20"/>
              </w:rPr>
              <w:t>chloroplastic</w:t>
            </w:r>
            <w:proofErr w:type="spellEnd"/>
            <w:r>
              <w:rPr>
                <w:sz w:val="20"/>
                <w:szCs w:val="20"/>
              </w:rPr>
              <w:t xml:space="preserve">, </w:t>
            </w:r>
            <w:proofErr w:type="spellStart"/>
            <w:r>
              <w:rPr>
                <w:sz w:val="20"/>
                <w:szCs w:val="20"/>
              </w:rPr>
              <w:t>Spinacia</w:t>
            </w:r>
            <w:proofErr w:type="spellEnd"/>
            <w:r>
              <w:rPr>
                <w:sz w:val="20"/>
                <w:szCs w:val="20"/>
              </w:rPr>
              <w:t xml:space="preserve"> </w:t>
            </w:r>
            <w:proofErr w:type="spellStart"/>
            <w:r>
              <w:rPr>
                <w:sz w:val="20"/>
                <w:szCs w:val="20"/>
              </w:rPr>
              <w:t>oleracea</w:t>
            </w:r>
            <w:proofErr w:type="spellEnd"/>
            <w:r>
              <w:rPr>
                <w:sz w:val="20"/>
                <w:szCs w:val="20"/>
              </w:rPr>
              <w:t xml:space="preserve"> (2)</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lastRenderedPageBreak/>
              <w:t>OX12</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(10)</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(10)</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UDP-glycosyltransferase 88B1, </w:t>
            </w:r>
            <w:proofErr w:type="spellStart"/>
            <w:r>
              <w:rPr>
                <w:sz w:val="20"/>
                <w:szCs w:val="20"/>
              </w:rPr>
              <w:t>Panicoideae</w:t>
            </w:r>
            <w:proofErr w:type="spellEnd"/>
            <w:r>
              <w:rPr>
                <w:sz w:val="20"/>
                <w:szCs w:val="20"/>
              </w:rPr>
              <w:t xml:space="preserve"> (1)</w:t>
            </w:r>
          </w:p>
        </w:tc>
        <w:tc>
          <w:tcPr>
            <w:tcW w:w="342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UDP-glycosyltransferase 88B1, </w:t>
            </w:r>
            <w:proofErr w:type="spellStart"/>
            <w:r>
              <w:rPr>
                <w:sz w:val="20"/>
                <w:szCs w:val="20"/>
              </w:rPr>
              <w:t>Panicoideae</w:t>
            </w:r>
            <w:proofErr w:type="spellEnd"/>
            <w:r>
              <w:rPr>
                <w:sz w:val="20"/>
                <w:szCs w:val="20"/>
              </w:rPr>
              <w:t xml:space="preserve"> (1)</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3DT26 (CS5)</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3DT21 (CS6)</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(16)</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Bovidae</w:t>
            </w:r>
            <w:proofErr w:type="spellEnd"/>
            <w:r>
              <w:rPr>
                <w:sz w:val="20"/>
                <w:szCs w:val="20"/>
              </w:rPr>
              <w:t xml:space="preserve"> (16)</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1-aminocyclopropane-1-carboxylate oxidase 4, </w:t>
            </w:r>
            <w:proofErr w:type="spellStart"/>
            <w:r>
              <w:rPr>
                <w:sz w:val="20"/>
                <w:szCs w:val="20"/>
              </w:rPr>
              <w:t>Camelineae</w:t>
            </w:r>
            <w:proofErr w:type="spellEnd"/>
            <w:r>
              <w:rPr>
                <w:sz w:val="20"/>
                <w:szCs w:val="20"/>
              </w:rPr>
              <w:t xml:space="preserve"> (7)</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74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6DT3 (CS7)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Pr="0077320C" w:rsidRDefault="009E3091">
            <w:pPr>
              <w:spacing w:after="0" w:line="276" w:lineRule="auto"/>
              <w:jc w:val="left"/>
              <w:rPr>
                <w:sz w:val="20"/>
                <w:szCs w:val="20"/>
                <w:lang w:val="de-DE"/>
              </w:rPr>
            </w:pPr>
            <w:r w:rsidRPr="0077320C">
              <w:rPr>
                <w:sz w:val="20"/>
                <w:szCs w:val="20"/>
                <w:lang w:val="de-DE"/>
              </w:rPr>
              <w:t>Glyceraldehyde-3-phosphate dehydrogenase 2, Agaricus bisporus (3); Protein MRG2, Brassicaceae (3)</w:t>
            </w:r>
          </w:p>
        </w:tc>
        <w:tc>
          <w:tcPr>
            <w:tcW w:w="3420"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Beta-</w:t>
            </w:r>
            <w:proofErr w:type="spellStart"/>
            <w:r>
              <w:rPr>
                <w:sz w:val="20"/>
                <w:szCs w:val="20"/>
              </w:rPr>
              <w:t>lactoglobulin</w:t>
            </w:r>
            <w:proofErr w:type="spellEnd"/>
            <w:r>
              <w:rPr>
                <w:sz w:val="20"/>
                <w:szCs w:val="20"/>
              </w:rPr>
              <w:t xml:space="preserve">, </w:t>
            </w:r>
            <w:proofErr w:type="spellStart"/>
            <w:r>
              <w:rPr>
                <w:sz w:val="20"/>
                <w:szCs w:val="20"/>
              </w:rPr>
              <w:t>Bovinae</w:t>
            </w:r>
            <w:proofErr w:type="spellEnd"/>
            <w:r>
              <w:rPr>
                <w:sz w:val="20"/>
                <w:szCs w:val="20"/>
              </w:rPr>
              <w:t xml:space="preserve"> (4)</w:t>
            </w: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6DT7(CS8)</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proofErr w:type="spellStart"/>
            <w:r>
              <w:rPr>
                <w:sz w:val="20"/>
                <w:szCs w:val="20"/>
              </w:rPr>
              <w:t>Taxadiene</w:t>
            </w:r>
            <w:proofErr w:type="spellEnd"/>
            <w:r>
              <w:rPr>
                <w:sz w:val="20"/>
                <w:szCs w:val="20"/>
              </w:rPr>
              <w:t xml:space="preserve"> synthase, </w:t>
            </w:r>
            <w:proofErr w:type="spellStart"/>
            <w:r>
              <w:rPr>
                <w:sz w:val="20"/>
                <w:szCs w:val="20"/>
              </w:rPr>
              <w:t>Taxus</w:t>
            </w:r>
            <w:proofErr w:type="spellEnd"/>
            <w:r>
              <w:rPr>
                <w:sz w:val="20"/>
                <w:szCs w:val="20"/>
              </w:rPr>
              <w:t xml:space="preserve"> (1)</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6DT21 (CS9)</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HE1987</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Retinoid </w:t>
            </w:r>
            <w:proofErr w:type="spellStart"/>
            <w:r>
              <w:rPr>
                <w:sz w:val="20"/>
                <w:szCs w:val="20"/>
              </w:rPr>
              <w:t>isomerohydrolase</w:t>
            </w:r>
            <w:proofErr w:type="spellEnd"/>
            <w:r>
              <w:rPr>
                <w:sz w:val="20"/>
                <w:szCs w:val="20"/>
              </w:rPr>
              <w:t xml:space="preserve">, </w:t>
            </w:r>
            <w:proofErr w:type="spellStart"/>
            <w:r>
              <w:rPr>
                <w:sz w:val="20"/>
                <w:szCs w:val="20"/>
              </w:rPr>
              <w:t>Cyprinidae</w:t>
            </w:r>
            <w:proofErr w:type="spellEnd"/>
            <w:r>
              <w:rPr>
                <w:sz w:val="20"/>
                <w:szCs w:val="20"/>
              </w:rPr>
              <w:t xml:space="preserve"> (1)</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r w:rsidR="003A02DA">
        <w:trPr>
          <w:trHeight w:val="520"/>
        </w:trPr>
        <w:tc>
          <w:tcPr>
            <w:tcW w:w="14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HE2000</w:t>
            </w:r>
          </w:p>
        </w:tc>
        <w:tc>
          <w:tcPr>
            <w:tcW w:w="165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Roman Period</w:t>
            </w:r>
          </w:p>
        </w:tc>
        <w:tc>
          <w:tcPr>
            <w:tcW w:w="3285"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3A02DA" w:rsidRDefault="009E3091">
            <w:pPr>
              <w:spacing w:after="0" w:line="276" w:lineRule="auto"/>
              <w:jc w:val="left"/>
              <w:rPr>
                <w:sz w:val="20"/>
                <w:szCs w:val="20"/>
              </w:rPr>
            </w:pPr>
            <w:r>
              <w:rPr>
                <w:sz w:val="20"/>
                <w:szCs w:val="20"/>
              </w:rPr>
              <w:t xml:space="preserve">Bradykinin-potentiating peptide 11i, </w:t>
            </w:r>
            <w:proofErr w:type="spellStart"/>
            <w:r>
              <w:rPr>
                <w:sz w:val="20"/>
                <w:szCs w:val="20"/>
              </w:rPr>
              <w:t>Bothrops</w:t>
            </w:r>
            <w:proofErr w:type="spellEnd"/>
            <w:r>
              <w:rPr>
                <w:sz w:val="20"/>
                <w:szCs w:val="20"/>
              </w:rPr>
              <w:t xml:space="preserve"> </w:t>
            </w:r>
            <w:proofErr w:type="spellStart"/>
            <w:r>
              <w:rPr>
                <w:sz w:val="20"/>
                <w:szCs w:val="20"/>
              </w:rPr>
              <w:t>jararaca</w:t>
            </w:r>
            <w:proofErr w:type="spellEnd"/>
            <w:r>
              <w:rPr>
                <w:sz w:val="20"/>
                <w:szCs w:val="20"/>
              </w:rPr>
              <w:t xml:space="preserve"> (1); Steroid 21-hydroxylase, </w:t>
            </w:r>
            <w:proofErr w:type="spellStart"/>
            <w:r>
              <w:rPr>
                <w:sz w:val="20"/>
                <w:szCs w:val="20"/>
              </w:rPr>
              <w:t>Felinae</w:t>
            </w:r>
            <w:proofErr w:type="spellEnd"/>
            <w:r>
              <w:rPr>
                <w:sz w:val="20"/>
                <w:szCs w:val="20"/>
              </w:rPr>
              <w:t xml:space="preserve"> (2)</w:t>
            </w:r>
          </w:p>
        </w:tc>
        <w:tc>
          <w:tcPr>
            <w:tcW w:w="34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3A02DA" w:rsidRDefault="003A02DA">
            <w:pPr>
              <w:spacing w:after="0" w:line="276" w:lineRule="auto"/>
              <w:jc w:val="left"/>
              <w:rPr>
                <w:sz w:val="20"/>
                <w:szCs w:val="20"/>
              </w:rPr>
            </w:pPr>
          </w:p>
        </w:tc>
      </w:tr>
    </w:tbl>
    <w:p w:rsidR="003A02DA" w:rsidRDefault="009E3091">
      <w:pPr>
        <w:spacing w:after="0" w:line="276" w:lineRule="auto"/>
        <w:jc w:val="left"/>
      </w:pPr>
      <w:r>
        <w:t xml:space="preserve"> </w:t>
      </w:r>
    </w:p>
    <w:p w:rsidR="003A02DA" w:rsidRDefault="003A02DA">
      <w:pPr>
        <w:spacing w:after="0" w:line="276" w:lineRule="auto"/>
        <w:ind w:left="720" w:hanging="360"/>
        <w:jc w:val="left"/>
        <w:rPr>
          <w:b/>
        </w:rPr>
      </w:pPr>
    </w:p>
    <w:p w:rsidR="003A02DA" w:rsidRDefault="009E3091">
      <w:pPr>
        <w:widowControl w:val="0"/>
        <w:pBdr>
          <w:top w:val="nil"/>
          <w:left w:val="nil"/>
          <w:bottom w:val="nil"/>
          <w:right w:val="nil"/>
          <w:between w:val="nil"/>
        </w:pBdr>
        <w:spacing w:after="0" w:line="276" w:lineRule="auto"/>
        <w:jc w:val="left"/>
        <w:rPr>
          <w:b/>
        </w:rPr>
        <w:sectPr w:rsidR="003A02DA">
          <w:type w:val="continuous"/>
          <w:pgSz w:w="12240" w:h="15840"/>
          <w:pgMar w:top="1440" w:right="1440" w:bottom="1440" w:left="1440" w:header="360" w:footer="720" w:gutter="0"/>
          <w:cols w:space="720"/>
        </w:sectPr>
      </w:pPr>
      <w:r>
        <w:br w:type="page"/>
      </w:r>
    </w:p>
    <w:p w:rsidR="003A02DA" w:rsidRDefault="003A02DA">
      <w:pPr>
        <w:spacing w:after="0" w:line="276" w:lineRule="auto"/>
        <w:jc w:val="left"/>
      </w:pPr>
    </w:p>
    <w:p w:rsidR="003A02DA" w:rsidRDefault="003A02DA">
      <w:pPr>
        <w:spacing w:after="0" w:line="276" w:lineRule="auto"/>
        <w:jc w:val="left"/>
      </w:pPr>
    </w:p>
    <w:p w:rsidR="003A02DA" w:rsidRDefault="009E3091">
      <w:pPr>
        <w:spacing w:after="0" w:line="276" w:lineRule="auto"/>
        <w:jc w:val="left"/>
      </w:pPr>
      <w:r>
        <w:rPr>
          <w:noProof/>
          <w:lang w:val="de-DE"/>
        </w:rPr>
        <w:drawing>
          <wp:inline distT="114300" distB="114300" distL="114300" distR="114300">
            <wp:extent cx="5943600" cy="4038600"/>
            <wp:effectExtent l="0" t="0" r="0" b="0"/>
            <wp:docPr id="1" name="image4.png" descr="Supplementary Figure GASP and FASP.png"/>
            <wp:cNvGraphicFramePr/>
            <a:graphic xmlns:a="http://schemas.openxmlformats.org/drawingml/2006/main">
              <a:graphicData uri="http://schemas.openxmlformats.org/drawingml/2006/picture">
                <pic:pic xmlns:pic="http://schemas.openxmlformats.org/drawingml/2006/picture">
                  <pic:nvPicPr>
                    <pic:cNvPr id="0" name="image4.png" descr="Supplementary Figure GASP and FASP.png"/>
                    <pic:cNvPicPr preferRelativeResize="0"/>
                  </pic:nvPicPr>
                  <pic:blipFill>
                    <a:blip r:embed="rId21"/>
                    <a:srcRect/>
                    <a:stretch>
                      <a:fillRect/>
                    </a:stretch>
                  </pic:blipFill>
                  <pic:spPr>
                    <a:xfrm>
                      <a:off x="0" y="0"/>
                      <a:ext cx="5943600" cy="4038600"/>
                    </a:xfrm>
                    <a:prstGeom prst="rect">
                      <a:avLst/>
                    </a:prstGeom>
                    <a:ln/>
                  </pic:spPr>
                </pic:pic>
              </a:graphicData>
            </a:graphic>
          </wp:inline>
        </w:drawing>
      </w:r>
    </w:p>
    <w:p w:rsidR="003A02DA" w:rsidRDefault="009E3091">
      <w:pPr>
        <w:spacing w:after="0" w:line="276" w:lineRule="auto"/>
        <w:jc w:val="left"/>
      </w:pPr>
      <w:r>
        <w:rPr>
          <w:b/>
        </w:rPr>
        <w:t>5. SI Figure 1.</w:t>
      </w:r>
      <w:r>
        <w:t xml:space="preserve"> Relationship between </w:t>
      </w:r>
      <w:proofErr w:type="gramStart"/>
      <w:r>
        <w:t>quantity(</w:t>
      </w:r>
      <w:proofErr w:type="gramEnd"/>
      <w:r>
        <w:t xml:space="preserve">mg) of starting material and number of identified proteins. Pearson's product-moment correlation displayed no significant correlation between starting weight and total number of identified proteins in either ancient samples extracted with either the FASP (r(38)=0.056, p=0.74) or GASP (r(52)=-0.057, p=0.686) method. </w:t>
      </w:r>
      <w:r>
        <w:br w:type="page"/>
      </w:r>
    </w:p>
    <w:p w:rsidR="003A02DA" w:rsidRDefault="003A02DA">
      <w:pPr>
        <w:spacing w:after="0" w:line="276" w:lineRule="auto"/>
        <w:jc w:val="left"/>
      </w:pPr>
    </w:p>
    <w:p w:rsidR="003A02DA" w:rsidRDefault="003A02DA">
      <w:pPr>
        <w:spacing w:after="0" w:line="276" w:lineRule="auto"/>
        <w:jc w:val="left"/>
      </w:pPr>
    </w:p>
    <w:p w:rsidR="003A02DA" w:rsidRDefault="009E3091">
      <w:pPr>
        <w:spacing w:after="0" w:line="276" w:lineRule="auto"/>
        <w:jc w:val="left"/>
      </w:pPr>
      <w:r>
        <w:rPr>
          <w:noProof/>
          <w:lang w:val="de-DE"/>
        </w:rPr>
        <w:drawing>
          <wp:inline distT="114300" distB="114300" distL="114300" distR="114300">
            <wp:extent cx="5734050" cy="1895475"/>
            <wp:effectExtent l="0" t="0" r="0" b="0"/>
            <wp:docPr id="3" name="image7.png" descr="Amylase.png"/>
            <wp:cNvGraphicFramePr/>
            <a:graphic xmlns:a="http://schemas.openxmlformats.org/drawingml/2006/main">
              <a:graphicData uri="http://schemas.openxmlformats.org/drawingml/2006/picture">
                <pic:pic xmlns:pic="http://schemas.openxmlformats.org/drawingml/2006/picture">
                  <pic:nvPicPr>
                    <pic:cNvPr id="0" name="image7.png" descr="Amylase.png"/>
                    <pic:cNvPicPr preferRelativeResize="0"/>
                  </pic:nvPicPr>
                  <pic:blipFill>
                    <a:blip r:embed="rId22"/>
                    <a:srcRect t="25720" b="30155"/>
                    <a:stretch>
                      <a:fillRect/>
                    </a:stretch>
                  </pic:blipFill>
                  <pic:spPr>
                    <a:xfrm>
                      <a:off x="0" y="0"/>
                      <a:ext cx="5734050" cy="1895475"/>
                    </a:xfrm>
                    <a:prstGeom prst="rect">
                      <a:avLst/>
                    </a:prstGeom>
                    <a:ln/>
                  </pic:spPr>
                </pic:pic>
              </a:graphicData>
            </a:graphic>
          </wp:inline>
        </w:drawing>
      </w:r>
    </w:p>
    <w:p w:rsidR="003A02DA" w:rsidRDefault="009E3091">
      <w:pPr>
        <w:spacing w:after="0" w:line="276" w:lineRule="auto"/>
        <w:jc w:val="left"/>
      </w:pPr>
      <w:r>
        <w:rPr>
          <w:b/>
        </w:rPr>
        <w:t>6. SI Figure 2.</w:t>
      </w:r>
      <w:r>
        <w:t xml:space="preserve"> Bar chart displaying the mean frequency of alpha-amylase 1 peptides in dental calculus for archeological and modern individuals (A, raw counts and B, as a proportion of total identified peptides). Error bars indicate 95% confidence intervals. </w:t>
      </w:r>
    </w:p>
    <w:p w:rsidR="003A02DA" w:rsidRDefault="003A02DA">
      <w:pPr>
        <w:spacing w:after="0" w:line="276" w:lineRule="auto"/>
        <w:jc w:val="left"/>
      </w:pPr>
    </w:p>
    <w:p w:rsidR="003A02DA" w:rsidRDefault="003A02DA">
      <w:pPr>
        <w:spacing w:after="0" w:line="276" w:lineRule="auto"/>
        <w:jc w:val="left"/>
      </w:pPr>
    </w:p>
    <w:p w:rsidR="003A02DA" w:rsidRDefault="009E3091">
      <w:pPr>
        <w:spacing w:after="0" w:line="276" w:lineRule="auto"/>
        <w:jc w:val="left"/>
      </w:pPr>
      <w:r>
        <w:rPr>
          <w:noProof/>
          <w:lang w:val="de-DE"/>
        </w:rPr>
        <w:drawing>
          <wp:inline distT="114300" distB="114300" distL="114300" distR="114300">
            <wp:extent cx="2943225" cy="2095500"/>
            <wp:effectExtent l="0" t="0" r="0" b="0"/>
            <wp:docPr id="2" name="image5.png" descr="FASPGASP.png"/>
            <wp:cNvGraphicFramePr/>
            <a:graphic xmlns:a="http://schemas.openxmlformats.org/drawingml/2006/main">
              <a:graphicData uri="http://schemas.openxmlformats.org/drawingml/2006/picture">
                <pic:pic xmlns:pic="http://schemas.openxmlformats.org/drawingml/2006/picture">
                  <pic:nvPicPr>
                    <pic:cNvPr id="0" name="image5.png" descr="FASPGASP.png"/>
                    <pic:cNvPicPr preferRelativeResize="0"/>
                  </pic:nvPicPr>
                  <pic:blipFill>
                    <a:blip r:embed="rId23"/>
                    <a:srcRect/>
                    <a:stretch>
                      <a:fillRect/>
                    </a:stretch>
                  </pic:blipFill>
                  <pic:spPr>
                    <a:xfrm>
                      <a:off x="0" y="0"/>
                      <a:ext cx="2943225" cy="2095500"/>
                    </a:xfrm>
                    <a:prstGeom prst="rect">
                      <a:avLst/>
                    </a:prstGeom>
                    <a:ln/>
                  </pic:spPr>
                </pic:pic>
              </a:graphicData>
            </a:graphic>
          </wp:inline>
        </w:drawing>
      </w:r>
    </w:p>
    <w:p w:rsidR="003A02DA" w:rsidRDefault="003A02DA">
      <w:pPr>
        <w:spacing w:after="0" w:line="276" w:lineRule="auto"/>
        <w:jc w:val="left"/>
      </w:pPr>
    </w:p>
    <w:p w:rsidR="003A02DA" w:rsidRDefault="003A02DA">
      <w:pPr>
        <w:spacing w:after="0" w:line="276" w:lineRule="auto"/>
        <w:jc w:val="left"/>
      </w:pPr>
    </w:p>
    <w:p w:rsidR="003A02DA" w:rsidRDefault="009E3091">
      <w:pPr>
        <w:spacing w:after="0" w:line="276" w:lineRule="auto"/>
        <w:jc w:val="left"/>
      </w:pPr>
      <w:r>
        <w:rPr>
          <w:b/>
        </w:rPr>
        <w:t>7. SI Figure 3.</w:t>
      </w:r>
      <w:r>
        <w:t xml:space="preserve"> Comparison of FASP and GASP extracts pooled from two modern dental calculus samples (1004, 1010). Data was generated by searched </w:t>
      </w:r>
      <w:proofErr w:type="spellStart"/>
      <w:r>
        <w:t>mzIdentML</w:t>
      </w:r>
      <w:proofErr w:type="spellEnd"/>
      <w:r>
        <w:t xml:space="preserve"> files in Mascot against the </w:t>
      </w:r>
      <w:proofErr w:type="spellStart"/>
      <w:r>
        <w:t>UniProt</w:t>
      </w:r>
      <w:proofErr w:type="spellEnd"/>
      <w:r>
        <w:t xml:space="preserve"> database in Scaffold (Proteome Software Inc.). Protein identifications were generated with a protein threshold of 99.0%, a peptide threshold of 95% and with a minimum of two peptides. FASP and GASP generated files were pooled in two biological categories and counts of individual proteins compared. </w:t>
      </w:r>
    </w:p>
    <w:p w:rsidR="003A02DA" w:rsidRDefault="003A02DA">
      <w:pPr>
        <w:spacing w:line="276" w:lineRule="auto"/>
        <w:jc w:val="left"/>
      </w:pPr>
    </w:p>
    <w:p w:rsidR="00236A06" w:rsidRDefault="00236A06">
      <w:pPr>
        <w:spacing w:line="276" w:lineRule="auto"/>
        <w:jc w:val="left"/>
        <w:rPr>
          <w:b/>
        </w:rPr>
      </w:pPr>
    </w:p>
    <w:p w:rsidR="00236A06" w:rsidRDefault="00236A06">
      <w:pPr>
        <w:spacing w:line="276" w:lineRule="auto"/>
        <w:jc w:val="left"/>
        <w:rPr>
          <w:b/>
        </w:rPr>
      </w:pPr>
    </w:p>
    <w:p w:rsidR="00236A06" w:rsidRDefault="00236A06">
      <w:pPr>
        <w:spacing w:line="276" w:lineRule="auto"/>
        <w:jc w:val="left"/>
        <w:rPr>
          <w:b/>
        </w:rPr>
      </w:pPr>
    </w:p>
    <w:p w:rsidR="00236A06" w:rsidRPr="00236A06" w:rsidRDefault="00236A06">
      <w:pPr>
        <w:spacing w:line="276" w:lineRule="auto"/>
        <w:jc w:val="left"/>
        <w:rPr>
          <w:b/>
        </w:rPr>
      </w:pPr>
      <w:r>
        <w:rPr>
          <w:b/>
        </w:rPr>
        <w:lastRenderedPageBreak/>
        <w:t>References</w:t>
      </w:r>
    </w:p>
    <w:p w:rsidR="003A02DA" w:rsidRDefault="009E3091">
      <w:pPr>
        <w:widowControl w:val="0"/>
        <w:pBdr>
          <w:top w:val="nil"/>
          <w:left w:val="nil"/>
          <w:bottom w:val="nil"/>
          <w:right w:val="nil"/>
          <w:between w:val="nil"/>
        </w:pBdr>
        <w:spacing w:before="220" w:after="220" w:line="240" w:lineRule="auto"/>
        <w:ind w:left="440" w:hanging="440"/>
        <w:jc w:val="left"/>
        <w:rPr>
          <w:color w:val="000000"/>
          <w:sz w:val="22"/>
          <w:szCs w:val="22"/>
        </w:rPr>
      </w:pPr>
      <w:r>
        <w:rPr>
          <w:color w:val="000000"/>
          <w:sz w:val="22"/>
          <w:szCs w:val="22"/>
        </w:rPr>
        <w:t>1.</w:t>
      </w:r>
      <w:r>
        <w:rPr>
          <w:color w:val="000000"/>
          <w:sz w:val="22"/>
          <w:szCs w:val="22"/>
        </w:rPr>
        <w:tab/>
      </w:r>
      <w:hyperlink r:id="rId24">
        <w:r>
          <w:rPr>
            <w:color w:val="000000"/>
            <w:sz w:val="22"/>
            <w:szCs w:val="22"/>
          </w:rPr>
          <w:t xml:space="preserve">Warinner C </w:t>
        </w:r>
      </w:hyperlink>
      <w:hyperlink r:id="rId25">
        <w:r>
          <w:rPr>
            <w:i/>
            <w:color w:val="000000"/>
            <w:sz w:val="22"/>
            <w:szCs w:val="22"/>
          </w:rPr>
          <w:t>et al.</w:t>
        </w:r>
      </w:hyperlink>
      <w:hyperlink r:id="rId26">
        <w:r>
          <w:rPr>
            <w:color w:val="000000"/>
            <w:sz w:val="22"/>
            <w:szCs w:val="22"/>
          </w:rPr>
          <w:t xml:space="preserve"> </w:t>
        </w:r>
        <w:proofErr w:type="gramStart"/>
        <w:r>
          <w:rPr>
            <w:color w:val="000000"/>
            <w:sz w:val="22"/>
            <w:szCs w:val="22"/>
          </w:rPr>
          <w:t>2014 Direct evidence of milk consumption from ancient human dental calculus.</w:t>
        </w:r>
        <w:proofErr w:type="gramEnd"/>
        <w:r>
          <w:rPr>
            <w:color w:val="000000"/>
            <w:sz w:val="22"/>
            <w:szCs w:val="22"/>
          </w:rPr>
          <w:t xml:space="preserve"> </w:t>
        </w:r>
      </w:hyperlink>
      <w:hyperlink r:id="rId27">
        <w:proofErr w:type="gramStart"/>
        <w:r>
          <w:rPr>
            <w:i/>
            <w:color w:val="000000"/>
            <w:sz w:val="22"/>
            <w:szCs w:val="22"/>
          </w:rPr>
          <w:t>Sci. Rep.</w:t>
        </w:r>
      </w:hyperlink>
      <w:hyperlink r:id="rId28">
        <w:r>
          <w:rPr>
            <w:color w:val="000000"/>
            <w:sz w:val="22"/>
            <w:szCs w:val="22"/>
          </w:rPr>
          <w:t xml:space="preserve"> </w:t>
        </w:r>
      </w:hyperlink>
      <w:hyperlink r:id="rId29">
        <w:r>
          <w:rPr>
            <w:b/>
            <w:color w:val="000000"/>
            <w:sz w:val="22"/>
            <w:szCs w:val="22"/>
          </w:rPr>
          <w:t>4</w:t>
        </w:r>
      </w:hyperlink>
      <w:hyperlink r:id="rId30">
        <w:r>
          <w:rPr>
            <w:color w:val="000000"/>
            <w:sz w:val="22"/>
            <w:szCs w:val="22"/>
          </w:rPr>
          <w:t>, 7104.</w:t>
        </w:r>
        <w:proofErr w:type="gramEnd"/>
      </w:hyperlink>
    </w:p>
    <w:p w:rsidR="003A02DA" w:rsidRDefault="009E3091">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2.</w:t>
      </w:r>
      <w:r>
        <w:rPr>
          <w:color w:val="000000"/>
          <w:sz w:val="22"/>
          <w:szCs w:val="22"/>
        </w:rPr>
        <w:tab/>
      </w:r>
      <w:hyperlink r:id="rId31">
        <w:r>
          <w:rPr>
            <w:color w:val="000000"/>
            <w:sz w:val="22"/>
            <w:szCs w:val="22"/>
          </w:rPr>
          <w:t xml:space="preserve">Warinner C </w:t>
        </w:r>
      </w:hyperlink>
      <w:hyperlink r:id="rId32">
        <w:r>
          <w:rPr>
            <w:i/>
            <w:color w:val="000000"/>
            <w:sz w:val="22"/>
            <w:szCs w:val="22"/>
          </w:rPr>
          <w:t>et al.</w:t>
        </w:r>
      </w:hyperlink>
      <w:hyperlink r:id="rId33">
        <w:r>
          <w:rPr>
            <w:color w:val="000000"/>
            <w:sz w:val="22"/>
            <w:szCs w:val="22"/>
          </w:rPr>
          <w:t xml:space="preserve"> 2014 Pathogens and host immunity in the ancient human oral cavity. </w:t>
        </w:r>
      </w:hyperlink>
      <w:hyperlink r:id="rId34">
        <w:r>
          <w:rPr>
            <w:i/>
            <w:color w:val="000000"/>
            <w:sz w:val="22"/>
            <w:szCs w:val="22"/>
          </w:rPr>
          <w:t>Nat. Genet.</w:t>
        </w:r>
      </w:hyperlink>
      <w:hyperlink r:id="rId35">
        <w:r>
          <w:rPr>
            <w:color w:val="000000"/>
            <w:sz w:val="22"/>
            <w:szCs w:val="22"/>
          </w:rPr>
          <w:t xml:space="preserve"> </w:t>
        </w:r>
      </w:hyperlink>
      <w:hyperlink r:id="rId36">
        <w:r>
          <w:rPr>
            <w:b/>
            <w:color w:val="000000"/>
            <w:sz w:val="22"/>
            <w:szCs w:val="22"/>
          </w:rPr>
          <w:t>46</w:t>
        </w:r>
      </w:hyperlink>
      <w:hyperlink r:id="rId37">
        <w:r>
          <w:rPr>
            <w:color w:val="000000"/>
            <w:sz w:val="22"/>
            <w:szCs w:val="22"/>
          </w:rPr>
          <w:t>, 336–344.</w:t>
        </w:r>
      </w:hyperlink>
    </w:p>
    <w:p w:rsidR="003A02DA" w:rsidRDefault="009E3091">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3.</w:t>
      </w:r>
      <w:r>
        <w:rPr>
          <w:color w:val="000000"/>
          <w:sz w:val="22"/>
          <w:szCs w:val="22"/>
        </w:rPr>
        <w:tab/>
      </w:r>
      <w:hyperlink r:id="rId38">
        <w:r>
          <w:rPr>
            <w:color w:val="000000"/>
            <w:sz w:val="22"/>
            <w:szCs w:val="22"/>
          </w:rPr>
          <w:t xml:space="preserve">Fischer R, Kessler BM. 2015 Gel-aided sample preparation (GASP)--a simplified method for gel-assisted proteomic sample generation from protein extracts and intact cells. </w:t>
        </w:r>
      </w:hyperlink>
      <w:hyperlink r:id="rId39">
        <w:r>
          <w:rPr>
            <w:i/>
            <w:color w:val="000000"/>
            <w:sz w:val="22"/>
            <w:szCs w:val="22"/>
          </w:rPr>
          <w:t>Proteomics</w:t>
        </w:r>
      </w:hyperlink>
      <w:hyperlink r:id="rId40">
        <w:r>
          <w:rPr>
            <w:color w:val="000000"/>
            <w:sz w:val="22"/>
            <w:szCs w:val="22"/>
          </w:rPr>
          <w:t xml:space="preserve"> </w:t>
        </w:r>
      </w:hyperlink>
      <w:hyperlink r:id="rId41">
        <w:r>
          <w:rPr>
            <w:b/>
            <w:color w:val="000000"/>
            <w:sz w:val="22"/>
            <w:szCs w:val="22"/>
          </w:rPr>
          <w:t>15</w:t>
        </w:r>
      </w:hyperlink>
      <w:hyperlink r:id="rId42">
        <w:r>
          <w:rPr>
            <w:color w:val="000000"/>
            <w:sz w:val="22"/>
            <w:szCs w:val="22"/>
          </w:rPr>
          <w:t>, 1224–1229.</w:t>
        </w:r>
      </w:hyperlink>
    </w:p>
    <w:p w:rsidR="003A02DA" w:rsidRDefault="009E3091">
      <w:pPr>
        <w:widowControl w:val="0"/>
        <w:pBdr>
          <w:top w:val="nil"/>
          <w:left w:val="nil"/>
          <w:bottom w:val="nil"/>
          <w:right w:val="nil"/>
          <w:between w:val="nil"/>
        </w:pBdr>
        <w:spacing w:after="220" w:line="240" w:lineRule="auto"/>
        <w:ind w:left="440" w:hanging="440"/>
        <w:jc w:val="left"/>
        <w:rPr>
          <w:color w:val="000000"/>
          <w:sz w:val="22"/>
          <w:szCs w:val="22"/>
        </w:rPr>
      </w:pPr>
      <w:r>
        <w:rPr>
          <w:color w:val="000000"/>
          <w:sz w:val="22"/>
          <w:szCs w:val="22"/>
        </w:rPr>
        <w:t>4.</w:t>
      </w:r>
      <w:r>
        <w:rPr>
          <w:color w:val="000000"/>
          <w:sz w:val="22"/>
          <w:szCs w:val="22"/>
        </w:rPr>
        <w:tab/>
      </w:r>
      <w:hyperlink r:id="rId43">
        <w:r>
          <w:rPr>
            <w:color w:val="000000"/>
            <w:sz w:val="22"/>
            <w:szCs w:val="22"/>
          </w:rPr>
          <w:t xml:space="preserve">Hendy J, Welker F, Demarchi B, Speller C, Warinner C, Collins MJ. 2018 A guide to ancient protein studies. </w:t>
        </w:r>
      </w:hyperlink>
      <w:hyperlink r:id="rId44">
        <w:r>
          <w:rPr>
            <w:i/>
            <w:color w:val="000000"/>
            <w:sz w:val="22"/>
            <w:szCs w:val="22"/>
          </w:rPr>
          <w:t xml:space="preserve">Nat </w:t>
        </w:r>
        <w:proofErr w:type="spellStart"/>
        <w:r>
          <w:rPr>
            <w:i/>
            <w:color w:val="000000"/>
            <w:sz w:val="22"/>
            <w:szCs w:val="22"/>
          </w:rPr>
          <w:t>Ecol</w:t>
        </w:r>
        <w:proofErr w:type="spellEnd"/>
        <w:r>
          <w:rPr>
            <w:i/>
            <w:color w:val="000000"/>
            <w:sz w:val="22"/>
            <w:szCs w:val="22"/>
          </w:rPr>
          <w:t xml:space="preserve"> </w:t>
        </w:r>
        <w:proofErr w:type="spellStart"/>
        <w:r>
          <w:rPr>
            <w:i/>
            <w:color w:val="000000"/>
            <w:sz w:val="22"/>
            <w:szCs w:val="22"/>
          </w:rPr>
          <w:t>Evol</w:t>
        </w:r>
        <w:proofErr w:type="spellEnd"/>
      </w:hyperlink>
      <w:hyperlink r:id="rId45">
        <w:r>
          <w:rPr>
            <w:color w:val="000000"/>
            <w:sz w:val="22"/>
            <w:szCs w:val="22"/>
          </w:rPr>
          <w:t xml:space="preserve"> (doi</w:t>
        </w:r>
        <w:proofErr w:type="gramStart"/>
        <w:r>
          <w:rPr>
            <w:color w:val="000000"/>
            <w:sz w:val="22"/>
            <w:szCs w:val="22"/>
          </w:rPr>
          <w:t>:</w:t>
        </w:r>
        <w:proofErr w:type="gramEnd"/>
      </w:hyperlink>
      <w:hyperlink r:id="rId46">
        <w:r>
          <w:rPr>
            <w:color w:val="000000"/>
            <w:sz w:val="22"/>
            <w:szCs w:val="22"/>
          </w:rPr>
          <w:t>10.1038/s41559-018-0510-x</w:t>
        </w:r>
      </w:hyperlink>
      <w:hyperlink r:id="rId47">
        <w:r>
          <w:rPr>
            <w:color w:val="000000"/>
            <w:sz w:val="22"/>
            <w:szCs w:val="22"/>
          </w:rPr>
          <w:t>)</w:t>
        </w:r>
      </w:hyperlink>
    </w:p>
    <w:p w:rsidR="003A02DA" w:rsidRDefault="003A02DA">
      <w:pPr>
        <w:widowControl w:val="0"/>
        <w:pBdr>
          <w:top w:val="nil"/>
          <w:left w:val="nil"/>
          <w:bottom w:val="nil"/>
          <w:right w:val="nil"/>
          <w:between w:val="nil"/>
        </w:pBdr>
        <w:spacing w:after="0" w:line="276" w:lineRule="auto"/>
        <w:jc w:val="left"/>
      </w:pPr>
      <w:bookmarkStart w:id="5" w:name="_GoBack"/>
      <w:bookmarkEnd w:id="5"/>
    </w:p>
    <w:sectPr w:rsidR="003A02DA">
      <w:type w:val="continuous"/>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AE" w:rsidRDefault="001269AE">
      <w:pPr>
        <w:spacing w:after="0" w:line="240" w:lineRule="auto"/>
      </w:pPr>
      <w:r>
        <w:separator/>
      </w:r>
    </w:p>
  </w:endnote>
  <w:endnote w:type="continuationSeparator" w:id="0">
    <w:p w:rsidR="001269AE" w:rsidRDefault="0012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dobe Caslon Pro">
    <w:charset w:val="00"/>
    <w:family w:val="auto"/>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AE" w:rsidRDefault="001269AE">
      <w:pPr>
        <w:spacing w:after="0" w:line="240" w:lineRule="auto"/>
      </w:pPr>
      <w:r>
        <w:separator/>
      </w:r>
    </w:p>
  </w:footnote>
  <w:footnote w:type="continuationSeparator" w:id="0">
    <w:p w:rsidR="001269AE" w:rsidRDefault="0012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2DA" w:rsidRDefault="003A02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0536C"/>
    <w:multiLevelType w:val="multilevel"/>
    <w:tmpl w:val="47365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E2F2B00"/>
    <w:multiLevelType w:val="multilevel"/>
    <w:tmpl w:val="C3AA0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DC762C0"/>
    <w:multiLevelType w:val="multilevel"/>
    <w:tmpl w:val="63B444E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34A2F2E"/>
    <w:multiLevelType w:val="multilevel"/>
    <w:tmpl w:val="496A001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A02DA"/>
    <w:rsid w:val="0006680B"/>
    <w:rsid w:val="00124101"/>
    <w:rsid w:val="001269AE"/>
    <w:rsid w:val="0019503E"/>
    <w:rsid w:val="001D778C"/>
    <w:rsid w:val="001F24A8"/>
    <w:rsid w:val="002330E9"/>
    <w:rsid w:val="00236A06"/>
    <w:rsid w:val="003151C9"/>
    <w:rsid w:val="003319DE"/>
    <w:rsid w:val="003A02DA"/>
    <w:rsid w:val="003B3C83"/>
    <w:rsid w:val="003E175B"/>
    <w:rsid w:val="004214AB"/>
    <w:rsid w:val="004A490D"/>
    <w:rsid w:val="0077320C"/>
    <w:rsid w:val="008E678B"/>
    <w:rsid w:val="00930829"/>
    <w:rsid w:val="00990410"/>
    <w:rsid w:val="009E3091"/>
    <w:rsid w:val="00D363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de-D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left"/>
      <w:outlineLvl w:val="0"/>
    </w:pPr>
    <w:rPr>
      <w:b/>
    </w:rPr>
  </w:style>
  <w:style w:type="paragraph" w:styleId="Heading2">
    <w:name w:val="heading 2"/>
    <w:basedOn w:val="Normal"/>
    <w:next w:val="Normal"/>
    <w:pPr>
      <w:outlineLvl w:val="1"/>
    </w:pPr>
    <w:rPr>
      <w:i/>
    </w:rPr>
  </w:style>
  <w:style w:type="paragraph" w:styleId="Heading3">
    <w:name w:val="heading 3"/>
    <w:basedOn w:val="Normal"/>
    <w:next w:val="Normal"/>
    <w:pPr>
      <w:keepNext/>
      <w:keepLines/>
      <w:spacing w:before="200" w:after="120"/>
      <w:outlineLvl w:val="2"/>
    </w:pPr>
    <w:rPr>
      <w:i/>
    </w:rPr>
  </w:style>
  <w:style w:type="paragraph" w:styleId="Heading4">
    <w:name w:val="heading 4"/>
    <w:basedOn w:val="Normal"/>
    <w:next w:val="Normal"/>
    <w:pPr>
      <w:outlineLvl w:val="3"/>
    </w:pPr>
    <w:rPr>
      <w:i/>
    </w:rPr>
  </w:style>
  <w:style w:type="paragraph" w:styleId="Heading5">
    <w:name w:val="heading 5"/>
    <w:basedOn w:val="Normal"/>
    <w:next w:val="Normal"/>
    <w:pPr>
      <w:keepNext/>
      <w:keepLines/>
      <w:spacing w:before="240" w:after="60" w:line="240" w:lineRule="auto"/>
      <w:outlineLvl w:val="4"/>
    </w:pPr>
    <w:rPr>
      <w:rFonts w:ascii="Adobe Caslon Pro" w:eastAsia="Adobe Caslon Pro" w:hAnsi="Adobe Caslon Pro" w:cs="Adobe Caslon Pro"/>
      <w:i/>
      <w:sz w:val="20"/>
      <w:szCs w:val="20"/>
    </w:rPr>
  </w:style>
  <w:style w:type="paragraph" w:styleId="Heading6">
    <w:name w:val="heading 6"/>
    <w:basedOn w:val="Normal"/>
    <w:next w:val="Normal"/>
    <w:pPr>
      <w:keepNext/>
      <w:keepLines/>
      <w:spacing w:before="240" w:after="60" w:line="240" w:lineRule="auto"/>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de-DE"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left"/>
      <w:outlineLvl w:val="0"/>
    </w:pPr>
    <w:rPr>
      <w:b/>
    </w:rPr>
  </w:style>
  <w:style w:type="paragraph" w:styleId="Heading2">
    <w:name w:val="heading 2"/>
    <w:basedOn w:val="Normal"/>
    <w:next w:val="Normal"/>
    <w:pPr>
      <w:outlineLvl w:val="1"/>
    </w:pPr>
    <w:rPr>
      <w:i/>
    </w:rPr>
  </w:style>
  <w:style w:type="paragraph" w:styleId="Heading3">
    <w:name w:val="heading 3"/>
    <w:basedOn w:val="Normal"/>
    <w:next w:val="Normal"/>
    <w:pPr>
      <w:keepNext/>
      <w:keepLines/>
      <w:spacing w:before="200" w:after="120"/>
      <w:outlineLvl w:val="2"/>
    </w:pPr>
    <w:rPr>
      <w:i/>
    </w:rPr>
  </w:style>
  <w:style w:type="paragraph" w:styleId="Heading4">
    <w:name w:val="heading 4"/>
    <w:basedOn w:val="Normal"/>
    <w:next w:val="Normal"/>
    <w:pPr>
      <w:outlineLvl w:val="3"/>
    </w:pPr>
    <w:rPr>
      <w:i/>
    </w:rPr>
  </w:style>
  <w:style w:type="paragraph" w:styleId="Heading5">
    <w:name w:val="heading 5"/>
    <w:basedOn w:val="Normal"/>
    <w:next w:val="Normal"/>
    <w:pPr>
      <w:keepNext/>
      <w:keepLines/>
      <w:spacing w:before="240" w:after="60" w:line="240" w:lineRule="auto"/>
      <w:outlineLvl w:val="4"/>
    </w:pPr>
    <w:rPr>
      <w:rFonts w:ascii="Adobe Caslon Pro" w:eastAsia="Adobe Caslon Pro" w:hAnsi="Adobe Caslon Pro" w:cs="Adobe Caslon Pro"/>
      <w:i/>
      <w:sz w:val="20"/>
      <w:szCs w:val="20"/>
    </w:rPr>
  </w:style>
  <w:style w:type="paragraph" w:styleId="Heading6">
    <w:name w:val="heading 6"/>
    <w:basedOn w:val="Normal"/>
    <w:next w:val="Normal"/>
    <w:pPr>
      <w:keepNext/>
      <w:keepLines/>
      <w:spacing w:before="240" w:after="60" w:line="240" w:lineRule="auto"/>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3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paperpile.com/c/LiNijR/DNUE0/?noauthor=1" TargetMode="External"/><Relationship Id="rId18" Type="http://schemas.openxmlformats.org/officeDocument/2006/relationships/hyperlink" Target="https://paperpile.com/c/LiNijR/uHH3" TargetMode="External"/><Relationship Id="rId26" Type="http://schemas.openxmlformats.org/officeDocument/2006/relationships/hyperlink" Target="http://paperpile.com/b/LiNijR/DNUE0" TargetMode="External"/><Relationship Id="rId39" Type="http://schemas.openxmlformats.org/officeDocument/2006/relationships/hyperlink" Target="http://paperpile.com/b/LiNijR/283PW" TargetMode="External"/><Relationship Id="rId21" Type="http://schemas.openxmlformats.org/officeDocument/2006/relationships/image" Target="media/image2.png"/><Relationship Id="rId34" Type="http://schemas.openxmlformats.org/officeDocument/2006/relationships/hyperlink" Target="http://paperpile.com/b/LiNijR/ZVuQZ" TargetMode="External"/><Relationship Id="rId42" Type="http://schemas.openxmlformats.org/officeDocument/2006/relationships/hyperlink" Target="http://paperpile.com/b/LiNijR/283PW" TargetMode="External"/><Relationship Id="rId47" Type="http://schemas.openxmlformats.org/officeDocument/2006/relationships/hyperlink" Target="http://paperpile.com/b/LiNijR/uHH3"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aperpile.com/c/LiNijR/DNUE0" TargetMode="External"/><Relationship Id="rId29" Type="http://schemas.openxmlformats.org/officeDocument/2006/relationships/hyperlink" Target="http://paperpile.com/b/LiNijR/DNUE0" TargetMode="External"/><Relationship Id="rId11" Type="http://schemas.openxmlformats.org/officeDocument/2006/relationships/hyperlink" Target="https://paperpile.com/c/LiNijR/283PW/?noauthor=1" TargetMode="External"/><Relationship Id="rId24" Type="http://schemas.openxmlformats.org/officeDocument/2006/relationships/hyperlink" Target="http://paperpile.com/b/LiNijR/DNUE0" TargetMode="External"/><Relationship Id="rId32" Type="http://schemas.openxmlformats.org/officeDocument/2006/relationships/hyperlink" Target="http://paperpile.com/b/LiNijR/ZVuQZ" TargetMode="External"/><Relationship Id="rId37" Type="http://schemas.openxmlformats.org/officeDocument/2006/relationships/hyperlink" Target="http://paperpile.com/b/LiNijR/ZVuQZ" TargetMode="External"/><Relationship Id="rId40" Type="http://schemas.openxmlformats.org/officeDocument/2006/relationships/hyperlink" Target="http://paperpile.com/b/LiNijR/283PW" TargetMode="External"/><Relationship Id="rId45" Type="http://schemas.openxmlformats.org/officeDocument/2006/relationships/hyperlink" Target="http://paperpile.com/b/LiNijR/uHH3" TargetMode="External"/><Relationship Id="rId5" Type="http://schemas.openxmlformats.org/officeDocument/2006/relationships/settings" Target="settings.xml"/><Relationship Id="rId15" Type="http://schemas.openxmlformats.org/officeDocument/2006/relationships/hyperlink" Target="https://paperpile.com/c/LiNijR/DNUE0/?noauthor=1" TargetMode="External"/><Relationship Id="rId23" Type="http://schemas.openxmlformats.org/officeDocument/2006/relationships/image" Target="media/image4.png"/><Relationship Id="rId28" Type="http://schemas.openxmlformats.org/officeDocument/2006/relationships/hyperlink" Target="http://paperpile.com/b/LiNijR/DNUE0" TargetMode="External"/><Relationship Id="rId36" Type="http://schemas.openxmlformats.org/officeDocument/2006/relationships/hyperlink" Target="http://paperpile.com/b/LiNijR/ZVuQZ" TargetMode="External"/><Relationship Id="rId49" Type="http://schemas.openxmlformats.org/officeDocument/2006/relationships/theme" Target="theme/theme1.xml"/><Relationship Id="rId10" Type="http://schemas.openxmlformats.org/officeDocument/2006/relationships/hyperlink" Target="https://paperpile.com/c/LiNijR/DNUE0+ZVuQZ/?noauthor=1,1" TargetMode="External"/><Relationship Id="rId19" Type="http://schemas.openxmlformats.org/officeDocument/2006/relationships/header" Target="header1.xml"/><Relationship Id="rId31" Type="http://schemas.openxmlformats.org/officeDocument/2006/relationships/hyperlink" Target="http://paperpile.com/b/LiNijR/ZVuQZ" TargetMode="External"/><Relationship Id="rId44" Type="http://schemas.openxmlformats.org/officeDocument/2006/relationships/hyperlink" Target="http://paperpile.com/b/LiNijR/uHH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aperpile.com/c/LiNijR/283PW/?noauthor=1" TargetMode="External"/><Relationship Id="rId22" Type="http://schemas.openxmlformats.org/officeDocument/2006/relationships/image" Target="media/image3.png"/><Relationship Id="rId27" Type="http://schemas.openxmlformats.org/officeDocument/2006/relationships/hyperlink" Target="http://paperpile.com/b/LiNijR/DNUE0" TargetMode="External"/><Relationship Id="rId30" Type="http://schemas.openxmlformats.org/officeDocument/2006/relationships/hyperlink" Target="http://paperpile.com/b/LiNijR/DNUE0" TargetMode="External"/><Relationship Id="rId35" Type="http://schemas.openxmlformats.org/officeDocument/2006/relationships/hyperlink" Target="http://paperpile.com/b/LiNijR/ZVuQZ" TargetMode="External"/><Relationship Id="rId43" Type="http://schemas.openxmlformats.org/officeDocument/2006/relationships/hyperlink" Target="http://paperpile.com/b/LiNijR/uHH3"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paperpile.com/c/LiNijR/DNUE0/?noauthor=1" TargetMode="External"/><Relationship Id="rId17" Type="http://schemas.openxmlformats.org/officeDocument/2006/relationships/hyperlink" Target="https://paperpile.com/c/LiNijR/DNUE0/?noauthor=1" TargetMode="External"/><Relationship Id="rId25" Type="http://schemas.openxmlformats.org/officeDocument/2006/relationships/hyperlink" Target="http://paperpile.com/b/LiNijR/DNUE0" TargetMode="External"/><Relationship Id="rId33" Type="http://schemas.openxmlformats.org/officeDocument/2006/relationships/hyperlink" Target="http://paperpile.com/b/LiNijR/ZVuQZ" TargetMode="External"/><Relationship Id="rId38" Type="http://schemas.openxmlformats.org/officeDocument/2006/relationships/hyperlink" Target="http://paperpile.com/b/LiNijR/283PW" TargetMode="External"/><Relationship Id="rId46" Type="http://schemas.openxmlformats.org/officeDocument/2006/relationships/hyperlink" Target="http://dx.doi.org/10.1038/s41559-018-0510-x" TargetMode="External"/><Relationship Id="rId20" Type="http://schemas.openxmlformats.org/officeDocument/2006/relationships/hyperlink" Target="https://paperpile.com/c/LiNijR/DNUE0" TargetMode="External"/><Relationship Id="rId41" Type="http://schemas.openxmlformats.org/officeDocument/2006/relationships/hyperlink" Target="http://paperpile.com/b/LiNijR/283PW"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5D5A-9AF4-490F-AD88-C1CAE8C2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3167</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MPI Science of Human History</Company>
  <LinksUpToDate>false</LinksUpToDate>
  <CharactersWithSpaces>23080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Hendy</dc:creator>
  <cp:lastModifiedBy>Jessica Hendy</cp:lastModifiedBy>
  <cp:revision>3</cp:revision>
  <dcterms:created xsi:type="dcterms:W3CDTF">2018-04-17T14:38:00Z</dcterms:created>
  <dcterms:modified xsi:type="dcterms:W3CDTF">2018-06-18T10:34:00Z</dcterms:modified>
</cp:coreProperties>
</file>