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685" w:rsidRPr="00DA4685" w:rsidRDefault="00DA4685" w:rsidP="00DA4685">
      <w:pPr>
        <w:spacing w:after="0" w:line="480" w:lineRule="auto"/>
        <w:rPr>
          <w:rFonts w:ascii="Times New Roman" w:hAnsi="Times New Roman" w:cs="Times New Roman"/>
          <w:b/>
          <w:sz w:val="28"/>
          <w:szCs w:val="28"/>
        </w:rPr>
      </w:pPr>
      <w:r w:rsidRPr="00DA4685">
        <w:rPr>
          <w:rFonts w:ascii="Times New Roman" w:hAnsi="Times New Roman" w:cs="Times New Roman"/>
          <w:b/>
          <w:sz w:val="28"/>
          <w:szCs w:val="28"/>
        </w:rPr>
        <w:t>MRI changes in the thalamus and basal ganglia of full-term neonates with perinatal asphyxia</w:t>
      </w:r>
      <w:r w:rsidRPr="00DA4685">
        <w:rPr>
          <w:rFonts w:ascii="Times New Roman" w:hAnsi="Times New Roman" w:cs="Times New Roman"/>
          <w:b/>
          <w:sz w:val="28"/>
          <w:szCs w:val="28"/>
        </w:rPr>
        <w:t xml:space="preserve"> – Supplementary Material</w:t>
      </w:r>
    </w:p>
    <w:p w:rsidR="00DA4685" w:rsidRPr="00DA4685" w:rsidRDefault="00DA4685" w:rsidP="00DA4685">
      <w:pPr>
        <w:spacing w:after="0" w:line="480" w:lineRule="auto"/>
        <w:rPr>
          <w:rFonts w:ascii="Times New Roman" w:hAnsi="Times New Roman" w:cs="Times New Roman"/>
        </w:rPr>
      </w:pPr>
    </w:p>
    <w:p w:rsidR="00DA4685" w:rsidRPr="00DA4685" w:rsidRDefault="00DA4685" w:rsidP="00DA4685">
      <w:pPr>
        <w:spacing w:after="0" w:line="480" w:lineRule="auto"/>
        <w:rPr>
          <w:rFonts w:ascii="Times New Roman" w:hAnsi="Times New Roman" w:cs="Times New Roman"/>
        </w:rPr>
      </w:pPr>
      <w:r w:rsidRPr="00DA4685">
        <w:rPr>
          <w:rFonts w:ascii="Times New Roman" w:hAnsi="Times New Roman" w:cs="Times New Roman"/>
        </w:rPr>
        <w:t>Short title:</w:t>
      </w:r>
    </w:p>
    <w:p w:rsidR="00DA4685" w:rsidRPr="00DA4685" w:rsidRDefault="00DA4685" w:rsidP="00DA4685">
      <w:pPr>
        <w:spacing w:after="0" w:line="480" w:lineRule="auto"/>
        <w:rPr>
          <w:rFonts w:ascii="Times New Roman" w:hAnsi="Times New Roman" w:cs="Times New Roman"/>
          <w:b/>
        </w:rPr>
      </w:pPr>
      <w:r w:rsidRPr="00DA4685">
        <w:rPr>
          <w:rFonts w:ascii="Times New Roman" w:hAnsi="Times New Roman" w:cs="Times New Roman"/>
          <w:b/>
        </w:rPr>
        <w:t>Asphyxia and time of MRI changes</w:t>
      </w:r>
    </w:p>
    <w:p w:rsidR="00DA4685" w:rsidRPr="00DA4685" w:rsidRDefault="00DA4685" w:rsidP="00DA4685">
      <w:pPr>
        <w:spacing w:after="0" w:line="480" w:lineRule="auto"/>
        <w:rPr>
          <w:rFonts w:ascii="Times New Roman" w:hAnsi="Times New Roman" w:cs="Times New Roman"/>
        </w:rPr>
      </w:pPr>
    </w:p>
    <w:p w:rsidR="00DA4685" w:rsidRPr="00DA4685" w:rsidRDefault="00DA4685" w:rsidP="00DA4685">
      <w:pPr>
        <w:spacing w:after="0" w:line="480" w:lineRule="auto"/>
        <w:rPr>
          <w:rFonts w:ascii="Times New Roman" w:hAnsi="Times New Roman" w:cs="Times New Roman"/>
          <w:lang w:val="nl-NL"/>
        </w:rPr>
      </w:pPr>
      <w:r w:rsidRPr="00DA4685">
        <w:rPr>
          <w:rFonts w:ascii="Times New Roman" w:hAnsi="Times New Roman" w:cs="Times New Roman"/>
          <w:lang w:val="nl-NL"/>
        </w:rPr>
        <w:t>Ken Imai</w:t>
      </w:r>
      <w:r w:rsidRPr="00DA4685">
        <w:rPr>
          <w:rFonts w:ascii="Times New Roman" w:hAnsi="Times New Roman" w:cs="Times New Roman"/>
          <w:vertAlign w:val="superscript"/>
          <w:lang w:val="nl-NL"/>
        </w:rPr>
        <w:t>1,3</w:t>
      </w:r>
      <w:r w:rsidRPr="00DA4685">
        <w:rPr>
          <w:rFonts w:ascii="Times New Roman" w:hAnsi="Times New Roman" w:cs="Times New Roman"/>
          <w:lang w:val="nl-NL"/>
        </w:rPr>
        <w:t>,  Linda S. de Vries</w:t>
      </w:r>
      <w:bookmarkStart w:id="0" w:name="_Hlk489700572"/>
      <w:r w:rsidRPr="00DA4685">
        <w:rPr>
          <w:rFonts w:ascii="Times New Roman" w:hAnsi="Times New Roman" w:cs="Times New Roman"/>
          <w:vertAlign w:val="superscript"/>
          <w:lang w:val="nl-NL"/>
        </w:rPr>
        <w:t>1,2</w:t>
      </w:r>
      <w:bookmarkEnd w:id="0"/>
      <w:r w:rsidRPr="00DA4685">
        <w:rPr>
          <w:rFonts w:ascii="Times New Roman" w:hAnsi="Times New Roman" w:cs="Times New Roman"/>
          <w:lang w:val="nl-NL"/>
        </w:rPr>
        <w:t>,  Thomas Alderliesten</w:t>
      </w:r>
      <w:r w:rsidRPr="00DA4685">
        <w:rPr>
          <w:rFonts w:ascii="Times New Roman" w:hAnsi="Times New Roman" w:cs="Times New Roman"/>
          <w:vertAlign w:val="superscript"/>
          <w:lang w:val="nl-NL"/>
        </w:rPr>
        <w:t>1</w:t>
      </w:r>
      <w:r w:rsidRPr="00DA4685">
        <w:rPr>
          <w:rFonts w:ascii="Times New Roman" w:hAnsi="Times New Roman" w:cs="Times New Roman"/>
          <w:lang w:val="nl-NL"/>
        </w:rPr>
        <w:t>, Nienke Wagenaar</w:t>
      </w:r>
      <w:r w:rsidRPr="00DA4685">
        <w:rPr>
          <w:rFonts w:ascii="Times New Roman" w:hAnsi="Times New Roman" w:cs="Times New Roman"/>
          <w:vertAlign w:val="superscript"/>
          <w:lang w:val="nl-NL"/>
        </w:rPr>
        <w:t>1</w:t>
      </w:r>
      <w:r w:rsidRPr="00DA4685">
        <w:rPr>
          <w:rFonts w:ascii="Times New Roman" w:hAnsi="Times New Roman" w:cs="Times New Roman"/>
          <w:lang w:val="nl-NL"/>
        </w:rPr>
        <w:t>, Niek E. van der Aa</w:t>
      </w:r>
      <w:r w:rsidRPr="00DA4685">
        <w:rPr>
          <w:rFonts w:ascii="Times New Roman" w:hAnsi="Times New Roman" w:cs="Times New Roman"/>
          <w:vertAlign w:val="superscript"/>
          <w:lang w:val="nl-NL"/>
        </w:rPr>
        <w:t>1,2</w:t>
      </w:r>
      <w:r w:rsidRPr="00DA4685">
        <w:rPr>
          <w:rFonts w:ascii="Times New Roman" w:hAnsi="Times New Roman" w:cs="Times New Roman"/>
          <w:lang w:val="nl-NL"/>
        </w:rPr>
        <w:t>, Maarten H. Lequin</w:t>
      </w:r>
      <w:r w:rsidRPr="00DA4685">
        <w:rPr>
          <w:rFonts w:ascii="Times New Roman" w:hAnsi="Times New Roman" w:cs="Times New Roman"/>
          <w:vertAlign w:val="superscript"/>
          <w:lang w:val="nl-NL"/>
        </w:rPr>
        <w:t>4</w:t>
      </w:r>
      <w:r w:rsidRPr="00DA4685">
        <w:rPr>
          <w:rFonts w:ascii="Times New Roman" w:hAnsi="Times New Roman" w:cs="Times New Roman"/>
          <w:lang w:val="nl-NL"/>
        </w:rPr>
        <w:t>, Manon J.N.L. Benders</w:t>
      </w:r>
      <w:r w:rsidRPr="00DA4685">
        <w:rPr>
          <w:rFonts w:ascii="Times New Roman" w:hAnsi="Times New Roman" w:cs="Times New Roman"/>
          <w:vertAlign w:val="superscript"/>
          <w:lang w:val="nl-NL"/>
        </w:rPr>
        <w:t xml:space="preserve">1,2 </w:t>
      </w:r>
      <w:r w:rsidRPr="00DA4685">
        <w:rPr>
          <w:rFonts w:ascii="Times New Roman" w:hAnsi="Times New Roman" w:cs="Times New Roman"/>
          <w:lang w:val="nl-NL"/>
        </w:rPr>
        <w:t>, Ingrid C. van Haastert</w:t>
      </w:r>
      <w:r w:rsidRPr="00DA4685">
        <w:rPr>
          <w:rFonts w:ascii="Times New Roman" w:hAnsi="Times New Roman" w:cs="Times New Roman"/>
          <w:vertAlign w:val="superscript"/>
          <w:lang w:val="nl-NL"/>
        </w:rPr>
        <w:t>1</w:t>
      </w:r>
      <w:r w:rsidRPr="00DA4685">
        <w:rPr>
          <w:rFonts w:ascii="Times New Roman" w:hAnsi="Times New Roman" w:cs="Times New Roman"/>
          <w:lang w:val="nl-NL"/>
        </w:rPr>
        <w:t>, Floris Groenendaal</w:t>
      </w:r>
      <w:r w:rsidRPr="00DA4685">
        <w:rPr>
          <w:rFonts w:ascii="Times New Roman" w:hAnsi="Times New Roman" w:cs="Times New Roman"/>
          <w:vertAlign w:val="superscript"/>
          <w:lang w:val="nl-NL"/>
        </w:rPr>
        <w:t>1,2</w:t>
      </w:r>
      <w:r w:rsidRPr="00DA4685">
        <w:rPr>
          <w:rFonts w:ascii="Times New Roman" w:hAnsi="Times New Roman" w:cs="Times New Roman"/>
          <w:lang w:val="nl-NL"/>
        </w:rPr>
        <w:t xml:space="preserve"> </w:t>
      </w:r>
    </w:p>
    <w:p w:rsidR="00DA4685" w:rsidRPr="00DA4685" w:rsidRDefault="00DA4685" w:rsidP="00DA4685">
      <w:pPr>
        <w:spacing w:after="0" w:line="480" w:lineRule="auto"/>
        <w:rPr>
          <w:rFonts w:ascii="Times New Roman" w:hAnsi="Times New Roman" w:cs="Times New Roman"/>
          <w:lang w:val="nl-NL"/>
        </w:rPr>
      </w:pPr>
    </w:p>
    <w:p w:rsidR="00DA4685" w:rsidRPr="00DA4685" w:rsidRDefault="00DA4685" w:rsidP="00DA4685">
      <w:pPr>
        <w:spacing w:after="0" w:line="480" w:lineRule="auto"/>
        <w:rPr>
          <w:rFonts w:ascii="Times New Roman" w:hAnsi="Times New Roman" w:cs="Times New Roman"/>
        </w:rPr>
      </w:pPr>
      <w:r w:rsidRPr="00DA4685">
        <w:rPr>
          <w:rFonts w:ascii="Times New Roman" w:hAnsi="Times New Roman" w:cs="Times New Roman"/>
          <w:vertAlign w:val="superscript"/>
        </w:rPr>
        <w:t xml:space="preserve">1 </w:t>
      </w:r>
      <w:r w:rsidRPr="00DA4685">
        <w:rPr>
          <w:rFonts w:ascii="Times New Roman" w:hAnsi="Times New Roman" w:cs="Times New Roman"/>
        </w:rPr>
        <w:t>Department of Neonatology, Wilhelmina Children’s Hospital, University Medical Center Utrecht, Utrecht University, Utrecht, The Netherlands</w:t>
      </w:r>
    </w:p>
    <w:p w:rsidR="00DA4685" w:rsidRPr="00DA4685" w:rsidRDefault="00DA4685" w:rsidP="00DA4685">
      <w:pPr>
        <w:spacing w:after="0" w:line="480" w:lineRule="auto"/>
        <w:rPr>
          <w:rFonts w:ascii="Times New Roman" w:hAnsi="Times New Roman" w:cs="Times New Roman"/>
        </w:rPr>
      </w:pPr>
      <w:r w:rsidRPr="00DA4685">
        <w:rPr>
          <w:rFonts w:ascii="Times New Roman" w:hAnsi="Times New Roman" w:cs="Times New Roman"/>
          <w:vertAlign w:val="superscript"/>
        </w:rPr>
        <w:t xml:space="preserve">2 </w:t>
      </w:r>
      <w:r w:rsidRPr="00DA4685">
        <w:rPr>
          <w:rFonts w:ascii="Times New Roman" w:hAnsi="Times New Roman" w:cs="Times New Roman"/>
        </w:rPr>
        <w:t>Brain Center Rudolf Magnus, University Medical Center Utrecht, Utrecht University, Utrecht, The Netherlands</w:t>
      </w:r>
    </w:p>
    <w:p w:rsidR="00DA4685" w:rsidRPr="00DA4685" w:rsidRDefault="00DA4685" w:rsidP="00DA4685">
      <w:pPr>
        <w:spacing w:after="0" w:line="480" w:lineRule="auto"/>
        <w:rPr>
          <w:rFonts w:ascii="Times New Roman" w:hAnsi="Times New Roman" w:cs="Times New Roman"/>
          <w:lang w:eastAsia="ja-JP"/>
        </w:rPr>
      </w:pPr>
      <w:r w:rsidRPr="00DA4685">
        <w:rPr>
          <w:rFonts w:ascii="Times New Roman" w:hAnsi="Times New Roman" w:cs="Times New Roman"/>
          <w:vertAlign w:val="superscript"/>
        </w:rPr>
        <w:t>3</w:t>
      </w:r>
      <w:r w:rsidRPr="00DA4685">
        <w:rPr>
          <w:rFonts w:ascii="Times New Roman" w:hAnsi="Times New Roman" w:cs="Times New Roman"/>
          <w:lang w:eastAsia="ja-JP"/>
        </w:rPr>
        <w:t xml:space="preserve"> Department of Neonatology, Tokyo Women’s Medical University, Tokyo, Japan</w:t>
      </w:r>
    </w:p>
    <w:p w:rsidR="00DA4685" w:rsidRPr="00DA4685" w:rsidRDefault="00DA4685" w:rsidP="00DA4685">
      <w:pPr>
        <w:spacing w:after="0" w:line="480" w:lineRule="auto"/>
        <w:rPr>
          <w:rFonts w:ascii="Times New Roman" w:hAnsi="Times New Roman" w:cs="Times New Roman"/>
        </w:rPr>
      </w:pPr>
      <w:r w:rsidRPr="00DA4685">
        <w:rPr>
          <w:rFonts w:ascii="Times New Roman" w:hAnsi="Times New Roman" w:cs="Times New Roman"/>
          <w:vertAlign w:val="superscript"/>
          <w:lang w:eastAsia="ja-JP"/>
        </w:rPr>
        <w:t>4</w:t>
      </w:r>
      <w:r w:rsidRPr="00DA4685">
        <w:rPr>
          <w:rFonts w:ascii="Times New Roman" w:hAnsi="Times New Roman" w:cs="Times New Roman"/>
        </w:rPr>
        <w:t xml:space="preserve"> Department of Radiology, Wilhelmina Children’s Hospital, University Medical Center Utrecht, Utrecht University, Utrecht, The Netherlands</w:t>
      </w:r>
      <w:r w:rsidRPr="00DA4685">
        <w:rPr>
          <w:rFonts w:ascii="Times New Roman" w:hAnsi="Times New Roman" w:cs="Times New Roman"/>
          <w:lang w:eastAsia="ja-JP"/>
        </w:rPr>
        <w:t xml:space="preserve"> </w:t>
      </w:r>
    </w:p>
    <w:p w:rsidR="00DA4685" w:rsidRPr="00DA4685" w:rsidRDefault="00DA4685" w:rsidP="00DA4685">
      <w:pPr>
        <w:spacing w:after="0" w:line="480" w:lineRule="auto"/>
        <w:rPr>
          <w:rFonts w:ascii="Times New Roman" w:hAnsi="Times New Roman" w:cs="Times New Roman"/>
        </w:rPr>
      </w:pPr>
    </w:p>
    <w:p w:rsidR="00DA4685" w:rsidRPr="00DA4685" w:rsidRDefault="00DA4685" w:rsidP="00DA4685">
      <w:pPr>
        <w:spacing w:after="0" w:line="480" w:lineRule="auto"/>
        <w:rPr>
          <w:rFonts w:ascii="Times New Roman" w:hAnsi="Times New Roman" w:cs="Times New Roman"/>
        </w:rPr>
      </w:pPr>
      <w:r w:rsidRPr="00DA4685">
        <w:rPr>
          <w:rFonts w:ascii="Times New Roman" w:hAnsi="Times New Roman" w:cs="Times New Roman"/>
        </w:rPr>
        <w:t>Keywords</w:t>
      </w:r>
    </w:p>
    <w:p w:rsidR="00DA4685" w:rsidRPr="00DA4685" w:rsidRDefault="00DA4685" w:rsidP="00DA4685">
      <w:pPr>
        <w:spacing w:after="0" w:line="480" w:lineRule="auto"/>
        <w:rPr>
          <w:rFonts w:ascii="Times New Roman" w:hAnsi="Times New Roman" w:cs="Times New Roman"/>
        </w:rPr>
      </w:pPr>
      <w:r w:rsidRPr="00DA4685">
        <w:rPr>
          <w:rFonts w:ascii="Times New Roman" w:hAnsi="Times New Roman" w:cs="Times New Roman"/>
        </w:rPr>
        <w:t xml:space="preserve">Perinatal asphyxia, Hypoxic-ischemic encephalopathy, Diffusion-weighted imaging, Apparent diffusion coefficient, Magnetic resonance imaging </w:t>
      </w:r>
    </w:p>
    <w:p w:rsidR="00DA4685" w:rsidRPr="00DA4685" w:rsidRDefault="00DA4685" w:rsidP="00DA4685">
      <w:pPr>
        <w:spacing w:after="0" w:line="480" w:lineRule="auto"/>
        <w:rPr>
          <w:rFonts w:ascii="Times New Roman" w:hAnsi="Times New Roman" w:cs="Times New Roman"/>
          <w:b/>
        </w:rPr>
      </w:pPr>
    </w:p>
    <w:p w:rsidR="00DA4685" w:rsidRPr="00DA4685" w:rsidRDefault="00DA4685" w:rsidP="00DA4685">
      <w:pPr>
        <w:spacing w:after="0" w:line="480" w:lineRule="auto"/>
        <w:rPr>
          <w:rFonts w:ascii="Times New Roman" w:hAnsi="Times New Roman" w:cs="Times New Roman"/>
          <w:b/>
        </w:rPr>
      </w:pPr>
      <w:r w:rsidRPr="00DA4685">
        <w:rPr>
          <w:rFonts w:ascii="Times New Roman" w:hAnsi="Times New Roman" w:cs="Times New Roman"/>
          <w:b/>
        </w:rPr>
        <w:t>Correspondence to:</w:t>
      </w:r>
    </w:p>
    <w:p w:rsidR="00DA4685" w:rsidRPr="00DA4685" w:rsidRDefault="00DA4685" w:rsidP="00DA4685">
      <w:pPr>
        <w:spacing w:after="0" w:line="480" w:lineRule="auto"/>
        <w:rPr>
          <w:rFonts w:ascii="Times New Roman" w:hAnsi="Times New Roman" w:cs="Times New Roman"/>
          <w:lang w:eastAsia="ja-JP"/>
        </w:rPr>
      </w:pPr>
      <w:r w:rsidRPr="00DA4685">
        <w:rPr>
          <w:rFonts w:ascii="Times New Roman" w:hAnsi="Times New Roman" w:cs="Times New Roman"/>
        </w:rPr>
        <w:t xml:space="preserve">Dr. Floris </w:t>
      </w:r>
      <w:proofErr w:type="spellStart"/>
      <w:r w:rsidRPr="00DA4685">
        <w:rPr>
          <w:rFonts w:ascii="Times New Roman" w:hAnsi="Times New Roman" w:cs="Times New Roman"/>
        </w:rPr>
        <w:t>Groenendaal</w:t>
      </w:r>
      <w:proofErr w:type="spellEnd"/>
      <w:r w:rsidRPr="00DA4685">
        <w:rPr>
          <w:rFonts w:ascii="Times New Roman" w:hAnsi="Times New Roman" w:cs="Times New Roman"/>
        </w:rPr>
        <w:t xml:space="preserve">, </w:t>
      </w:r>
      <w:r w:rsidRPr="00DA4685">
        <w:rPr>
          <w:rFonts w:ascii="Times New Roman" w:hAnsi="Times New Roman" w:cs="Times New Roman"/>
          <w:lang w:eastAsia="ja-JP"/>
        </w:rPr>
        <w:t>Department of Neonatology, Room KE.04.123.1, Wilhelmina Children’s Hospital, University Medical Center Utrecht, PO Box 85090, 3508 AB Utrecht, The Netherlands</w:t>
      </w:r>
    </w:p>
    <w:p w:rsidR="00DA4685" w:rsidRPr="00DA4685" w:rsidRDefault="00DA4685" w:rsidP="00DA4685">
      <w:pPr>
        <w:spacing w:after="0" w:line="480" w:lineRule="auto"/>
        <w:rPr>
          <w:rFonts w:ascii="Times New Roman" w:hAnsi="Times New Roman" w:cs="Times New Roman"/>
          <w:lang w:val="fr-CH" w:eastAsia="ja-JP"/>
        </w:rPr>
        <w:sectPr w:rsidR="00DA4685" w:rsidRPr="00DA4685">
          <w:pgSz w:w="11906" w:h="16838"/>
          <w:pgMar w:top="1417" w:right="1417" w:bottom="1134" w:left="1417" w:header="708" w:footer="708" w:gutter="0"/>
          <w:cols w:space="708"/>
          <w:docGrid w:linePitch="360"/>
        </w:sectPr>
      </w:pPr>
      <w:proofErr w:type="gramStart"/>
      <w:r w:rsidRPr="00DA4685">
        <w:rPr>
          <w:rFonts w:ascii="Times New Roman" w:hAnsi="Times New Roman" w:cs="Times New Roman"/>
          <w:lang w:val="fr-CH" w:eastAsia="ja-JP"/>
        </w:rPr>
        <w:t>email:</w:t>
      </w:r>
      <w:proofErr w:type="gramEnd"/>
      <w:r w:rsidRPr="00DA4685">
        <w:rPr>
          <w:rFonts w:ascii="Times New Roman" w:hAnsi="Times New Roman" w:cs="Times New Roman"/>
          <w:lang w:val="fr-CH" w:eastAsia="ja-JP"/>
        </w:rPr>
        <w:t xml:space="preserve"> </w:t>
      </w:r>
      <w:hyperlink r:id="rId4" w:history="1">
        <w:r w:rsidRPr="00DA4685">
          <w:rPr>
            <w:rStyle w:val="Hyperlink"/>
            <w:rFonts w:ascii="Times New Roman" w:hAnsi="Times New Roman" w:cs="Times New Roman"/>
            <w:lang w:val="fr-CH" w:eastAsia="ja-JP"/>
          </w:rPr>
          <w:t>F.Groenendaal@umcutrecht.nl</w:t>
        </w:r>
      </w:hyperlink>
      <w:r w:rsidRPr="00DA4685">
        <w:rPr>
          <w:rStyle w:val="Hyperlink"/>
          <w:rFonts w:ascii="Times New Roman" w:hAnsi="Times New Roman" w:cs="Times New Roman"/>
          <w:lang w:val="fr-CH" w:eastAsia="ja-JP"/>
        </w:rPr>
        <w:t xml:space="preserve">; </w:t>
      </w:r>
      <w:r w:rsidRPr="00DA4685">
        <w:rPr>
          <w:rFonts w:ascii="Times New Roman" w:hAnsi="Times New Roman" w:cs="Times New Roman"/>
          <w:lang w:val="fr-CH" w:eastAsia="ja-JP"/>
        </w:rPr>
        <w:t xml:space="preserve">Phone: </w:t>
      </w:r>
      <w:r w:rsidRPr="00DA4685">
        <w:rPr>
          <w:rFonts w:ascii="Times New Roman" w:hAnsi="Times New Roman" w:cs="Times New Roman"/>
          <w:lang w:val="fr-CH" w:eastAsia="ja-JP"/>
        </w:rPr>
        <w:tab/>
        <w:t xml:space="preserve">+31-88-7554545; Fax: </w:t>
      </w:r>
      <w:r w:rsidRPr="00DA4685">
        <w:rPr>
          <w:rFonts w:ascii="Times New Roman" w:hAnsi="Times New Roman" w:cs="Times New Roman"/>
          <w:lang w:val="fr-CH" w:eastAsia="ja-JP"/>
        </w:rPr>
        <w:tab/>
        <w:t>+31-88-7555320</w:t>
      </w:r>
    </w:p>
    <w:p w:rsidR="00DA4685" w:rsidRPr="00DA4685" w:rsidRDefault="00DA4685" w:rsidP="00DA4685">
      <w:pPr>
        <w:spacing w:after="0" w:line="480" w:lineRule="auto"/>
        <w:rPr>
          <w:rFonts w:ascii="Times New Roman" w:hAnsi="Times New Roman" w:cs="Times New Roman"/>
        </w:rPr>
      </w:pPr>
      <w:r w:rsidRPr="00DA4685">
        <w:rPr>
          <w:rFonts w:ascii="Times New Roman" w:hAnsi="Times New Roman" w:cs="Times New Roman"/>
        </w:rPr>
        <w:lastRenderedPageBreak/>
        <w:t>Appendix (online only)</w:t>
      </w:r>
    </w:p>
    <w:p w:rsidR="00DA4685" w:rsidRPr="00DA4685" w:rsidRDefault="00DA4685" w:rsidP="00DA4685">
      <w:pPr>
        <w:spacing w:after="0" w:line="480" w:lineRule="auto"/>
        <w:rPr>
          <w:rFonts w:ascii="Times New Roman" w:hAnsi="Times New Roman" w:cs="Times New Roman"/>
        </w:rPr>
      </w:pPr>
    </w:p>
    <w:p w:rsidR="00DA4685" w:rsidRPr="00DA4685" w:rsidRDefault="00DA4685" w:rsidP="00DA4685">
      <w:pPr>
        <w:spacing w:after="0" w:line="480" w:lineRule="auto"/>
        <w:rPr>
          <w:rFonts w:ascii="Times New Roman" w:hAnsi="Times New Roman" w:cs="Times New Roman"/>
          <w:b/>
        </w:rPr>
      </w:pPr>
      <w:r w:rsidRPr="00DA4685">
        <w:rPr>
          <w:rFonts w:ascii="Times New Roman" w:hAnsi="Times New Roman" w:cs="Times New Roman"/>
          <w:b/>
        </w:rPr>
        <w:t>MRI parameters of DWI</w:t>
      </w:r>
    </w:p>
    <w:p w:rsidR="00DA4685" w:rsidRPr="00DA4685" w:rsidRDefault="00DA4685" w:rsidP="00DA4685">
      <w:pPr>
        <w:spacing w:after="0" w:line="480" w:lineRule="auto"/>
        <w:rPr>
          <w:rFonts w:ascii="Times New Roman" w:hAnsi="Times New Roman" w:cs="Times New Roman"/>
        </w:rPr>
      </w:pPr>
      <w:r w:rsidRPr="00DA4685">
        <w:rPr>
          <w:rFonts w:ascii="Times New Roman" w:hAnsi="Times New Roman" w:cs="Times New Roman"/>
        </w:rPr>
        <w:t xml:space="preserve">An echo-planar imaging technique was used for DW imaging (repetition time </w:t>
      </w:r>
      <w:proofErr w:type="spellStart"/>
      <w:r w:rsidRPr="00DA4685">
        <w:rPr>
          <w:rFonts w:ascii="Times New Roman" w:hAnsi="Times New Roman" w:cs="Times New Roman"/>
        </w:rPr>
        <w:t>ms</w:t>
      </w:r>
      <w:proofErr w:type="spellEnd"/>
      <w:r w:rsidRPr="00DA4685">
        <w:rPr>
          <w:rFonts w:ascii="Times New Roman" w:hAnsi="Times New Roman" w:cs="Times New Roman"/>
        </w:rPr>
        <w:t>/echo time</w:t>
      </w:r>
    </w:p>
    <w:p w:rsidR="00DA4685" w:rsidRPr="00DA4685" w:rsidRDefault="00DA4685" w:rsidP="00DA4685">
      <w:pPr>
        <w:spacing w:after="0" w:line="480" w:lineRule="auto"/>
        <w:rPr>
          <w:rFonts w:ascii="Times New Roman" w:hAnsi="Times New Roman" w:cs="Times New Roman"/>
        </w:rPr>
      </w:pPr>
      <w:proofErr w:type="spellStart"/>
      <w:r w:rsidRPr="00DA4685">
        <w:rPr>
          <w:rFonts w:ascii="Times New Roman" w:hAnsi="Times New Roman" w:cs="Times New Roman"/>
        </w:rPr>
        <w:t>ms</w:t>
      </w:r>
      <w:proofErr w:type="spellEnd"/>
      <w:r w:rsidRPr="00DA4685">
        <w:rPr>
          <w:rFonts w:ascii="Times New Roman" w:hAnsi="Times New Roman" w:cs="Times New Roman"/>
        </w:rPr>
        <w:t xml:space="preserve"> = 3800–5200/89), with a 180x180-mm field of view, 4-mm-thick sections, 0-mm section gap, and b factors of 0 and 1000 (1.5 T) or 800 (3.0 T) sec/mm</w:t>
      </w:r>
      <w:r w:rsidRPr="00DA4685">
        <w:rPr>
          <w:rFonts w:ascii="Times New Roman" w:hAnsi="Times New Roman" w:cs="Times New Roman"/>
          <w:vertAlign w:val="superscript"/>
        </w:rPr>
        <w:t>2</w:t>
      </w:r>
      <w:r w:rsidRPr="00DA4685">
        <w:rPr>
          <w:rFonts w:ascii="Times New Roman" w:hAnsi="Times New Roman" w:cs="Times New Roman"/>
        </w:rPr>
        <w:t>.</w:t>
      </w:r>
    </w:p>
    <w:p w:rsidR="00DA4685" w:rsidRPr="00DA4685" w:rsidRDefault="00DA4685" w:rsidP="00DA4685">
      <w:pPr>
        <w:spacing w:after="0" w:line="480" w:lineRule="auto"/>
        <w:rPr>
          <w:rFonts w:ascii="Times New Roman" w:hAnsi="Times New Roman" w:cs="Times New Roman"/>
        </w:rPr>
      </w:pPr>
      <w:r w:rsidRPr="00DA4685">
        <w:rPr>
          <w:rFonts w:ascii="Times New Roman" w:hAnsi="Times New Roman" w:cs="Times New Roman"/>
        </w:rPr>
        <w:t>Since October 2013 b-factor of 1000 and a slice thickness of 3 mm was used in the 3.0 T system.</w:t>
      </w:r>
    </w:p>
    <w:p w:rsidR="00DA4685" w:rsidRPr="00DA4685" w:rsidRDefault="00DA4685" w:rsidP="00DA4685">
      <w:pPr>
        <w:spacing w:after="0" w:line="480" w:lineRule="auto"/>
        <w:rPr>
          <w:rFonts w:ascii="Times New Roman" w:hAnsi="Times New Roman" w:cs="Times New Roman"/>
        </w:rPr>
      </w:pPr>
    </w:p>
    <w:p w:rsidR="00DA4685" w:rsidRPr="00DA4685" w:rsidRDefault="00DA4685" w:rsidP="00DA4685">
      <w:pPr>
        <w:spacing w:after="0" w:line="480" w:lineRule="auto"/>
        <w:rPr>
          <w:rFonts w:ascii="Times New Roman" w:hAnsi="Times New Roman" w:cs="Times New Roman"/>
          <w:b/>
        </w:rPr>
      </w:pPr>
      <w:r w:rsidRPr="00DA4685">
        <w:rPr>
          <w:rFonts w:ascii="Times New Roman" w:hAnsi="Times New Roman" w:cs="Times New Roman"/>
          <w:b/>
        </w:rPr>
        <w:t>ADC calculations</w:t>
      </w:r>
    </w:p>
    <w:p w:rsidR="00DA4685" w:rsidRPr="00DA4685" w:rsidRDefault="00DA4685" w:rsidP="00DA4685">
      <w:pPr>
        <w:spacing w:after="0" w:line="480" w:lineRule="auto"/>
        <w:rPr>
          <w:rFonts w:ascii="Times New Roman" w:hAnsi="Times New Roman" w:cs="Times New Roman"/>
        </w:rPr>
      </w:pPr>
      <w:r w:rsidRPr="00DA4685">
        <w:rPr>
          <w:rFonts w:ascii="Times New Roman" w:hAnsi="Times New Roman" w:cs="Times New Roman"/>
        </w:rPr>
        <w:t xml:space="preserve">Trace ADC maps were generated </w:t>
      </w:r>
      <w:proofErr w:type="gramStart"/>
      <w:r w:rsidRPr="00DA4685">
        <w:rPr>
          <w:rFonts w:ascii="Times New Roman" w:hAnsi="Times New Roman" w:cs="Times New Roman"/>
        </w:rPr>
        <w:t>on the basis of</w:t>
      </w:r>
      <w:proofErr w:type="gramEnd"/>
      <w:r w:rsidRPr="00DA4685">
        <w:rPr>
          <w:rFonts w:ascii="Times New Roman" w:hAnsi="Times New Roman" w:cs="Times New Roman"/>
        </w:rPr>
        <w:t xml:space="preserve"> DW images acquired over the three orthogonal</w:t>
      </w:r>
    </w:p>
    <w:p w:rsidR="00DA4685" w:rsidRPr="00DA4685" w:rsidRDefault="00DA4685" w:rsidP="00DA4685">
      <w:pPr>
        <w:spacing w:after="0" w:line="480" w:lineRule="auto"/>
        <w:rPr>
          <w:rFonts w:ascii="Times New Roman" w:hAnsi="Times New Roman" w:cs="Times New Roman"/>
        </w:rPr>
      </w:pPr>
      <w:proofErr w:type="gramStart"/>
      <w:r w:rsidRPr="00DA4685">
        <w:rPr>
          <w:rFonts w:ascii="Times New Roman" w:hAnsi="Times New Roman" w:cs="Times New Roman"/>
          <w:lang w:val="fr-CH"/>
        </w:rPr>
        <w:t>axes</w:t>
      </w:r>
      <w:proofErr w:type="gramEnd"/>
      <w:r w:rsidRPr="00DA4685">
        <w:rPr>
          <w:rFonts w:ascii="Times New Roman" w:hAnsi="Times New Roman" w:cs="Times New Roman"/>
          <w:lang w:val="fr-CH"/>
        </w:rPr>
        <w:t xml:space="preserve"> (trace ADC = [ X + Y + Z ]/3). </w:t>
      </w:r>
      <w:r w:rsidRPr="00DA4685">
        <w:rPr>
          <w:rFonts w:ascii="Times New Roman" w:hAnsi="Times New Roman" w:cs="Times New Roman"/>
        </w:rPr>
        <w:t>Four regions of interest (ROIs) were manually selected because of their reported sensitivity to hypoxic-ischemic events: left and right basal ganglia and left and right medial thalamus. ROIs were placed on the section of the ADC map just above the superior colliculus of the midbrain by using T2-, inversion recovery–, and DW-weighted images for anatomic reference. ROIs were oval, with a pixel area of 35–60 mm</w:t>
      </w:r>
      <w:r w:rsidRPr="00DA4685">
        <w:rPr>
          <w:rFonts w:ascii="Times New Roman" w:hAnsi="Times New Roman" w:cs="Times New Roman"/>
          <w:vertAlign w:val="superscript"/>
        </w:rPr>
        <w:t>2</w:t>
      </w:r>
      <w:r w:rsidRPr="00DA4685">
        <w:rPr>
          <w:rFonts w:ascii="Times New Roman" w:hAnsi="Times New Roman" w:cs="Times New Roman"/>
        </w:rPr>
        <w:t xml:space="preserve"> (mean 37 mm</w:t>
      </w:r>
      <w:proofErr w:type="gramStart"/>
      <w:r w:rsidRPr="00DA4685">
        <w:rPr>
          <w:rFonts w:ascii="Times New Roman" w:hAnsi="Times New Roman" w:cs="Times New Roman"/>
          <w:vertAlign w:val="superscript"/>
        </w:rPr>
        <w:t>2</w:t>
      </w:r>
      <w:r w:rsidRPr="00DA4685">
        <w:rPr>
          <w:rFonts w:ascii="Times New Roman" w:hAnsi="Times New Roman" w:cs="Times New Roman"/>
        </w:rPr>
        <w:t xml:space="preserve"> )</w:t>
      </w:r>
      <w:proofErr w:type="gramEnd"/>
      <w:r w:rsidRPr="00DA4685">
        <w:rPr>
          <w:rFonts w:ascii="Times New Roman" w:hAnsi="Times New Roman" w:cs="Times New Roman"/>
        </w:rPr>
        <w:t xml:space="preserve"> in the basal ganglia and 45–70 mm</w:t>
      </w:r>
      <w:r w:rsidRPr="00DA4685">
        <w:rPr>
          <w:rFonts w:ascii="Times New Roman" w:hAnsi="Times New Roman" w:cs="Times New Roman"/>
          <w:vertAlign w:val="superscript"/>
        </w:rPr>
        <w:t>2</w:t>
      </w:r>
      <w:r w:rsidRPr="00DA4685">
        <w:rPr>
          <w:rFonts w:ascii="Times New Roman" w:hAnsi="Times New Roman" w:cs="Times New Roman"/>
        </w:rPr>
        <w:t xml:space="preserve"> (mean 47 mm</w:t>
      </w:r>
      <w:r w:rsidRPr="00DA4685">
        <w:rPr>
          <w:rFonts w:ascii="Times New Roman" w:hAnsi="Times New Roman" w:cs="Times New Roman"/>
          <w:vertAlign w:val="superscript"/>
        </w:rPr>
        <w:t>2</w:t>
      </w:r>
      <w:r w:rsidRPr="00DA4685">
        <w:rPr>
          <w:rFonts w:ascii="Times New Roman" w:hAnsi="Times New Roman" w:cs="Times New Roman"/>
        </w:rPr>
        <w:t>) in the medial thalamus. Contact with cerebral spinal fluid and cerebral white matter was avoided.</w:t>
      </w:r>
    </w:p>
    <w:p w:rsidR="00DA4685" w:rsidRPr="00DA4685" w:rsidRDefault="00DA4685" w:rsidP="00DA4685">
      <w:pPr>
        <w:rPr>
          <w:rFonts w:ascii="Times New Roman" w:hAnsi="Times New Roman" w:cs="Times New Roman"/>
        </w:rPr>
      </w:pPr>
      <w:r w:rsidRPr="00DA4685">
        <w:rPr>
          <w:rFonts w:ascii="Times New Roman" w:hAnsi="Times New Roman" w:cs="Times New Roman"/>
        </w:rPr>
        <w:br w:type="page"/>
      </w:r>
    </w:p>
    <w:p w:rsidR="00DA4685" w:rsidRPr="00DA4685" w:rsidRDefault="00DA4685" w:rsidP="00DA4685">
      <w:pPr>
        <w:rPr>
          <w:rFonts w:ascii="Times New Roman" w:hAnsi="Times New Roman" w:cs="Times New Roman"/>
        </w:rPr>
      </w:pPr>
      <w:r w:rsidRPr="00DA4685">
        <w:rPr>
          <w:rFonts w:ascii="Times New Roman" w:hAnsi="Times New Roman" w:cs="Times New Roman"/>
          <w:b/>
        </w:rPr>
        <w:lastRenderedPageBreak/>
        <w:t>Supplemental Table</w:t>
      </w:r>
      <w:r w:rsidRPr="00DA4685">
        <w:rPr>
          <w:rFonts w:ascii="Times New Roman" w:hAnsi="Times New Roman" w:cs="Times New Roman"/>
        </w:rPr>
        <w:t>. Clinical Data categorized by hypothermia and normothermia group.</w:t>
      </w:r>
    </w:p>
    <w:tbl>
      <w:tblPr>
        <w:tblW w:w="9500" w:type="dxa"/>
        <w:tblCellMar>
          <w:left w:w="0" w:type="dxa"/>
          <w:right w:w="0" w:type="dxa"/>
        </w:tblCellMar>
        <w:tblLook w:val="0420" w:firstRow="1" w:lastRow="0" w:firstColumn="0" w:lastColumn="0" w:noHBand="0" w:noVBand="1"/>
      </w:tblPr>
      <w:tblGrid>
        <w:gridCol w:w="3405"/>
        <w:gridCol w:w="2409"/>
        <w:gridCol w:w="2410"/>
        <w:gridCol w:w="1276"/>
      </w:tblGrid>
      <w:tr w:rsidR="00DA4685" w:rsidRPr="00DA4685" w:rsidTr="00102EEF">
        <w:trPr>
          <w:trHeight w:val="348"/>
        </w:trPr>
        <w:tc>
          <w:tcPr>
            <w:tcW w:w="3405" w:type="dxa"/>
            <w:tcBorders>
              <w:top w:val="nil"/>
              <w:left w:val="nil"/>
              <w:bottom w:val="single" w:sz="8" w:space="0" w:color="000000"/>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p>
        </w:tc>
        <w:tc>
          <w:tcPr>
            <w:tcW w:w="2409" w:type="dxa"/>
            <w:tcBorders>
              <w:top w:val="nil"/>
              <w:left w:val="nil"/>
              <w:bottom w:val="single" w:sz="8" w:space="0" w:color="000000"/>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r w:rsidRPr="00DA4685">
              <w:rPr>
                <w:rFonts w:ascii="Times New Roman" w:hAnsi="Times New Roman" w:cs="Times New Roman"/>
              </w:rPr>
              <w:t>Hypothermia(n=32)</w:t>
            </w:r>
          </w:p>
        </w:tc>
        <w:tc>
          <w:tcPr>
            <w:tcW w:w="2410" w:type="dxa"/>
            <w:tcBorders>
              <w:top w:val="nil"/>
              <w:left w:val="nil"/>
              <w:bottom w:val="single" w:sz="8" w:space="0" w:color="000000"/>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r w:rsidRPr="00DA4685">
              <w:rPr>
                <w:rFonts w:ascii="Times New Roman" w:hAnsi="Times New Roman" w:cs="Times New Roman"/>
              </w:rPr>
              <w:t>Normothermia(n=23)</w:t>
            </w:r>
          </w:p>
        </w:tc>
        <w:tc>
          <w:tcPr>
            <w:tcW w:w="1276" w:type="dxa"/>
            <w:tcBorders>
              <w:top w:val="nil"/>
              <w:left w:val="nil"/>
              <w:bottom w:val="single" w:sz="8" w:space="0" w:color="000000"/>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r w:rsidRPr="00DA4685">
              <w:rPr>
                <w:rFonts w:ascii="Times New Roman" w:hAnsi="Times New Roman" w:cs="Times New Roman"/>
              </w:rPr>
              <w:t>p value</w:t>
            </w:r>
          </w:p>
        </w:tc>
      </w:tr>
      <w:tr w:rsidR="00DA4685" w:rsidRPr="00DA4685" w:rsidTr="00102EEF">
        <w:trPr>
          <w:trHeight w:val="285"/>
        </w:trPr>
        <w:tc>
          <w:tcPr>
            <w:tcW w:w="3405" w:type="dxa"/>
            <w:tcBorders>
              <w:top w:val="single" w:sz="8" w:space="0" w:color="000000"/>
              <w:left w:val="nil"/>
              <w:bottom w:val="nil"/>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r w:rsidRPr="00DA4685">
              <w:rPr>
                <w:rFonts w:ascii="Times New Roman" w:hAnsi="Times New Roman" w:cs="Times New Roman"/>
              </w:rPr>
              <w:t>Gender (male)</w:t>
            </w:r>
          </w:p>
        </w:tc>
        <w:tc>
          <w:tcPr>
            <w:tcW w:w="2409" w:type="dxa"/>
            <w:tcBorders>
              <w:top w:val="single" w:sz="8" w:space="0" w:color="000000"/>
              <w:left w:val="nil"/>
              <w:bottom w:val="nil"/>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r w:rsidRPr="00DA4685">
              <w:rPr>
                <w:rFonts w:ascii="Times New Roman" w:hAnsi="Times New Roman" w:cs="Times New Roman"/>
              </w:rPr>
              <w:t>21 (66%)</w:t>
            </w:r>
          </w:p>
        </w:tc>
        <w:tc>
          <w:tcPr>
            <w:tcW w:w="2410" w:type="dxa"/>
            <w:tcBorders>
              <w:top w:val="single" w:sz="8" w:space="0" w:color="000000"/>
              <w:left w:val="nil"/>
              <w:bottom w:val="nil"/>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r w:rsidRPr="00DA4685">
              <w:rPr>
                <w:rFonts w:ascii="Times New Roman" w:hAnsi="Times New Roman" w:cs="Times New Roman"/>
              </w:rPr>
              <w:t>11 (48%)</w:t>
            </w:r>
          </w:p>
        </w:tc>
        <w:tc>
          <w:tcPr>
            <w:tcW w:w="1276" w:type="dxa"/>
            <w:tcBorders>
              <w:top w:val="single" w:sz="8" w:space="0" w:color="000000"/>
              <w:left w:val="nil"/>
              <w:bottom w:val="nil"/>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r w:rsidRPr="00DA4685">
              <w:rPr>
                <w:rFonts w:ascii="Times New Roman" w:hAnsi="Times New Roman" w:cs="Times New Roman"/>
              </w:rPr>
              <w:t>0.19</w:t>
            </w:r>
          </w:p>
        </w:tc>
      </w:tr>
      <w:tr w:rsidR="00DA4685" w:rsidRPr="00DA4685" w:rsidTr="00102EEF">
        <w:trPr>
          <w:trHeight w:val="504"/>
        </w:trPr>
        <w:tc>
          <w:tcPr>
            <w:tcW w:w="3405" w:type="dxa"/>
            <w:tcBorders>
              <w:top w:val="nil"/>
              <w:left w:val="nil"/>
              <w:bottom w:val="nil"/>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r w:rsidRPr="00DA4685">
              <w:rPr>
                <w:rFonts w:ascii="Times New Roman" w:hAnsi="Times New Roman" w:cs="Times New Roman"/>
              </w:rPr>
              <w:t xml:space="preserve">Gestational age (weeks, </w:t>
            </w:r>
            <w:proofErr w:type="spellStart"/>
            <w:r w:rsidRPr="00DA4685">
              <w:rPr>
                <w:rFonts w:ascii="Times New Roman" w:hAnsi="Times New Roman" w:cs="Times New Roman"/>
              </w:rPr>
              <w:t>mean±SD</w:t>
            </w:r>
            <w:proofErr w:type="spellEnd"/>
            <w:r w:rsidRPr="00DA4685">
              <w:rPr>
                <w:rFonts w:ascii="Times New Roman" w:hAnsi="Times New Roman" w:cs="Times New Roman"/>
              </w:rPr>
              <w:t>)</w:t>
            </w:r>
          </w:p>
        </w:tc>
        <w:tc>
          <w:tcPr>
            <w:tcW w:w="2409" w:type="dxa"/>
            <w:tcBorders>
              <w:top w:val="nil"/>
              <w:left w:val="nil"/>
              <w:bottom w:val="nil"/>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r w:rsidRPr="00DA4685">
              <w:rPr>
                <w:rFonts w:ascii="Times New Roman" w:hAnsi="Times New Roman" w:cs="Times New Roman"/>
              </w:rPr>
              <w:t>39.9 ± 1.4</w:t>
            </w:r>
          </w:p>
        </w:tc>
        <w:tc>
          <w:tcPr>
            <w:tcW w:w="2410" w:type="dxa"/>
            <w:tcBorders>
              <w:top w:val="nil"/>
              <w:left w:val="nil"/>
              <w:bottom w:val="nil"/>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r w:rsidRPr="00DA4685">
              <w:rPr>
                <w:rFonts w:ascii="Times New Roman" w:hAnsi="Times New Roman" w:cs="Times New Roman"/>
              </w:rPr>
              <w:t>40.5 ± 1.5</w:t>
            </w:r>
          </w:p>
        </w:tc>
        <w:tc>
          <w:tcPr>
            <w:tcW w:w="1276" w:type="dxa"/>
            <w:tcBorders>
              <w:top w:val="nil"/>
              <w:left w:val="nil"/>
              <w:bottom w:val="nil"/>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r w:rsidRPr="00DA4685">
              <w:rPr>
                <w:rFonts w:ascii="Times New Roman" w:hAnsi="Times New Roman" w:cs="Times New Roman"/>
              </w:rPr>
              <w:t>0.17</w:t>
            </w:r>
          </w:p>
        </w:tc>
      </w:tr>
      <w:tr w:rsidR="00DA4685" w:rsidRPr="00DA4685" w:rsidTr="00102EEF">
        <w:trPr>
          <w:trHeight w:val="285"/>
        </w:trPr>
        <w:tc>
          <w:tcPr>
            <w:tcW w:w="3405" w:type="dxa"/>
            <w:tcBorders>
              <w:top w:val="nil"/>
              <w:left w:val="nil"/>
              <w:bottom w:val="nil"/>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r w:rsidRPr="00DA4685">
              <w:rPr>
                <w:rFonts w:ascii="Times New Roman" w:hAnsi="Times New Roman" w:cs="Times New Roman"/>
              </w:rPr>
              <w:t xml:space="preserve">Birth weight (g, </w:t>
            </w:r>
            <w:proofErr w:type="spellStart"/>
            <w:r w:rsidRPr="00DA4685">
              <w:rPr>
                <w:rFonts w:ascii="Times New Roman" w:hAnsi="Times New Roman" w:cs="Times New Roman"/>
              </w:rPr>
              <w:t>mean±SD</w:t>
            </w:r>
            <w:proofErr w:type="spellEnd"/>
            <w:r w:rsidRPr="00DA4685">
              <w:rPr>
                <w:rFonts w:ascii="Times New Roman" w:hAnsi="Times New Roman" w:cs="Times New Roman"/>
              </w:rPr>
              <w:t>)</w:t>
            </w:r>
          </w:p>
        </w:tc>
        <w:tc>
          <w:tcPr>
            <w:tcW w:w="2409" w:type="dxa"/>
            <w:tcBorders>
              <w:top w:val="nil"/>
              <w:left w:val="nil"/>
              <w:bottom w:val="nil"/>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r w:rsidRPr="00DA4685">
              <w:rPr>
                <w:rFonts w:ascii="Times New Roman" w:hAnsi="Times New Roman" w:cs="Times New Roman"/>
              </w:rPr>
              <w:t>3423 ± 560</w:t>
            </w:r>
          </w:p>
        </w:tc>
        <w:tc>
          <w:tcPr>
            <w:tcW w:w="2410" w:type="dxa"/>
            <w:tcBorders>
              <w:top w:val="nil"/>
              <w:left w:val="nil"/>
              <w:bottom w:val="nil"/>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r w:rsidRPr="00DA4685">
              <w:rPr>
                <w:rFonts w:ascii="Times New Roman" w:hAnsi="Times New Roman" w:cs="Times New Roman"/>
              </w:rPr>
              <w:t>3266 ± 527</w:t>
            </w:r>
          </w:p>
        </w:tc>
        <w:tc>
          <w:tcPr>
            <w:tcW w:w="1276" w:type="dxa"/>
            <w:tcBorders>
              <w:top w:val="nil"/>
              <w:left w:val="nil"/>
              <w:bottom w:val="nil"/>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r w:rsidRPr="00DA4685">
              <w:rPr>
                <w:rFonts w:ascii="Times New Roman" w:hAnsi="Times New Roman" w:cs="Times New Roman"/>
              </w:rPr>
              <w:t>0.30</w:t>
            </w:r>
          </w:p>
        </w:tc>
      </w:tr>
      <w:tr w:rsidR="00DA4685" w:rsidRPr="00DA4685" w:rsidTr="00102EEF">
        <w:trPr>
          <w:trHeight w:val="285"/>
        </w:trPr>
        <w:tc>
          <w:tcPr>
            <w:tcW w:w="3405" w:type="dxa"/>
            <w:tcBorders>
              <w:top w:val="nil"/>
              <w:left w:val="nil"/>
              <w:bottom w:val="nil"/>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r w:rsidRPr="00DA4685">
              <w:rPr>
                <w:rFonts w:ascii="Times New Roman" w:hAnsi="Times New Roman" w:cs="Times New Roman"/>
              </w:rPr>
              <w:t xml:space="preserve">Apgar 1 min (median, </w:t>
            </w:r>
            <w:proofErr w:type="gramStart"/>
            <w:r w:rsidRPr="00DA4685">
              <w:rPr>
                <w:rFonts w:ascii="Times New Roman" w:hAnsi="Times New Roman" w:cs="Times New Roman"/>
              </w:rPr>
              <w:t>IQR)*</w:t>
            </w:r>
            <w:proofErr w:type="gramEnd"/>
          </w:p>
        </w:tc>
        <w:tc>
          <w:tcPr>
            <w:tcW w:w="2409" w:type="dxa"/>
            <w:tcBorders>
              <w:top w:val="nil"/>
              <w:left w:val="nil"/>
              <w:bottom w:val="nil"/>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r w:rsidRPr="00DA4685">
              <w:rPr>
                <w:rFonts w:ascii="Times New Roman" w:hAnsi="Times New Roman" w:cs="Times New Roman"/>
              </w:rPr>
              <w:t xml:space="preserve">1 (2) </w:t>
            </w:r>
          </w:p>
        </w:tc>
        <w:tc>
          <w:tcPr>
            <w:tcW w:w="2410" w:type="dxa"/>
            <w:tcBorders>
              <w:top w:val="nil"/>
              <w:left w:val="nil"/>
              <w:bottom w:val="nil"/>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r w:rsidRPr="00DA4685">
              <w:rPr>
                <w:rFonts w:ascii="Times New Roman" w:hAnsi="Times New Roman" w:cs="Times New Roman"/>
              </w:rPr>
              <w:t xml:space="preserve">2 (2) </w:t>
            </w:r>
          </w:p>
        </w:tc>
        <w:tc>
          <w:tcPr>
            <w:tcW w:w="1276" w:type="dxa"/>
            <w:tcBorders>
              <w:top w:val="nil"/>
              <w:left w:val="nil"/>
              <w:bottom w:val="nil"/>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r w:rsidRPr="00DA4685">
              <w:rPr>
                <w:rFonts w:ascii="Times New Roman" w:hAnsi="Times New Roman" w:cs="Times New Roman"/>
              </w:rPr>
              <w:t>0.008</w:t>
            </w:r>
          </w:p>
        </w:tc>
      </w:tr>
      <w:tr w:rsidR="00DA4685" w:rsidRPr="00DA4685" w:rsidTr="00102EEF">
        <w:trPr>
          <w:trHeight w:val="285"/>
        </w:trPr>
        <w:tc>
          <w:tcPr>
            <w:tcW w:w="3405" w:type="dxa"/>
            <w:tcBorders>
              <w:top w:val="nil"/>
              <w:left w:val="nil"/>
              <w:bottom w:val="nil"/>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r w:rsidRPr="00DA4685">
              <w:rPr>
                <w:rFonts w:ascii="Times New Roman" w:hAnsi="Times New Roman" w:cs="Times New Roman"/>
              </w:rPr>
              <w:t xml:space="preserve">Apgar 5 min (median, </w:t>
            </w:r>
            <w:proofErr w:type="gramStart"/>
            <w:r w:rsidRPr="00DA4685">
              <w:rPr>
                <w:rFonts w:ascii="Times New Roman" w:hAnsi="Times New Roman" w:cs="Times New Roman"/>
              </w:rPr>
              <w:t>IQR)*</w:t>
            </w:r>
            <w:proofErr w:type="gramEnd"/>
            <w:r w:rsidRPr="00DA4685">
              <w:rPr>
                <w:rFonts w:ascii="Times New Roman" w:hAnsi="Times New Roman" w:cs="Times New Roman"/>
              </w:rPr>
              <w:t>*</w:t>
            </w:r>
          </w:p>
        </w:tc>
        <w:tc>
          <w:tcPr>
            <w:tcW w:w="2409" w:type="dxa"/>
            <w:tcBorders>
              <w:top w:val="nil"/>
              <w:left w:val="nil"/>
              <w:bottom w:val="nil"/>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r w:rsidRPr="00DA4685">
              <w:rPr>
                <w:rFonts w:ascii="Times New Roman" w:hAnsi="Times New Roman" w:cs="Times New Roman"/>
              </w:rPr>
              <w:t xml:space="preserve">3 (4) </w:t>
            </w:r>
          </w:p>
        </w:tc>
        <w:tc>
          <w:tcPr>
            <w:tcW w:w="2410" w:type="dxa"/>
            <w:tcBorders>
              <w:top w:val="nil"/>
              <w:left w:val="nil"/>
              <w:bottom w:val="nil"/>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r w:rsidRPr="00DA4685">
              <w:rPr>
                <w:rFonts w:ascii="Times New Roman" w:hAnsi="Times New Roman" w:cs="Times New Roman"/>
              </w:rPr>
              <w:t xml:space="preserve">5 (2) </w:t>
            </w:r>
          </w:p>
        </w:tc>
        <w:tc>
          <w:tcPr>
            <w:tcW w:w="1276" w:type="dxa"/>
            <w:tcBorders>
              <w:top w:val="nil"/>
              <w:left w:val="nil"/>
              <w:bottom w:val="nil"/>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r w:rsidRPr="00DA4685">
              <w:rPr>
                <w:rFonts w:ascii="Times New Roman" w:hAnsi="Times New Roman" w:cs="Times New Roman"/>
              </w:rPr>
              <w:t>0.002</w:t>
            </w:r>
          </w:p>
        </w:tc>
      </w:tr>
      <w:tr w:rsidR="00DA4685" w:rsidRPr="00DA4685" w:rsidTr="00102EEF">
        <w:trPr>
          <w:trHeight w:val="504"/>
        </w:trPr>
        <w:tc>
          <w:tcPr>
            <w:tcW w:w="3405" w:type="dxa"/>
            <w:tcBorders>
              <w:top w:val="nil"/>
              <w:left w:val="nil"/>
              <w:bottom w:val="nil"/>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r w:rsidRPr="00DA4685">
              <w:rPr>
                <w:rFonts w:ascii="Times New Roman" w:hAnsi="Times New Roman" w:cs="Times New Roman"/>
              </w:rPr>
              <w:t>Cord pH (</w:t>
            </w:r>
            <w:proofErr w:type="spellStart"/>
            <w:r w:rsidRPr="00DA4685">
              <w:rPr>
                <w:rFonts w:ascii="Times New Roman" w:hAnsi="Times New Roman" w:cs="Times New Roman"/>
              </w:rPr>
              <w:t>mean±</w:t>
            </w:r>
            <w:proofErr w:type="gramStart"/>
            <w:r w:rsidRPr="00DA4685">
              <w:rPr>
                <w:rFonts w:ascii="Times New Roman" w:hAnsi="Times New Roman" w:cs="Times New Roman"/>
              </w:rPr>
              <w:t>SD</w:t>
            </w:r>
            <w:proofErr w:type="spellEnd"/>
            <w:r w:rsidRPr="00DA4685">
              <w:rPr>
                <w:rFonts w:ascii="Times New Roman" w:hAnsi="Times New Roman" w:cs="Times New Roman"/>
              </w:rPr>
              <w:t>)*</w:t>
            </w:r>
            <w:proofErr w:type="gramEnd"/>
            <w:r w:rsidRPr="00DA4685">
              <w:rPr>
                <w:rFonts w:ascii="Times New Roman" w:hAnsi="Times New Roman" w:cs="Times New Roman"/>
              </w:rPr>
              <w:t>**</w:t>
            </w:r>
          </w:p>
        </w:tc>
        <w:tc>
          <w:tcPr>
            <w:tcW w:w="2409" w:type="dxa"/>
            <w:tcBorders>
              <w:top w:val="nil"/>
              <w:left w:val="nil"/>
              <w:bottom w:val="nil"/>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r w:rsidRPr="00DA4685">
              <w:rPr>
                <w:rFonts w:ascii="Times New Roman" w:hAnsi="Times New Roman" w:cs="Times New Roman"/>
              </w:rPr>
              <w:t>6.89 ± 0.20(n=27)</w:t>
            </w:r>
          </w:p>
        </w:tc>
        <w:tc>
          <w:tcPr>
            <w:tcW w:w="2410" w:type="dxa"/>
            <w:tcBorders>
              <w:top w:val="nil"/>
              <w:left w:val="nil"/>
              <w:bottom w:val="nil"/>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r w:rsidRPr="00DA4685">
              <w:rPr>
                <w:rFonts w:ascii="Times New Roman" w:hAnsi="Times New Roman" w:cs="Times New Roman"/>
              </w:rPr>
              <w:t>7.01 ± 0.21(n=20)</w:t>
            </w:r>
          </w:p>
        </w:tc>
        <w:tc>
          <w:tcPr>
            <w:tcW w:w="1276" w:type="dxa"/>
            <w:tcBorders>
              <w:top w:val="nil"/>
              <w:left w:val="nil"/>
              <w:bottom w:val="nil"/>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r w:rsidRPr="00DA4685">
              <w:rPr>
                <w:rFonts w:ascii="Times New Roman" w:hAnsi="Times New Roman" w:cs="Times New Roman"/>
              </w:rPr>
              <w:t>0.052</w:t>
            </w:r>
          </w:p>
        </w:tc>
      </w:tr>
      <w:tr w:rsidR="00DA4685" w:rsidRPr="00DA4685" w:rsidTr="00102EEF">
        <w:trPr>
          <w:trHeight w:val="285"/>
        </w:trPr>
        <w:tc>
          <w:tcPr>
            <w:tcW w:w="3405" w:type="dxa"/>
            <w:tcBorders>
              <w:top w:val="nil"/>
              <w:left w:val="nil"/>
              <w:bottom w:val="nil"/>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proofErr w:type="spellStart"/>
            <w:r w:rsidRPr="00DA4685">
              <w:rPr>
                <w:rFonts w:ascii="Times New Roman" w:hAnsi="Times New Roman" w:cs="Times New Roman"/>
              </w:rPr>
              <w:t>Sarnat</w:t>
            </w:r>
            <w:proofErr w:type="spellEnd"/>
            <w:r w:rsidRPr="00DA4685">
              <w:rPr>
                <w:rFonts w:ascii="Times New Roman" w:hAnsi="Times New Roman" w:cs="Times New Roman"/>
              </w:rPr>
              <w:t xml:space="preserve"> classification</w:t>
            </w:r>
          </w:p>
        </w:tc>
        <w:tc>
          <w:tcPr>
            <w:tcW w:w="2409" w:type="dxa"/>
            <w:tcBorders>
              <w:top w:val="nil"/>
              <w:left w:val="nil"/>
              <w:bottom w:val="nil"/>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p>
        </w:tc>
        <w:tc>
          <w:tcPr>
            <w:tcW w:w="2410" w:type="dxa"/>
            <w:tcBorders>
              <w:top w:val="nil"/>
              <w:left w:val="nil"/>
              <w:bottom w:val="nil"/>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p>
        </w:tc>
        <w:tc>
          <w:tcPr>
            <w:tcW w:w="1276" w:type="dxa"/>
            <w:tcBorders>
              <w:top w:val="nil"/>
              <w:left w:val="nil"/>
              <w:bottom w:val="nil"/>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r w:rsidRPr="00DA4685">
              <w:rPr>
                <w:rFonts w:ascii="Times New Roman" w:hAnsi="Times New Roman" w:cs="Times New Roman"/>
              </w:rPr>
              <w:t>0.001</w:t>
            </w:r>
          </w:p>
        </w:tc>
      </w:tr>
      <w:tr w:rsidR="00DA4685" w:rsidRPr="00DA4685" w:rsidTr="00102EEF">
        <w:trPr>
          <w:trHeight w:val="285"/>
        </w:trPr>
        <w:tc>
          <w:tcPr>
            <w:tcW w:w="3405" w:type="dxa"/>
            <w:tcBorders>
              <w:top w:val="nil"/>
              <w:left w:val="nil"/>
              <w:bottom w:val="nil"/>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r w:rsidRPr="00DA4685">
              <w:rPr>
                <w:rFonts w:ascii="Times New Roman" w:hAnsi="Times New Roman" w:cs="Times New Roman"/>
              </w:rPr>
              <w:t xml:space="preserve">    Moderate</w:t>
            </w:r>
          </w:p>
        </w:tc>
        <w:tc>
          <w:tcPr>
            <w:tcW w:w="2409" w:type="dxa"/>
            <w:tcBorders>
              <w:top w:val="nil"/>
              <w:left w:val="nil"/>
              <w:bottom w:val="nil"/>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r w:rsidRPr="00DA4685">
              <w:rPr>
                <w:rFonts w:ascii="Times New Roman" w:hAnsi="Times New Roman" w:cs="Times New Roman"/>
              </w:rPr>
              <w:t>14 (44%)</w:t>
            </w:r>
          </w:p>
        </w:tc>
        <w:tc>
          <w:tcPr>
            <w:tcW w:w="2410" w:type="dxa"/>
            <w:tcBorders>
              <w:top w:val="nil"/>
              <w:left w:val="nil"/>
              <w:bottom w:val="nil"/>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r w:rsidRPr="00DA4685">
              <w:rPr>
                <w:rFonts w:ascii="Times New Roman" w:hAnsi="Times New Roman" w:cs="Times New Roman"/>
              </w:rPr>
              <w:t>20 (87%)</w:t>
            </w:r>
          </w:p>
        </w:tc>
        <w:tc>
          <w:tcPr>
            <w:tcW w:w="1276" w:type="dxa"/>
            <w:tcBorders>
              <w:top w:val="nil"/>
              <w:left w:val="nil"/>
              <w:bottom w:val="nil"/>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p>
        </w:tc>
      </w:tr>
      <w:tr w:rsidR="00DA4685" w:rsidRPr="00DA4685" w:rsidTr="00102EEF">
        <w:trPr>
          <w:trHeight w:val="402"/>
        </w:trPr>
        <w:tc>
          <w:tcPr>
            <w:tcW w:w="3405" w:type="dxa"/>
            <w:tcBorders>
              <w:top w:val="nil"/>
              <w:left w:val="nil"/>
              <w:bottom w:val="nil"/>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r w:rsidRPr="00DA4685">
              <w:rPr>
                <w:rFonts w:ascii="Times New Roman" w:hAnsi="Times New Roman" w:cs="Times New Roman"/>
              </w:rPr>
              <w:t xml:space="preserve">    Severe</w:t>
            </w:r>
          </w:p>
        </w:tc>
        <w:tc>
          <w:tcPr>
            <w:tcW w:w="2409" w:type="dxa"/>
            <w:tcBorders>
              <w:top w:val="nil"/>
              <w:left w:val="nil"/>
              <w:bottom w:val="nil"/>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r w:rsidRPr="00DA4685">
              <w:rPr>
                <w:rFonts w:ascii="Times New Roman" w:hAnsi="Times New Roman" w:cs="Times New Roman"/>
              </w:rPr>
              <w:t>18 (56%)</w:t>
            </w:r>
          </w:p>
        </w:tc>
        <w:tc>
          <w:tcPr>
            <w:tcW w:w="2410" w:type="dxa"/>
            <w:tcBorders>
              <w:top w:val="nil"/>
              <w:left w:val="nil"/>
              <w:bottom w:val="nil"/>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r w:rsidRPr="00DA4685">
              <w:rPr>
                <w:rFonts w:ascii="Times New Roman" w:hAnsi="Times New Roman" w:cs="Times New Roman"/>
              </w:rPr>
              <w:t>3 (13%)</w:t>
            </w:r>
          </w:p>
        </w:tc>
        <w:tc>
          <w:tcPr>
            <w:tcW w:w="1276" w:type="dxa"/>
            <w:tcBorders>
              <w:top w:val="nil"/>
              <w:left w:val="nil"/>
              <w:bottom w:val="nil"/>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p>
        </w:tc>
      </w:tr>
      <w:tr w:rsidR="00DA4685" w:rsidRPr="00DA4685" w:rsidTr="00102EEF">
        <w:tc>
          <w:tcPr>
            <w:tcW w:w="3405" w:type="dxa"/>
            <w:tcBorders>
              <w:top w:val="nil"/>
              <w:left w:val="nil"/>
              <w:bottom w:val="nil"/>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r w:rsidRPr="00DA4685">
              <w:rPr>
                <w:rFonts w:ascii="Times New Roman" w:hAnsi="Times New Roman" w:cs="Times New Roman"/>
              </w:rPr>
              <w:t>MRI pattern</w:t>
            </w:r>
          </w:p>
        </w:tc>
        <w:tc>
          <w:tcPr>
            <w:tcW w:w="2409" w:type="dxa"/>
            <w:tcBorders>
              <w:top w:val="nil"/>
              <w:left w:val="nil"/>
              <w:bottom w:val="nil"/>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bookmarkStart w:id="1" w:name="_GoBack"/>
            <w:bookmarkEnd w:id="1"/>
          </w:p>
        </w:tc>
        <w:tc>
          <w:tcPr>
            <w:tcW w:w="2410" w:type="dxa"/>
            <w:tcBorders>
              <w:top w:val="nil"/>
              <w:left w:val="nil"/>
              <w:bottom w:val="nil"/>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p>
        </w:tc>
        <w:tc>
          <w:tcPr>
            <w:tcW w:w="1276" w:type="dxa"/>
            <w:tcBorders>
              <w:top w:val="nil"/>
              <w:left w:val="nil"/>
              <w:bottom w:val="nil"/>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r w:rsidRPr="00DA4685">
              <w:rPr>
                <w:rFonts w:ascii="Times New Roman" w:hAnsi="Times New Roman" w:cs="Times New Roman"/>
              </w:rPr>
              <w:t>0.98</w:t>
            </w:r>
          </w:p>
        </w:tc>
      </w:tr>
      <w:tr w:rsidR="00DA4685" w:rsidRPr="00DA4685" w:rsidTr="00102EEF">
        <w:trPr>
          <w:trHeight w:val="285"/>
        </w:trPr>
        <w:tc>
          <w:tcPr>
            <w:tcW w:w="3405" w:type="dxa"/>
            <w:tcBorders>
              <w:top w:val="nil"/>
              <w:left w:val="nil"/>
              <w:bottom w:val="nil"/>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r w:rsidRPr="00DA4685">
              <w:rPr>
                <w:rFonts w:ascii="Times New Roman" w:hAnsi="Times New Roman" w:cs="Times New Roman" w:hint="eastAsia"/>
              </w:rPr>
              <w:t xml:space="preserve">　</w:t>
            </w:r>
            <w:r w:rsidRPr="00DA4685">
              <w:rPr>
                <w:rFonts w:ascii="Times New Roman" w:hAnsi="Times New Roman" w:cs="Times New Roman"/>
              </w:rPr>
              <w:t>Near total</w:t>
            </w:r>
          </w:p>
        </w:tc>
        <w:tc>
          <w:tcPr>
            <w:tcW w:w="2409" w:type="dxa"/>
            <w:tcBorders>
              <w:top w:val="nil"/>
              <w:left w:val="nil"/>
              <w:bottom w:val="nil"/>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r w:rsidRPr="00DA4685">
              <w:rPr>
                <w:rFonts w:ascii="Times New Roman" w:hAnsi="Times New Roman" w:cs="Times New Roman"/>
              </w:rPr>
              <w:t>14 (44%)</w:t>
            </w:r>
          </w:p>
        </w:tc>
        <w:tc>
          <w:tcPr>
            <w:tcW w:w="2410" w:type="dxa"/>
            <w:tcBorders>
              <w:top w:val="nil"/>
              <w:left w:val="nil"/>
              <w:bottom w:val="nil"/>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r w:rsidRPr="00DA4685">
              <w:rPr>
                <w:rFonts w:ascii="Times New Roman" w:hAnsi="Times New Roman" w:cs="Times New Roman"/>
              </w:rPr>
              <w:t>10 (43%)</w:t>
            </w:r>
          </w:p>
        </w:tc>
        <w:tc>
          <w:tcPr>
            <w:tcW w:w="1276" w:type="dxa"/>
            <w:tcBorders>
              <w:top w:val="nil"/>
              <w:left w:val="nil"/>
              <w:bottom w:val="nil"/>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p>
        </w:tc>
      </w:tr>
      <w:tr w:rsidR="00DA4685" w:rsidRPr="00DA4685" w:rsidTr="00102EEF">
        <w:trPr>
          <w:trHeight w:val="285"/>
        </w:trPr>
        <w:tc>
          <w:tcPr>
            <w:tcW w:w="3405" w:type="dxa"/>
            <w:tcBorders>
              <w:top w:val="nil"/>
              <w:left w:val="nil"/>
              <w:bottom w:val="nil"/>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r w:rsidRPr="00DA4685">
              <w:rPr>
                <w:rFonts w:ascii="Times New Roman" w:hAnsi="Times New Roman" w:cs="Times New Roman" w:hint="eastAsia"/>
              </w:rPr>
              <w:t xml:space="preserve">　</w:t>
            </w:r>
            <w:r w:rsidRPr="00DA4685">
              <w:rPr>
                <w:rFonts w:ascii="Times New Roman" w:hAnsi="Times New Roman" w:cs="Times New Roman"/>
              </w:rPr>
              <w:t>Basal ganglia/thalami</w:t>
            </w:r>
          </w:p>
        </w:tc>
        <w:tc>
          <w:tcPr>
            <w:tcW w:w="2409" w:type="dxa"/>
            <w:tcBorders>
              <w:top w:val="nil"/>
              <w:left w:val="nil"/>
              <w:bottom w:val="nil"/>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r w:rsidRPr="00DA4685">
              <w:rPr>
                <w:rFonts w:ascii="Times New Roman" w:hAnsi="Times New Roman" w:cs="Times New Roman"/>
              </w:rPr>
              <w:t>18 (56%)</w:t>
            </w:r>
          </w:p>
        </w:tc>
        <w:tc>
          <w:tcPr>
            <w:tcW w:w="2410" w:type="dxa"/>
            <w:tcBorders>
              <w:top w:val="nil"/>
              <w:left w:val="nil"/>
              <w:bottom w:val="nil"/>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r w:rsidRPr="00DA4685">
              <w:rPr>
                <w:rFonts w:ascii="Times New Roman" w:hAnsi="Times New Roman" w:cs="Times New Roman"/>
              </w:rPr>
              <w:t>13 (57%)</w:t>
            </w:r>
          </w:p>
        </w:tc>
        <w:tc>
          <w:tcPr>
            <w:tcW w:w="1276" w:type="dxa"/>
            <w:tcBorders>
              <w:top w:val="nil"/>
              <w:left w:val="nil"/>
              <w:bottom w:val="nil"/>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p>
        </w:tc>
      </w:tr>
      <w:tr w:rsidR="00DA4685" w:rsidRPr="00DA4685" w:rsidTr="00102EEF">
        <w:trPr>
          <w:trHeight w:val="285"/>
        </w:trPr>
        <w:tc>
          <w:tcPr>
            <w:tcW w:w="3405" w:type="dxa"/>
            <w:tcBorders>
              <w:top w:val="nil"/>
              <w:left w:val="nil"/>
              <w:bottom w:val="nil"/>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r w:rsidRPr="00DA4685">
              <w:rPr>
                <w:rFonts w:ascii="Times New Roman" w:hAnsi="Times New Roman" w:cs="Times New Roman"/>
              </w:rPr>
              <w:t>MRI device</w:t>
            </w:r>
          </w:p>
        </w:tc>
        <w:tc>
          <w:tcPr>
            <w:tcW w:w="2409" w:type="dxa"/>
            <w:tcBorders>
              <w:top w:val="nil"/>
              <w:left w:val="nil"/>
              <w:bottom w:val="nil"/>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p>
        </w:tc>
        <w:tc>
          <w:tcPr>
            <w:tcW w:w="2410" w:type="dxa"/>
            <w:tcBorders>
              <w:top w:val="nil"/>
              <w:left w:val="nil"/>
              <w:bottom w:val="nil"/>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p>
        </w:tc>
        <w:tc>
          <w:tcPr>
            <w:tcW w:w="1276" w:type="dxa"/>
            <w:tcBorders>
              <w:top w:val="nil"/>
              <w:left w:val="nil"/>
              <w:bottom w:val="nil"/>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r w:rsidRPr="00DA4685">
              <w:rPr>
                <w:rFonts w:ascii="Times New Roman" w:hAnsi="Times New Roman" w:cs="Times New Roman"/>
              </w:rPr>
              <w:t>&lt;0.001</w:t>
            </w:r>
          </w:p>
        </w:tc>
      </w:tr>
      <w:tr w:rsidR="00DA4685" w:rsidRPr="00DA4685" w:rsidTr="00102EEF">
        <w:trPr>
          <w:trHeight w:val="285"/>
        </w:trPr>
        <w:tc>
          <w:tcPr>
            <w:tcW w:w="3405" w:type="dxa"/>
            <w:tcBorders>
              <w:top w:val="nil"/>
              <w:left w:val="nil"/>
              <w:bottom w:val="nil"/>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r w:rsidRPr="00DA4685">
              <w:rPr>
                <w:rFonts w:ascii="Times New Roman" w:hAnsi="Times New Roman" w:cs="Times New Roman"/>
              </w:rPr>
              <w:t xml:space="preserve">    1.5 Tesla</w:t>
            </w:r>
          </w:p>
        </w:tc>
        <w:tc>
          <w:tcPr>
            <w:tcW w:w="2409" w:type="dxa"/>
            <w:tcBorders>
              <w:top w:val="nil"/>
              <w:left w:val="nil"/>
              <w:bottom w:val="nil"/>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r w:rsidRPr="00DA4685">
              <w:rPr>
                <w:rFonts w:ascii="Times New Roman" w:hAnsi="Times New Roman" w:cs="Times New Roman"/>
              </w:rPr>
              <w:t>1 (3%)</w:t>
            </w:r>
          </w:p>
        </w:tc>
        <w:tc>
          <w:tcPr>
            <w:tcW w:w="2410" w:type="dxa"/>
            <w:tcBorders>
              <w:top w:val="nil"/>
              <w:left w:val="nil"/>
              <w:bottom w:val="nil"/>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r w:rsidRPr="00DA4685">
              <w:rPr>
                <w:rFonts w:ascii="Times New Roman" w:hAnsi="Times New Roman" w:cs="Times New Roman"/>
              </w:rPr>
              <w:t>21 (91%)</w:t>
            </w:r>
          </w:p>
        </w:tc>
        <w:tc>
          <w:tcPr>
            <w:tcW w:w="1276" w:type="dxa"/>
            <w:tcBorders>
              <w:top w:val="nil"/>
              <w:left w:val="nil"/>
              <w:bottom w:val="nil"/>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p>
        </w:tc>
      </w:tr>
      <w:tr w:rsidR="00DA4685" w:rsidRPr="00DA4685" w:rsidTr="00102EEF">
        <w:trPr>
          <w:trHeight w:val="285"/>
        </w:trPr>
        <w:tc>
          <w:tcPr>
            <w:tcW w:w="3405" w:type="dxa"/>
            <w:tcBorders>
              <w:top w:val="nil"/>
              <w:left w:val="nil"/>
              <w:bottom w:val="nil"/>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r w:rsidRPr="00DA4685">
              <w:rPr>
                <w:rFonts w:ascii="Times New Roman" w:hAnsi="Times New Roman" w:cs="Times New Roman"/>
              </w:rPr>
              <w:t xml:space="preserve">    3.0 Tesla</w:t>
            </w:r>
          </w:p>
        </w:tc>
        <w:tc>
          <w:tcPr>
            <w:tcW w:w="2409" w:type="dxa"/>
            <w:tcBorders>
              <w:top w:val="nil"/>
              <w:left w:val="nil"/>
              <w:bottom w:val="nil"/>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r w:rsidRPr="00DA4685">
              <w:rPr>
                <w:rFonts w:ascii="Times New Roman" w:hAnsi="Times New Roman" w:cs="Times New Roman"/>
              </w:rPr>
              <w:t>31 (97%)</w:t>
            </w:r>
          </w:p>
        </w:tc>
        <w:tc>
          <w:tcPr>
            <w:tcW w:w="2410" w:type="dxa"/>
            <w:tcBorders>
              <w:top w:val="nil"/>
              <w:left w:val="nil"/>
              <w:bottom w:val="nil"/>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r w:rsidRPr="00DA4685">
              <w:rPr>
                <w:rFonts w:ascii="Times New Roman" w:hAnsi="Times New Roman" w:cs="Times New Roman"/>
              </w:rPr>
              <w:t>2 (9%)</w:t>
            </w:r>
          </w:p>
        </w:tc>
        <w:tc>
          <w:tcPr>
            <w:tcW w:w="1276" w:type="dxa"/>
            <w:tcBorders>
              <w:top w:val="nil"/>
              <w:left w:val="nil"/>
              <w:bottom w:val="nil"/>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p>
        </w:tc>
      </w:tr>
      <w:tr w:rsidR="00DA4685" w:rsidRPr="00DA4685" w:rsidTr="00102EEF">
        <w:trPr>
          <w:trHeight w:val="285"/>
        </w:trPr>
        <w:tc>
          <w:tcPr>
            <w:tcW w:w="3405" w:type="dxa"/>
            <w:tcBorders>
              <w:top w:val="nil"/>
              <w:left w:val="nil"/>
              <w:bottom w:val="nil"/>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r w:rsidRPr="00DA4685">
              <w:rPr>
                <w:rFonts w:ascii="Times New Roman" w:hAnsi="Times New Roman" w:cs="Times New Roman"/>
              </w:rPr>
              <w:t xml:space="preserve">Age at MRI (days, </w:t>
            </w:r>
            <w:proofErr w:type="spellStart"/>
            <w:r w:rsidRPr="00DA4685">
              <w:rPr>
                <w:rFonts w:ascii="Times New Roman" w:hAnsi="Times New Roman" w:cs="Times New Roman"/>
              </w:rPr>
              <w:t>mean±SD</w:t>
            </w:r>
            <w:proofErr w:type="spellEnd"/>
            <w:r w:rsidRPr="00DA4685">
              <w:rPr>
                <w:rFonts w:ascii="Times New Roman" w:hAnsi="Times New Roman" w:cs="Times New Roman"/>
              </w:rPr>
              <w:t>)</w:t>
            </w:r>
          </w:p>
        </w:tc>
        <w:tc>
          <w:tcPr>
            <w:tcW w:w="2409" w:type="dxa"/>
            <w:tcBorders>
              <w:top w:val="nil"/>
              <w:left w:val="nil"/>
              <w:bottom w:val="nil"/>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r w:rsidRPr="00DA4685">
              <w:rPr>
                <w:rFonts w:ascii="Times New Roman" w:hAnsi="Times New Roman" w:cs="Times New Roman"/>
              </w:rPr>
              <w:t>3.5 ± 1.3</w:t>
            </w:r>
          </w:p>
        </w:tc>
        <w:tc>
          <w:tcPr>
            <w:tcW w:w="2410" w:type="dxa"/>
            <w:tcBorders>
              <w:top w:val="nil"/>
              <w:left w:val="nil"/>
              <w:bottom w:val="nil"/>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r w:rsidRPr="00DA4685">
              <w:rPr>
                <w:rFonts w:ascii="Times New Roman" w:hAnsi="Times New Roman" w:cs="Times New Roman"/>
              </w:rPr>
              <w:t>3.6 ± 1.3</w:t>
            </w:r>
          </w:p>
        </w:tc>
        <w:tc>
          <w:tcPr>
            <w:tcW w:w="1276" w:type="dxa"/>
            <w:tcBorders>
              <w:top w:val="nil"/>
              <w:left w:val="nil"/>
              <w:bottom w:val="nil"/>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r w:rsidRPr="00DA4685">
              <w:rPr>
                <w:rFonts w:ascii="Times New Roman" w:hAnsi="Times New Roman" w:cs="Times New Roman"/>
              </w:rPr>
              <w:t>1.0</w:t>
            </w:r>
          </w:p>
        </w:tc>
      </w:tr>
      <w:tr w:rsidR="00DA4685" w:rsidRPr="00DA4685" w:rsidTr="00102EEF">
        <w:trPr>
          <w:trHeight w:val="23"/>
        </w:trPr>
        <w:tc>
          <w:tcPr>
            <w:tcW w:w="3405" w:type="dxa"/>
            <w:tcBorders>
              <w:top w:val="nil"/>
              <w:left w:val="nil"/>
              <w:bottom w:val="nil"/>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r w:rsidRPr="00DA4685">
              <w:rPr>
                <w:rFonts w:ascii="Times New Roman" w:hAnsi="Times New Roman" w:cs="Times New Roman"/>
              </w:rPr>
              <w:t>Died</w:t>
            </w:r>
          </w:p>
        </w:tc>
        <w:tc>
          <w:tcPr>
            <w:tcW w:w="2409" w:type="dxa"/>
            <w:tcBorders>
              <w:top w:val="nil"/>
              <w:left w:val="nil"/>
              <w:bottom w:val="nil"/>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r w:rsidRPr="00DA4685">
              <w:rPr>
                <w:rFonts w:ascii="Times New Roman" w:hAnsi="Times New Roman" w:cs="Times New Roman"/>
              </w:rPr>
              <w:t>25 (78%)</w:t>
            </w:r>
          </w:p>
        </w:tc>
        <w:tc>
          <w:tcPr>
            <w:tcW w:w="2410" w:type="dxa"/>
            <w:tcBorders>
              <w:top w:val="nil"/>
              <w:left w:val="nil"/>
              <w:bottom w:val="nil"/>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r w:rsidRPr="00DA4685">
              <w:rPr>
                <w:rFonts w:ascii="Times New Roman" w:hAnsi="Times New Roman" w:cs="Times New Roman"/>
              </w:rPr>
              <w:t>13 (57%)</w:t>
            </w:r>
          </w:p>
        </w:tc>
        <w:tc>
          <w:tcPr>
            <w:tcW w:w="1276" w:type="dxa"/>
            <w:tcBorders>
              <w:top w:val="nil"/>
              <w:left w:val="nil"/>
              <w:bottom w:val="nil"/>
              <w:right w:val="nil"/>
            </w:tcBorders>
            <w:shd w:val="clear" w:color="auto" w:fill="auto"/>
            <w:tcMar>
              <w:top w:w="72" w:type="dxa"/>
              <w:left w:w="144" w:type="dxa"/>
              <w:bottom w:w="72" w:type="dxa"/>
              <w:right w:w="144" w:type="dxa"/>
            </w:tcMar>
            <w:hideMark/>
          </w:tcPr>
          <w:p w:rsidR="00DA4685" w:rsidRPr="00DA4685" w:rsidRDefault="00DA4685" w:rsidP="00102EEF">
            <w:pPr>
              <w:rPr>
                <w:rFonts w:ascii="Times New Roman" w:hAnsi="Times New Roman" w:cs="Times New Roman"/>
              </w:rPr>
            </w:pPr>
            <w:r w:rsidRPr="00DA4685">
              <w:rPr>
                <w:rFonts w:ascii="Times New Roman" w:hAnsi="Times New Roman" w:cs="Times New Roman"/>
              </w:rPr>
              <w:t>0.09</w:t>
            </w:r>
          </w:p>
        </w:tc>
      </w:tr>
    </w:tbl>
    <w:p w:rsidR="00DA4685" w:rsidRPr="00A345F2" w:rsidRDefault="00DA4685" w:rsidP="00DA4685">
      <w:pPr>
        <w:spacing w:after="0" w:line="480" w:lineRule="auto"/>
        <w:rPr>
          <w:rFonts w:ascii="Times New Roman" w:hAnsi="Times New Roman" w:cs="Times New Roman"/>
        </w:rPr>
      </w:pPr>
      <w:r w:rsidRPr="00DA4685">
        <w:rPr>
          <w:rFonts w:ascii="Times New Roman" w:hAnsi="Times New Roman" w:cs="Times New Roman"/>
        </w:rPr>
        <w:t>*Early group (n=31), Late group (n=22), **Early group (n=31), Late group (n=23) ***Early group (n=27), Late group (n=20)</w:t>
      </w:r>
      <w:r w:rsidRPr="00A345F2">
        <w:rPr>
          <w:rFonts w:ascii="Times New Roman" w:hAnsi="Times New Roman" w:cs="Times New Roman"/>
        </w:rPr>
        <w:t xml:space="preserve"> </w:t>
      </w:r>
    </w:p>
    <w:p w:rsidR="00DA4685" w:rsidRPr="00DA4685" w:rsidRDefault="00DA4685" w:rsidP="00DA4685">
      <w:pPr>
        <w:spacing w:after="0" w:line="480" w:lineRule="auto"/>
        <w:rPr>
          <w:rFonts w:ascii="Times New Roman" w:hAnsi="Times New Roman" w:cs="Times New Roman"/>
          <w:lang w:eastAsia="ja-JP"/>
        </w:rPr>
      </w:pPr>
    </w:p>
    <w:p w:rsidR="008E2FA2" w:rsidRPr="00DA4685" w:rsidRDefault="008E2FA2"/>
    <w:sectPr w:rsidR="008E2FA2" w:rsidRPr="00DA46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685"/>
    <w:rsid w:val="00157122"/>
    <w:rsid w:val="008E2FA2"/>
    <w:rsid w:val="00DA46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13C6"/>
  <w15:chartTrackingRefBased/>
  <w15:docId w15:val="{2ABCF838-D7ED-4746-8926-EE80EDE02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A4685"/>
    <w:pPr>
      <w:spacing w:after="200" w:line="276" w:lineRule="auto"/>
    </w:pPr>
    <w:rPr>
      <w:rFonts w:ascii="Segoe UI" w:eastAsiaTheme="minorEastAsia" w:hAnsi="Segoe UI"/>
      <w:kern w:val="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A46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Groenendaal@umcutrecht.n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457</Words>
  <Characters>2884</Characters>
  <Application>Microsoft Office Word</Application>
  <DocSecurity>0</DocSecurity>
  <Lines>24</Lines>
  <Paragraphs>6</Paragraphs>
  <ScaleCrop>false</ScaleCrop>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 Angela</dc:creator>
  <cp:keywords/>
  <dc:description/>
  <cp:lastModifiedBy>Lorenz, Angela</cp:lastModifiedBy>
  <cp:revision>1</cp:revision>
  <dcterms:created xsi:type="dcterms:W3CDTF">2018-04-10T09:55:00Z</dcterms:created>
  <dcterms:modified xsi:type="dcterms:W3CDTF">2018-04-10T09:56:00Z</dcterms:modified>
</cp:coreProperties>
</file>