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D6" w:rsidRPr="00A778B6" w:rsidRDefault="00A457D6" w:rsidP="00A457D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78B6">
        <w:rPr>
          <w:rFonts w:ascii="Times New Roman" w:hAnsi="Times New Roman" w:cs="Times New Roman"/>
          <w:b/>
          <w:sz w:val="24"/>
          <w:szCs w:val="24"/>
        </w:rPr>
        <w:t>Appendix Table 1: Weighted baseline characteristic comparisons</w:t>
      </w:r>
    </w:p>
    <w:tbl>
      <w:tblPr>
        <w:tblW w:w="10052" w:type="dxa"/>
        <w:tblInd w:w="-23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"/>
        <w:gridCol w:w="707"/>
        <w:gridCol w:w="2656"/>
        <w:gridCol w:w="241"/>
        <w:gridCol w:w="6"/>
        <w:gridCol w:w="906"/>
        <w:gridCol w:w="807"/>
        <w:gridCol w:w="1055"/>
        <w:gridCol w:w="207"/>
        <w:gridCol w:w="28"/>
        <w:gridCol w:w="601"/>
        <w:gridCol w:w="62"/>
        <w:gridCol w:w="28"/>
        <w:gridCol w:w="90"/>
        <w:gridCol w:w="91"/>
        <w:gridCol w:w="1149"/>
        <w:gridCol w:w="199"/>
        <w:gridCol w:w="26"/>
        <w:gridCol w:w="64"/>
        <w:gridCol w:w="554"/>
        <w:gridCol w:w="45"/>
        <w:gridCol w:w="30"/>
        <w:gridCol w:w="150"/>
        <w:gridCol w:w="66"/>
        <w:gridCol w:w="53"/>
      </w:tblGrid>
      <w:tr w:rsidR="00DF6AA4" w:rsidRPr="00DF6AA4" w:rsidTr="00DF6AA4">
        <w:trPr>
          <w:gridBefore w:val="1"/>
          <w:gridAfter w:val="2"/>
          <w:wBefore w:w="232" w:type="dxa"/>
          <w:wAfter w:w="119" w:type="dxa"/>
          <w:trHeight w:val="502"/>
        </w:trPr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Continuers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Interrupters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P-value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Discontinuers</w:t>
            </w:r>
          </w:p>
        </w:tc>
        <w:tc>
          <w:tcPr>
            <w:tcW w:w="869" w:type="dxa"/>
            <w:gridSpan w:val="6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P-value</w:t>
            </w:r>
          </w:p>
        </w:tc>
      </w:tr>
      <w:tr w:rsidR="00DF6AA4" w:rsidRPr="00DF6AA4" w:rsidTr="00DF6AA4">
        <w:trPr>
          <w:gridBefore w:val="1"/>
          <w:gridAfter w:val="2"/>
          <w:wBefore w:w="232" w:type="dxa"/>
          <w:wAfter w:w="119" w:type="dxa"/>
          <w:trHeight w:val="233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3,786)</w:t>
            </w:r>
          </w:p>
        </w:tc>
        <w:tc>
          <w:tcPr>
            <w:tcW w:w="126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11,880)</w:t>
            </w:r>
          </w:p>
        </w:tc>
        <w:tc>
          <w:tcPr>
            <w:tcW w:w="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3,444)</w:t>
            </w:r>
          </w:p>
        </w:tc>
        <w:tc>
          <w:tcPr>
            <w:tcW w:w="869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6AA4" w:rsidRPr="00DF6AA4" w:rsidTr="007D1DC9">
        <w:trPr>
          <w:gridBefore w:val="1"/>
          <w:gridAfter w:val="2"/>
          <w:wBefore w:w="232" w:type="dxa"/>
          <w:wAfter w:w="119" w:type="dxa"/>
          <w:trHeight w:val="78"/>
        </w:trPr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[A]</w:t>
            </w:r>
          </w:p>
        </w:tc>
        <w:tc>
          <w:tcPr>
            <w:tcW w:w="1261" w:type="dxa"/>
            <w:gridSpan w:val="2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[B]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 vs. B]</w:t>
            </w: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[C]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 vs. C]</w:t>
            </w: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1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Demographics</w:t>
            </w:r>
          </w:p>
        </w:tc>
        <w:tc>
          <w:tcPr>
            <w:tcW w:w="1713" w:type="dxa"/>
            <w:gridSpan w:val="2"/>
            <w:tcBorders>
              <w:top w:val="single" w:sz="8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8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208" w:type="dxa"/>
            <w:gridSpan w:val="3"/>
            <w:tcBorders>
              <w:top w:val="single" w:sz="8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8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66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Age on index date, mean (SD)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59.7 (10.9)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59.4 (12.4)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0.160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59.6 (12.8)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0.859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Gender (male), %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60.1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59.9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0.800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59.4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0.579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Mode of delivery of index basal insulin, %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Pen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59.5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59.3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0.877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60.1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0.596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Vial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35.0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35.0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0.184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34.2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0.496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Cartridge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5.6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5.7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0.376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5.7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0.781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Index basal insulin, %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Insulin </w:t>
            </w:r>
            <w:proofErr w:type="spellStart"/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glargine</w:t>
            </w:r>
            <w:proofErr w:type="spellEnd"/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72.8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74.1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0.095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72.6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0.848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Insulin </w:t>
            </w:r>
            <w:proofErr w:type="spellStart"/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detemir</w:t>
            </w:r>
            <w:proofErr w:type="spellEnd"/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22.3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21.2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0.184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22.8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0.564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NPH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5.0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4.6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0.376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4.6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0.467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Select comorbidities, 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ind w:right="3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438" w:type="dxa"/>
            <w:gridSpan w:val="4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Retinopathy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0.555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0.744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Diabetic foot (including lower limb amputations)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0.710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0.416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Nephropathy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0.834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0.943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Hypertension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50.3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50.0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0.749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50.4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0.944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Dyslipidemia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39.2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38.7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0.575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38.9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0.777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Cardiovascular disease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16.7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0.416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0.506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Congestive heart failure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0.575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7.9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0.798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Peripheral vascular disease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0.957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0.978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Stroke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0.499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5.0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0.299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Depression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6.0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0.404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0.331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Obesity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0.688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0.784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Other neurological disorders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0.783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0.763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Hypoglycemic event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0.522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0.472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wBefore w:w="232" w:type="dxa"/>
          <w:trHeight w:val="213"/>
        </w:trPr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Dementia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1262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0.980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0.979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9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CCI,</w:t>
            </w: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7"/>
                <w:vertAlign w:val="superscript"/>
              </w:rPr>
              <w:t xml:space="preserve"> </w:t>
            </w: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mean (SD)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1.8 (1.6)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1.7 (1.5)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0.636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1.8 (1.5)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0.665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7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Medical resource use (% with ≥1 visit)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kern w:val="24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7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246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ED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26.8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26.7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0.963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25.6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0.266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7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246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Inpatient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51.4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52.2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0.396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54.1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0.025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7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246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Outpatient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91.2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92.7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both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*</w:t>
            </w: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92.7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0.016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7"/>
        </w:trPr>
        <w:tc>
          <w:tcPr>
            <w:tcW w:w="36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246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Other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45.6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45.5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0.887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45.1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0.638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608"/>
        </w:trPr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Primary care visits, mean (SD)</w:t>
            </w:r>
          </w:p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At least one endocrinologist visits, %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3.1 (3.3)</w:t>
            </w:r>
          </w:p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12.6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3.1 (3.3)</w:t>
            </w:r>
          </w:p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13.5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0.791</w:t>
            </w:r>
          </w:p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0.146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kern w:val="24"/>
              </w:rPr>
              <w:t>3.1 (3.2)</w:t>
            </w:r>
          </w:p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kern w:val="24"/>
              </w:rPr>
              <w:t>15.1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kern w:val="24"/>
              </w:rPr>
              <w:t>0.612</w:t>
            </w:r>
          </w:p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kern w:val="24"/>
              </w:rPr>
              <w:t>0.002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7"/>
        </w:trPr>
        <w:tc>
          <w:tcPr>
            <w:tcW w:w="36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i/>
                <w:color w:val="000000"/>
                <w:kern w:val="24"/>
              </w:rPr>
              <w:t>(contd.)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1582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</w:tr>
      <w:tr w:rsidR="00DF6AA4" w:rsidRPr="00DF6AA4" w:rsidTr="00DF6AA4">
        <w:trPr>
          <w:gridBefore w:val="1"/>
          <w:gridAfter w:val="2"/>
          <w:wBefore w:w="232" w:type="dxa"/>
          <w:wAfter w:w="119" w:type="dxa"/>
          <w:trHeight w:val="502"/>
        </w:trPr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lastRenderedPageBreak/>
              <w:t> 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1719" w:type="dxa"/>
            <w:gridSpan w:val="3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Continuers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Interrupters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8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P-value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Discontinuers</w:t>
            </w:r>
          </w:p>
        </w:tc>
        <w:tc>
          <w:tcPr>
            <w:tcW w:w="869" w:type="dxa"/>
            <w:gridSpan w:val="6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P-value</w:t>
            </w:r>
          </w:p>
        </w:tc>
      </w:tr>
      <w:tr w:rsidR="00DF6AA4" w:rsidRPr="00DF6AA4" w:rsidTr="00DF6AA4">
        <w:trPr>
          <w:gridBefore w:val="1"/>
          <w:gridAfter w:val="2"/>
          <w:wBefore w:w="232" w:type="dxa"/>
          <w:wAfter w:w="119" w:type="dxa"/>
          <w:trHeight w:val="233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3,786)</w:t>
            </w:r>
          </w:p>
        </w:tc>
        <w:tc>
          <w:tcPr>
            <w:tcW w:w="126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11,880)</w:t>
            </w:r>
          </w:p>
        </w:tc>
        <w:tc>
          <w:tcPr>
            <w:tcW w:w="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3,444)</w:t>
            </w:r>
          </w:p>
        </w:tc>
        <w:tc>
          <w:tcPr>
            <w:tcW w:w="869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6AA4" w:rsidRPr="00DF6AA4" w:rsidTr="00DF6AA4">
        <w:trPr>
          <w:gridBefore w:val="1"/>
          <w:gridAfter w:val="2"/>
          <w:wBefore w:w="232" w:type="dxa"/>
          <w:wAfter w:w="119" w:type="dxa"/>
          <w:trHeight w:val="78"/>
        </w:trPr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[A]</w:t>
            </w:r>
          </w:p>
        </w:tc>
        <w:tc>
          <w:tcPr>
            <w:tcW w:w="1261" w:type="dxa"/>
            <w:gridSpan w:val="2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[B]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 vs. B]</w:t>
            </w:r>
          </w:p>
        </w:tc>
        <w:tc>
          <w:tcPr>
            <w:tcW w:w="1348" w:type="dxa"/>
            <w:gridSpan w:val="2"/>
            <w:tcBorders>
              <w:top w:val="nil"/>
              <w:left w:val="dotted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[C]</w:t>
            </w:r>
          </w:p>
        </w:tc>
        <w:tc>
          <w:tcPr>
            <w:tcW w:w="86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 vs. C]</w:t>
            </w:r>
          </w:p>
        </w:tc>
      </w:tr>
      <w:tr w:rsidR="00A457D6" w:rsidRPr="00CF3143" w:rsidTr="009A3228">
        <w:trPr>
          <w:gridAfter w:val="5"/>
          <w:wAfter w:w="344" w:type="dxa"/>
          <w:trHeight w:val="297"/>
        </w:trPr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246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Non-insulin </w:t>
            </w:r>
            <w:proofErr w:type="spellStart"/>
            <w:r w:rsidRPr="00CF314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antihyperglycemic</w:t>
            </w:r>
            <w:proofErr w:type="spellEnd"/>
            <w:r w:rsidRPr="00CF3143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prescription use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05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49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7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246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Number of unique classes, mean (SD)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1.9 (1.3)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1.9 (1.3)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0.557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1.9 (1.3)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0.710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7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246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At least one prescription fill, %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80.1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81.7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0.031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*</w:t>
            </w: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80.7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0.518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7"/>
        </w:trPr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246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ind w:left="274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Any oral </w:t>
            </w:r>
            <w:proofErr w:type="spellStart"/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antihyperglycemic</w:t>
            </w:r>
            <w:proofErr w:type="spellEnd"/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drug 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79.5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80.9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0.057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80.0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0.591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9A3228">
        <w:trPr>
          <w:gridBefore w:val="1"/>
          <w:gridAfter w:val="2"/>
          <w:wBefore w:w="232" w:type="dxa"/>
          <w:wAfter w:w="119" w:type="dxa"/>
          <w:trHeight w:val="297"/>
        </w:trPr>
        <w:tc>
          <w:tcPr>
            <w:tcW w:w="36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246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ind w:left="274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Any injectable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11.0</w:t>
            </w:r>
          </w:p>
        </w:tc>
        <w:tc>
          <w:tcPr>
            <w:tcW w:w="1290" w:type="dxa"/>
            <w:gridSpan w:val="3"/>
            <w:tcBorders>
              <w:top w:val="nil"/>
              <w:left w:val="dotted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11.0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0.909</w:t>
            </w: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jc w:val="righ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dotted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11.2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0.782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7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57D6" w:rsidRDefault="00A457D6" w:rsidP="00A457D6">
      <w:r w:rsidRPr="00CF3143">
        <w:rPr>
          <w:rFonts w:ascii="Times New Roman" w:hAnsi="Times New Roman" w:cs="Times New Roman"/>
          <w:b/>
          <w:i/>
        </w:rPr>
        <w:t xml:space="preserve">Notes: </w:t>
      </w:r>
      <w:r w:rsidRPr="00CF3143">
        <w:rPr>
          <w:rFonts w:ascii="Times New Roman" w:hAnsi="Times New Roman" w:cs="Times New Roman"/>
        </w:rPr>
        <w:t xml:space="preserve">CCI = </w:t>
      </w:r>
      <w:proofErr w:type="spellStart"/>
      <w:r w:rsidRPr="00CF3143">
        <w:rPr>
          <w:rFonts w:ascii="Times New Roman" w:hAnsi="Times New Roman" w:cs="Times New Roman"/>
        </w:rPr>
        <w:t>Charlson</w:t>
      </w:r>
      <w:proofErr w:type="spellEnd"/>
      <w:r w:rsidRPr="00CF3143">
        <w:rPr>
          <w:rFonts w:ascii="Times New Roman" w:hAnsi="Times New Roman" w:cs="Times New Roman"/>
        </w:rPr>
        <w:t xml:space="preserve"> comorbidity index, ED = emergency department, SD = standard deviation; *</w:t>
      </w:r>
      <w:proofErr w:type="gramStart"/>
      <w:r w:rsidRPr="00CF3143">
        <w:rPr>
          <w:rFonts w:ascii="Times New Roman" w:hAnsi="Times New Roman" w:cs="Times New Roman"/>
        </w:rPr>
        <w:t>Statistically</w:t>
      </w:r>
      <w:proofErr w:type="gramEnd"/>
      <w:r w:rsidRPr="00CF3143">
        <w:rPr>
          <w:rFonts w:ascii="Times New Roman" w:hAnsi="Times New Roman" w:cs="Times New Roman"/>
        </w:rPr>
        <w:t xml:space="preserve"> significant at p&lt;0.05; P-values estimated relative to continuers cohort using weighted chi-squared tests for categorical variables and weighted t-tests for continuous variables. Weights were estimated as the inverse of propensity scores. Propensity scores were estimated among the full sample of continuers, interrupters, and discontinuers using a multinomial logistic regression that accounted for observed differences in demographics, index basal insulin (type and mode of delivery), year of index date, select baseline comorbidities, select non-insulin </w:t>
      </w:r>
      <w:proofErr w:type="spellStart"/>
      <w:r w:rsidRPr="00CF3143">
        <w:rPr>
          <w:rFonts w:ascii="Times New Roman" w:hAnsi="Times New Roman" w:cs="Times New Roman"/>
        </w:rPr>
        <w:t>antihyperglycemic</w:t>
      </w:r>
      <w:proofErr w:type="spellEnd"/>
      <w:r w:rsidRPr="00CF3143">
        <w:rPr>
          <w:rFonts w:ascii="Times New Roman" w:hAnsi="Times New Roman" w:cs="Times New Roman"/>
        </w:rPr>
        <w:t xml:space="preserve"> and other prescription drug use in baseline, and resource use in baseline; Any injectable includes amylin analogues and GLP-1 receptor agonists.</w:t>
      </w:r>
      <w:r>
        <w:br w:type="page"/>
      </w:r>
    </w:p>
    <w:p w:rsidR="00A457D6" w:rsidRPr="00A778B6" w:rsidRDefault="00A457D6" w:rsidP="00A457D6">
      <w:pPr>
        <w:rPr>
          <w:rFonts w:ascii="Times New Roman" w:hAnsi="Times New Roman" w:cs="Times New Roman"/>
          <w:b/>
          <w:sz w:val="24"/>
          <w:szCs w:val="24"/>
        </w:rPr>
      </w:pPr>
      <w:r w:rsidRPr="00A778B6">
        <w:rPr>
          <w:rFonts w:ascii="Times New Roman" w:hAnsi="Times New Roman" w:cs="Times New Roman"/>
          <w:b/>
          <w:sz w:val="24"/>
          <w:szCs w:val="24"/>
        </w:rPr>
        <w:lastRenderedPageBreak/>
        <w:t>Appendix Table 2: Adjusted healthcare resource use and costs in the second year after treatment initiation</w:t>
      </w:r>
    </w:p>
    <w:tbl>
      <w:tblPr>
        <w:tblW w:w="95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3030"/>
        <w:gridCol w:w="1360"/>
        <w:gridCol w:w="1362"/>
        <w:gridCol w:w="638"/>
        <w:gridCol w:w="222"/>
        <w:gridCol w:w="1365"/>
        <w:gridCol w:w="638"/>
        <w:gridCol w:w="221"/>
      </w:tblGrid>
      <w:tr w:rsidR="007D1DC9" w:rsidRPr="00DF6AA4" w:rsidTr="007D1DC9">
        <w:trPr>
          <w:trHeight w:val="502"/>
        </w:trPr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Continuers</w:t>
            </w:r>
          </w:p>
        </w:tc>
        <w:tc>
          <w:tcPr>
            <w:tcW w:w="1362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Interrupters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P-value</w:t>
            </w:r>
          </w:p>
        </w:tc>
        <w:tc>
          <w:tcPr>
            <w:tcW w:w="1365" w:type="dxa"/>
            <w:tcBorders>
              <w:top w:val="single" w:sz="8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Discontinuers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P-value</w:t>
            </w:r>
          </w:p>
        </w:tc>
      </w:tr>
      <w:tr w:rsidR="00DF6AA4" w:rsidRPr="00DF6AA4" w:rsidTr="007D1DC9">
        <w:trPr>
          <w:trHeight w:val="2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3,786)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11,880)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3,444)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6AA4" w:rsidRPr="00DF6AA4" w:rsidTr="007D1DC9">
        <w:trPr>
          <w:trHeight w:val="78"/>
        </w:trPr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[A]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[B]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 vs. B]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[C]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 vs. C]</w:t>
            </w:r>
          </w:p>
        </w:tc>
      </w:tr>
      <w:tr w:rsidR="00BD5B65" w:rsidRPr="00CF3143" w:rsidTr="00284C1A">
        <w:trPr>
          <w:trHeight w:val="233"/>
        </w:trPr>
        <w:tc>
          <w:tcPr>
            <w:tcW w:w="5099" w:type="dxa"/>
            <w:gridSpan w:val="3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Medical resource use,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% with ≥1 visit</w:t>
            </w:r>
          </w:p>
        </w:tc>
        <w:tc>
          <w:tcPr>
            <w:tcW w:w="1362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single" w:sz="8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65" w:rsidRPr="00CF3143" w:rsidTr="00284C1A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64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All-cause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82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65" w:rsidRPr="00CF3143" w:rsidTr="00284C1A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Emergency department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32.3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BD5B65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35.9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BD5B65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35.4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BD5B65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BD5B65" w:rsidRPr="00CF3143" w:rsidTr="00284C1A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Inpatient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BD5B65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62.6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63.0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0.668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62.0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0.593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BD5B65" w:rsidRPr="00CF3143" w:rsidTr="00284C1A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Outpatient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98.4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97.5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95.1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BD5B65" w:rsidRPr="00CF3143" w:rsidTr="00284C1A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Other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61.1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58.4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55.7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BD5B65" w:rsidRPr="00CF3143" w:rsidTr="00284C1A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64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T2DM-related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65" w:rsidRPr="00CF3143" w:rsidTr="00284C1A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Emerge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ncy department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8.9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10.0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9.5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0.335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65" w:rsidRPr="00CF3143" w:rsidTr="00284C1A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Inpatient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32.3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33.5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31.2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0.278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65" w:rsidRPr="00CF3143" w:rsidTr="00284C1A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64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Hypoglycemia-related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82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Emergency department </w:t>
            </w:r>
          </w:p>
        </w:tc>
        <w:tc>
          <w:tcPr>
            <w:tcW w:w="136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1.4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1.8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0.088</w:t>
            </w:r>
          </w:p>
        </w:tc>
        <w:tc>
          <w:tcPr>
            <w:tcW w:w="222" w:type="dxa"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1.6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0.567</w:t>
            </w:r>
          </w:p>
        </w:tc>
        <w:tc>
          <w:tcPr>
            <w:tcW w:w="2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Inpatient</w:t>
            </w:r>
          </w:p>
        </w:tc>
        <w:tc>
          <w:tcPr>
            <w:tcW w:w="136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BD5B65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1.8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2.4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0.025</w:t>
            </w:r>
          </w:p>
        </w:tc>
        <w:tc>
          <w:tcPr>
            <w:tcW w:w="222" w:type="dxa"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2.1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0.313</w:t>
            </w:r>
          </w:p>
        </w:tc>
        <w:tc>
          <w:tcPr>
            <w:tcW w:w="2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BD5B65" w:rsidRPr="00CF3143" w:rsidRDefault="00BD5B65" w:rsidP="00284C1A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A457D6" w:rsidRPr="00CF3143" w:rsidTr="007D1DC9">
        <w:trPr>
          <w:trHeight w:val="233"/>
        </w:trPr>
        <w:tc>
          <w:tcPr>
            <w:tcW w:w="5099" w:type="dxa"/>
            <w:gridSpan w:val="3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Medical resource use, mean (SD) days/visits</w:t>
            </w:r>
          </w:p>
        </w:tc>
        <w:tc>
          <w:tcPr>
            <w:tcW w:w="1362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64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All-cause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82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Emergency department visits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0.7 (1.7)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0.9 (2.1)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0.9 (2.1)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&lt;0.013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Inpatient days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7.8 (22.0)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8.6 (23.9)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7.9 (21.2)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0.801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Outpatient visits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16.9 (15.0)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16.0 (15.7)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15.1 (15.6)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Other visits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4.0 (8.9)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3.9 (9.8)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3.4 (8.1)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64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T2DM-related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Emergency department visits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 (0.5)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 (0.6)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 (0.5)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0.773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Inpatient days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2.8 (13.2)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3.0 (14.0)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2.6 (11.7)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0.483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64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Hypoglycemia-related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82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Emergency department visits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 (0.2)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 (0.3)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0.558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 (0.2)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0.606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Inpatient days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 (2.9)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 (3.2)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0.377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 (4.6)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0.204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Prescription drug 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64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Pre-mixed and non-basal insulin 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At least one prescription fill, 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37.2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30.6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16.3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493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Pre-mixed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7.0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4.0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2.7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493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Non-basal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31.7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26.8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14.4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64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Non-insulin </w:t>
            </w:r>
            <w:proofErr w:type="spellStart"/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antihyperglycemic</w:t>
            </w:r>
            <w:proofErr w:type="spellEnd"/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prescription drug 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Number of unique classes, mean (SD)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1.4 (1.1)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1.5 (1.1)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1.6 (1.3)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≥1 prescription fill, 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75.3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77.3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73.8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0.149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493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Any oral </w:t>
            </w:r>
            <w:proofErr w:type="spellStart"/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antihyperglycemic</w:t>
            </w:r>
            <w:proofErr w:type="spellEnd"/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drug</w:t>
            </w:r>
          </w:p>
        </w:tc>
        <w:tc>
          <w:tcPr>
            <w:tcW w:w="136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73.6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76.1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72.4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0.279</w:t>
            </w:r>
          </w:p>
        </w:tc>
        <w:tc>
          <w:tcPr>
            <w:tcW w:w="22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493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Any injectable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11.3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10.0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0.024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10.6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0.347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B65" w:rsidRPr="007D1DC9" w:rsidRDefault="00BD5B65" w:rsidP="007D1DC9">
      <w:pPr>
        <w:jc w:val="center"/>
        <w:rPr>
          <w:i/>
        </w:rPr>
      </w:pPr>
      <w:proofErr w:type="gramStart"/>
      <w:r w:rsidRPr="007D1DC9">
        <w:rPr>
          <w:i/>
        </w:rPr>
        <w:t>(contd.)</w:t>
      </w:r>
      <w:proofErr w:type="gramEnd"/>
    </w:p>
    <w:p w:rsidR="00BD5B65" w:rsidRDefault="00BD5B65">
      <w:r>
        <w:br w:type="page"/>
      </w:r>
    </w:p>
    <w:tbl>
      <w:tblPr>
        <w:tblW w:w="95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3030"/>
        <w:gridCol w:w="1360"/>
        <w:gridCol w:w="1362"/>
        <w:gridCol w:w="638"/>
        <w:gridCol w:w="222"/>
        <w:gridCol w:w="1365"/>
        <w:gridCol w:w="638"/>
        <w:gridCol w:w="221"/>
      </w:tblGrid>
      <w:tr w:rsidR="00BD5B65" w:rsidRPr="00284C1A" w:rsidTr="00284C1A">
        <w:trPr>
          <w:trHeight w:val="502"/>
        </w:trPr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lastRenderedPageBreak/>
              <w:t> 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Continuers</w:t>
            </w:r>
          </w:p>
        </w:tc>
        <w:tc>
          <w:tcPr>
            <w:tcW w:w="1362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Interrupters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P-value</w:t>
            </w:r>
          </w:p>
        </w:tc>
        <w:tc>
          <w:tcPr>
            <w:tcW w:w="1365" w:type="dxa"/>
            <w:tcBorders>
              <w:top w:val="single" w:sz="8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Discontinuers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P-value</w:t>
            </w:r>
          </w:p>
        </w:tc>
      </w:tr>
      <w:tr w:rsidR="00BD5B65" w:rsidRPr="00284C1A" w:rsidTr="00284C1A">
        <w:trPr>
          <w:trHeight w:val="23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284C1A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284C1A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3,786)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11,880)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B65" w:rsidRPr="00284C1A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(N = 3,444)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B65" w:rsidRPr="00284C1A" w:rsidRDefault="00BD5B65" w:rsidP="00284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65" w:rsidRPr="00284C1A" w:rsidTr="00284C1A">
        <w:trPr>
          <w:trHeight w:val="78"/>
        </w:trPr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11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11" w:lineRule="atLeast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[A]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[B]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 vs. B]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[C]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BD5B65" w:rsidRPr="00DF6AA4" w:rsidRDefault="00BD5B65" w:rsidP="00284C1A">
            <w:pPr>
              <w:spacing w:after="0" w:line="211" w:lineRule="atLeast"/>
              <w:jc w:val="center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284C1A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[A vs. C]</w:t>
            </w: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Healthcare costs, mean (SD)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82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52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64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All-cause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82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125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center"/>
            <w:hideMark/>
          </w:tcPr>
          <w:p w:rsidR="00A457D6" w:rsidRPr="00CF3143" w:rsidRDefault="00A457D6" w:rsidP="009A3228">
            <w:pPr>
              <w:spacing w:after="0" w:line="1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$20,265 ($51,115)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$18,777 ($44,816)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0.197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13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$15,678 ($32,732)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13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13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7D1DC9" w:rsidRPr="00CF3143" w:rsidTr="007D1DC9">
        <w:trPr>
          <w:trHeight w:val="115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center"/>
            <w:hideMark/>
          </w:tcPr>
          <w:p w:rsidR="00A457D6" w:rsidRPr="00CF3143" w:rsidRDefault="00A457D6" w:rsidP="009A3228">
            <w:pPr>
              <w:spacing w:after="0" w:line="104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Medical costs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04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$12,494 ($49,742)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04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$13,553 ($43,263)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04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0.344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04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04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$11,327 ($29,990)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104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0.330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center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Pharmacy costs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$7,772 ($8,569)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$5,224 ($7,874)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$4,351 ($10,043)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164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T2DM-related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center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$8,027 ($13,565)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$6,210 ($17,139)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$4,858 ($16,672)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</w:rPr>
              <w:t>*</w:t>
            </w: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center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Medical costs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$4,157 ($31,512)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$3,858 ($17,039)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0.654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$3,304 ($16,538)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0.243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</w:p>
        </w:tc>
      </w:tr>
      <w:tr w:rsidR="007D1DC9" w:rsidRPr="00CF3143" w:rsidTr="007D1DC9">
        <w:trPr>
          <w:trHeight w:val="233"/>
        </w:trPr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329" w:type="dxa"/>
              <w:bottom w:w="0" w:type="dxa"/>
              <w:right w:w="9" w:type="dxa"/>
            </w:tcMar>
            <w:vAlign w:val="center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Pharmacy costs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$3,870 ($3,052)</w:t>
            </w:r>
          </w:p>
        </w:tc>
        <w:tc>
          <w:tcPr>
            <w:tcW w:w="1362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$2,352 ($2,181)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  <w:tc>
          <w:tcPr>
            <w:tcW w:w="1365" w:type="dxa"/>
            <w:tcBorders>
              <w:top w:val="nil"/>
              <w:left w:val="dotted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center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$1,554 ($2,033)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jc w:val="righ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&lt;0.001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11" w:lineRule="atLeast"/>
              <w:textAlignment w:val="bottom"/>
              <w:rPr>
                <w:rFonts w:ascii="Times New Roman" w:eastAsia="Times New Roman" w:hAnsi="Times New Roman" w:cs="Times New Roman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/>
                <w:kern w:val="24"/>
              </w:rPr>
              <w:t>*</w:t>
            </w:r>
          </w:p>
        </w:tc>
      </w:tr>
    </w:tbl>
    <w:p w:rsidR="00A457D6" w:rsidRPr="00CF3143" w:rsidRDefault="00A457D6" w:rsidP="00A457D6">
      <w:pPr>
        <w:rPr>
          <w:rFonts w:ascii="Times New Roman" w:hAnsi="Times New Roman" w:cs="Times New Roman"/>
        </w:rPr>
      </w:pPr>
      <w:r w:rsidRPr="00CF3143">
        <w:rPr>
          <w:rFonts w:ascii="Times New Roman" w:hAnsi="Times New Roman" w:cs="Times New Roman"/>
          <w:b/>
          <w:i/>
        </w:rPr>
        <w:t xml:space="preserve">Notes: </w:t>
      </w:r>
      <w:r w:rsidRPr="00CF3143">
        <w:rPr>
          <w:rFonts w:ascii="Times New Roman" w:hAnsi="Times New Roman" w:cs="Times New Roman"/>
        </w:rPr>
        <w:t>SD= standard deviation; *</w:t>
      </w:r>
      <w:proofErr w:type="gramStart"/>
      <w:r w:rsidRPr="00CF3143">
        <w:rPr>
          <w:rFonts w:ascii="Times New Roman" w:hAnsi="Times New Roman" w:cs="Times New Roman"/>
        </w:rPr>
        <w:t>Statistically</w:t>
      </w:r>
      <w:proofErr w:type="gramEnd"/>
      <w:r w:rsidRPr="00CF3143">
        <w:rPr>
          <w:rFonts w:ascii="Times New Roman" w:hAnsi="Times New Roman" w:cs="Times New Roman"/>
        </w:rPr>
        <w:t xml:space="preserve"> significant at p&lt;0.05; P-values estimated relative to continuers cohort using weighted chi-squared tests for categorical variables and weighted t-tests for continuous variables. Weights were estimated as the inverse of propensity scores. Propensity scores were estimated among the full sample of continuers, interrupters, and discontinuers using a multinomial logistic regression that accounted for observed differences in demographics, index basal insulin (type and mode of delivery), year of index date, select baseline comorbidities, select non-insulin </w:t>
      </w:r>
      <w:proofErr w:type="spellStart"/>
      <w:r w:rsidRPr="00CF3143">
        <w:rPr>
          <w:rFonts w:ascii="Times New Roman" w:hAnsi="Times New Roman" w:cs="Times New Roman"/>
        </w:rPr>
        <w:t>antihyperglycemic</w:t>
      </w:r>
      <w:proofErr w:type="spellEnd"/>
      <w:r w:rsidRPr="00CF3143">
        <w:rPr>
          <w:rFonts w:ascii="Times New Roman" w:hAnsi="Times New Roman" w:cs="Times New Roman"/>
        </w:rPr>
        <w:t xml:space="preserve"> and other prescription drug use in baseline, and resource use in baseline; Hypoglycemia-related claims include those associated with one or more of the following ICD-9 CM codes: 250.8x, 251.0x-251.2x; T2DM-related medical claims include those associated with one or more of the following ICD-9 CM codes: 250.x0 and 250.x2; Any injectable includes amylin analogues and GLP-1 receptor agonists; Healthcare costs were only estimated for people with complete cost data (i.e., people aged &lt;65 years) throughout the 30-month observation period. T2DM-related costs include medical costs associated with T2DM-related medical claims and pharmacy costs for </w:t>
      </w:r>
      <w:proofErr w:type="spellStart"/>
      <w:r w:rsidRPr="00CF3143">
        <w:rPr>
          <w:rFonts w:ascii="Times New Roman" w:hAnsi="Times New Roman" w:cs="Times New Roman"/>
        </w:rPr>
        <w:t>antihyperglycemic</w:t>
      </w:r>
      <w:proofErr w:type="spellEnd"/>
      <w:r w:rsidRPr="00CF3143">
        <w:rPr>
          <w:rFonts w:ascii="Times New Roman" w:hAnsi="Times New Roman" w:cs="Times New Roman"/>
        </w:rPr>
        <w:t xml:space="preserve"> medications.</w:t>
      </w:r>
    </w:p>
    <w:p w:rsidR="00A457D6" w:rsidRDefault="00A457D6" w:rsidP="00A457D6">
      <w:pPr>
        <w:rPr>
          <w:b/>
        </w:rPr>
      </w:pPr>
      <w:r>
        <w:rPr>
          <w:b/>
        </w:rPr>
        <w:br w:type="page"/>
      </w:r>
    </w:p>
    <w:p w:rsidR="00507C54" w:rsidRPr="0041775A" w:rsidRDefault="00B961C6" w:rsidP="00507C54">
      <w:pPr>
        <w:rPr>
          <w:rFonts w:ascii="Times New Roman" w:hAnsi="Times New Roman" w:cs="Times New Roman"/>
          <w:b/>
          <w:sz w:val="24"/>
          <w:szCs w:val="24"/>
        </w:rPr>
      </w:pPr>
      <w:r w:rsidRPr="004177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177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Prescription drug use during the first gap in therapy among interrupters and discontinuers</w: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1"/>
        <w:gridCol w:w="4680"/>
        <w:gridCol w:w="1800"/>
        <w:gridCol w:w="1709"/>
      </w:tblGrid>
      <w:tr w:rsidR="00DF6AA4" w:rsidRPr="00DF6AA4" w:rsidTr="007D1DC9">
        <w:trPr>
          <w:trHeight w:val="362"/>
        </w:trPr>
        <w:tc>
          <w:tcPr>
            <w:tcW w:w="73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07C54" w:rsidRPr="00DF6AA4" w:rsidRDefault="00507C54" w:rsidP="00E12C2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07C54" w:rsidRPr="00DF6AA4" w:rsidRDefault="00507C54" w:rsidP="00E12C2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07C54" w:rsidRPr="00DF6AA4" w:rsidRDefault="00507C54" w:rsidP="00E12C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Interrupters</w:t>
            </w:r>
          </w:p>
        </w:tc>
        <w:tc>
          <w:tcPr>
            <w:tcW w:w="1709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07C54" w:rsidRPr="00DF6AA4" w:rsidRDefault="00507C54" w:rsidP="00E12C2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Discontinuers</w:t>
            </w:r>
          </w:p>
        </w:tc>
      </w:tr>
      <w:tr w:rsidR="00507C54" w:rsidRPr="00CF3143" w:rsidTr="00507C54">
        <w:trPr>
          <w:trHeight w:val="301"/>
        </w:trPr>
        <w:tc>
          <w:tcPr>
            <w:tcW w:w="54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C54" w:rsidRPr="00CF3143" w:rsidRDefault="00507C54" w:rsidP="00E12C29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At least one prescription, %</w:t>
            </w:r>
          </w:p>
        </w:tc>
        <w:tc>
          <w:tcPr>
            <w:tcW w:w="1800" w:type="dxa"/>
            <w:tcBorders>
              <w:top w:val="single" w:sz="8" w:space="0" w:color="000000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C54" w:rsidRPr="00507C54" w:rsidRDefault="00507C54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81.6</w:t>
            </w:r>
          </w:p>
        </w:tc>
        <w:tc>
          <w:tcPr>
            <w:tcW w:w="1709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C54" w:rsidRPr="00507C54" w:rsidRDefault="00507C54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507C54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81.6</w:t>
            </w:r>
          </w:p>
        </w:tc>
      </w:tr>
      <w:tr w:rsidR="00507C54" w:rsidRPr="00CF3143" w:rsidTr="00507C54">
        <w:trPr>
          <w:trHeight w:val="301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</w:tcPr>
          <w:p w:rsidR="00507C54" w:rsidRPr="00B961C6" w:rsidRDefault="00507C54" w:rsidP="00B961C6">
            <w:pPr>
              <w:spacing w:after="0" w:line="211" w:lineRule="atLeast"/>
              <w:ind w:hanging="79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961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Non-basal insulin</w:t>
            </w:r>
          </w:p>
        </w:tc>
        <w:tc>
          <w:tcPr>
            <w:tcW w:w="1800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C54" w:rsidRPr="00CF3143" w:rsidRDefault="00507C54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9.0</w:t>
            </w:r>
          </w:p>
        </w:tc>
        <w:tc>
          <w:tcPr>
            <w:tcW w:w="1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7C54" w:rsidRPr="00CF3143" w:rsidRDefault="00507C54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9.7</w:t>
            </w:r>
          </w:p>
        </w:tc>
      </w:tr>
      <w:tr w:rsidR="00B961C6" w:rsidRPr="00CF3143" w:rsidTr="00E12C29">
        <w:trPr>
          <w:trHeight w:hRule="exact" w:val="302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B961C6" w:rsidRPr="00B961C6" w:rsidRDefault="00B961C6" w:rsidP="00B961C6">
            <w:pPr>
              <w:spacing w:after="0" w:line="211" w:lineRule="atLeast"/>
              <w:ind w:hanging="79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961C6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Any oral </w:t>
            </w:r>
            <w:proofErr w:type="spellStart"/>
            <w:r w:rsidRPr="00B961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antihyperglycemic</w:t>
            </w:r>
            <w:proofErr w:type="spellEnd"/>
            <w:r w:rsidRPr="00B961C6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agent</w:t>
            </w:r>
          </w:p>
        </w:tc>
        <w:tc>
          <w:tcPr>
            <w:tcW w:w="1800" w:type="dxa"/>
            <w:vMerge w:val="restart"/>
            <w:tcBorders>
              <w:top w:val="nil"/>
              <w:left w:val="dotted" w:sz="4" w:space="0" w:color="000000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1C6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77.2</w:t>
            </w:r>
          </w:p>
          <w:p w:rsidR="00B961C6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39.1</w:t>
            </w:r>
          </w:p>
        </w:tc>
        <w:tc>
          <w:tcPr>
            <w:tcW w:w="1709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1C6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76.9</w:t>
            </w:r>
          </w:p>
          <w:p w:rsidR="00B961C6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38.2</w:t>
            </w:r>
          </w:p>
        </w:tc>
      </w:tr>
      <w:tr w:rsidR="00B961C6" w:rsidRPr="00CF3143" w:rsidTr="00E12C29">
        <w:trPr>
          <w:trHeight w:hRule="exact" w:val="302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hideMark/>
          </w:tcPr>
          <w:p w:rsidR="00B961C6" w:rsidRPr="00B961C6" w:rsidRDefault="00B961C6" w:rsidP="00B961C6">
            <w:pPr>
              <w:spacing w:after="0" w:line="211" w:lineRule="atLeast"/>
              <w:ind w:firstLine="101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961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Sulfonylurea</w:t>
            </w:r>
          </w:p>
        </w:tc>
        <w:tc>
          <w:tcPr>
            <w:tcW w:w="1800" w:type="dxa"/>
            <w:vMerge/>
            <w:tcBorders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1C6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9" w:type="dxa"/>
            <w:vMerge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61C6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507C54" w:rsidRPr="00CF3143" w:rsidTr="00B961C6">
        <w:trPr>
          <w:trHeight w:hRule="exact" w:val="302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hideMark/>
          </w:tcPr>
          <w:p w:rsidR="00507C54" w:rsidRPr="00B961C6" w:rsidRDefault="00507C54" w:rsidP="00B961C6">
            <w:pPr>
              <w:spacing w:after="0" w:line="211" w:lineRule="atLeast"/>
              <w:ind w:firstLine="101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961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Metformin (</w:t>
            </w:r>
            <w:proofErr w:type="spellStart"/>
            <w:r w:rsidRPr="00B961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biguanide</w:t>
            </w:r>
            <w:proofErr w:type="spellEnd"/>
            <w:r w:rsidRPr="00B961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C54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44.7</w:t>
            </w:r>
          </w:p>
        </w:tc>
        <w:tc>
          <w:tcPr>
            <w:tcW w:w="1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07C54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48.4</w:t>
            </w:r>
          </w:p>
        </w:tc>
      </w:tr>
      <w:tr w:rsidR="00507C54" w:rsidRPr="00CF3143" w:rsidTr="00B961C6">
        <w:trPr>
          <w:trHeight w:hRule="exact" w:val="302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</w:tcPr>
          <w:p w:rsidR="00507C54" w:rsidRPr="00B961C6" w:rsidRDefault="00507C54" w:rsidP="00B961C6">
            <w:pPr>
              <w:spacing w:after="0" w:line="211" w:lineRule="atLeast"/>
              <w:ind w:firstLine="101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961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Thiazolidinedione</w:t>
            </w:r>
          </w:p>
        </w:tc>
        <w:tc>
          <w:tcPr>
            <w:tcW w:w="1800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7C54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18.7</w:t>
            </w:r>
          </w:p>
        </w:tc>
        <w:tc>
          <w:tcPr>
            <w:tcW w:w="1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7C54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17.1</w:t>
            </w:r>
          </w:p>
        </w:tc>
      </w:tr>
      <w:tr w:rsidR="00507C54" w:rsidRPr="00CF3143" w:rsidTr="00B961C6">
        <w:trPr>
          <w:trHeight w:hRule="exact" w:val="302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</w:tcPr>
          <w:p w:rsidR="00507C54" w:rsidRPr="00B961C6" w:rsidRDefault="00507C54" w:rsidP="00B961C6">
            <w:pPr>
              <w:spacing w:after="0" w:line="211" w:lineRule="atLeast"/>
              <w:ind w:firstLine="101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961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DPP-4 inhibitor</w:t>
            </w:r>
          </w:p>
        </w:tc>
        <w:tc>
          <w:tcPr>
            <w:tcW w:w="1800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7C54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12.0</w:t>
            </w:r>
          </w:p>
        </w:tc>
        <w:tc>
          <w:tcPr>
            <w:tcW w:w="1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7C54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13.0</w:t>
            </w:r>
          </w:p>
        </w:tc>
      </w:tr>
      <w:tr w:rsidR="00507C54" w:rsidRPr="00CF3143" w:rsidTr="00B961C6">
        <w:trPr>
          <w:trHeight w:hRule="exact" w:val="302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</w:tcPr>
          <w:p w:rsidR="00507C54" w:rsidRPr="00B961C6" w:rsidRDefault="00507C54" w:rsidP="00B961C6">
            <w:pPr>
              <w:spacing w:after="0" w:line="211" w:lineRule="atLeast"/>
              <w:ind w:firstLine="101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B961C6">
              <w:rPr>
                <w:rFonts w:ascii="Times New Roman" w:eastAsia="Times New Roman" w:hAnsi="Times New Roman" w:cs="Times New Roman"/>
                <w:color w:val="000000"/>
                <w:kern w:val="24"/>
              </w:rPr>
              <w:t>Fixed-dose combination</w:t>
            </w:r>
          </w:p>
        </w:tc>
        <w:tc>
          <w:tcPr>
            <w:tcW w:w="1800" w:type="dxa"/>
            <w:tcBorders>
              <w:top w:val="nil"/>
              <w:left w:val="dotted" w:sz="4" w:space="0" w:color="000000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7C54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12.2</w:t>
            </w:r>
          </w:p>
        </w:tc>
        <w:tc>
          <w:tcPr>
            <w:tcW w:w="170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7C54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13.9</w:t>
            </w:r>
          </w:p>
        </w:tc>
      </w:tr>
      <w:tr w:rsidR="00507C54" w:rsidRPr="00CF3143" w:rsidTr="00B961C6">
        <w:trPr>
          <w:trHeight w:val="301"/>
        </w:trPr>
        <w:tc>
          <w:tcPr>
            <w:tcW w:w="541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</w:tcPr>
          <w:p w:rsidR="00507C54" w:rsidRPr="00507C54" w:rsidRDefault="00B961C6" w:rsidP="00B961C6">
            <w:pPr>
              <w:spacing w:after="0" w:line="299" w:lineRule="atLeast"/>
              <w:ind w:hanging="79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Any</w:t>
            </w:r>
            <w:r w:rsidR="00D0217F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non-insulin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injectable</w:t>
            </w:r>
          </w:p>
        </w:tc>
        <w:tc>
          <w:tcPr>
            <w:tcW w:w="180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7C54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6.9</w:t>
            </w:r>
          </w:p>
        </w:tc>
        <w:tc>
          <w:tcPr>
            <w:tcW w:w="170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7C54" w:rsidRPr="00CF3143" w:rsidRDefault="00B961C6" w:rsidP="00E12C29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8.9</w:t>
            </w:r>
          </w:p>
        </w:tc>
      </w:tr>
    </w:tbl>
    <w:p w:rsidR="00507C54" w:rsidRDefault="00B961C6">
      <w:pPr>
        <w:rPr>
          <w:rFonts w:ascii="Times New Roman" w:hAnsi="Times New Roman" w:cs="Times New Roman"/>
          <w:b/>
          <w:sz w:val="24"/>
          <w:szCs w:val="24"/>
        </w:rPr>
      </w:pPr>
      <w:r w:rsidRPr="00CF3143">
        <w:rPr>
          <w:rFonts w:ascii="Times New Roman" w:hAnsi="Times New Roman" w:cs="Times New Roman"/>
          <w:b/>
          <w:i/>
        </w:rPr>
        <w:t>Notes: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Only those classes of medications that were used by at least 5% of interrupters and discontinuers are reported. Any</w:t>
      </w:r>
      <w:r w:rsidR="00D0217F">
        <w:rPr>
          <w:rFonts w:ascii="Times New Roman" w:hAnsi="Times New Roman" w:cs="Times New Roman"/>
        </w:rPr>
        <w:t xml:space="preserve"> non-insulin</w:t>
      </w:r>
      <w:r>
        <w:rPr>
          <w:rFonts w:ascii="Times New Roman" w:hAnsi="Times New Roman" w:cs="Times New Roman"/>
        </w:rPr>
        <w:t xml:space="preserve"> injectable includes GLP-1 receptor agonists and amylin analogues.</w:t>
      </w:r>
      <w:r w:rsidRPr="00B961C6">
        <w:t xml:space="preserve"> </w:t>
      </w:r>
      <w:r w:rsidRPr="00B961C6">
        <w:rPr>
          <w:rFonts w:ascii="Times New Roman" w:hAnsi="Times New Roman" w:cs="Times New Roman"/>
        </w:rPr>
        <w:t>Prescriptions filled prior to the start of the first gap but with days of supply that overlap with the first gap were included.</w:t>
      </w:r>
      <w:r w:rsidR="00507C5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57D6" w:rsidRPr="00507C54" w:rsidRDefault="00A457D6" w:rsidP="00A457D6">
      <w:pPr>
        <w:rPr>
          <w:rFonts w:ascii="Times New Roman" w:hAnsi="Times New Roman" w:cs="Times New Roman"/>
          <w:b/>
          <w:sz w:val="24"/>
          <w:szCs w:val="24"/>
        </w:rPr>
      </w:pPr>
      <w:r w:rsidRPr="00507C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Table </w:t>
      </w:r>
      <w:r w:rsidR="00B961C6">
        <w:rPr>
          <w:rFonts w:ascii="Times New Roman" w:hAnsi="Times New Roman" w:cs="Times New Roman"/>
          <w:b/>
          <w:sz w:val="24"/>
          <w:szCs w:val="24"/>
        </w:rPr>
        <w:t>4</w:t>
      </w:r>
      <w:r w:rsidRPr="00507C54">
        <w:rPr>
          <w:rFonts w:ascii="Times New Roman" w:hAnsi="Times New Roman" w:cs="Times New Roman"/>
          <w:b/>
          <w:sz w:val="24"/>
          <w:szCs w:val="24"/>
        </w:rPr>
        <w:t>: Basal insulin persistence in the first year after treatment initiation – sensitivity analyses</w:t>
      </w:r>
    </w:p>
    <w:tbl>
      <w:tblPr>
        <w:tblW w:w="913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6"/>
        <w:gridCol w:w="3625"/>
        <w:gridCol w:w="1620"/>
        <w:gridCol w:w="1620"/>
        <w:gridCol w:w="1651"/>
      </w:tblGrid>
      <w:tr w:rsidR="00DF6AA4" w:rsidRPr="00DF6AA4" w:rsidTr="007D1DC9">
        <w:trPr>
          <w:trHeight w:val="365"/>
        </w:trPr>
        <w:tc>
          <w:tcPr>
            <w:tcW w:w="61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3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D1DC9">
              <w:rPr>
                <w:rFonts w:ascii="Times New Roman" w:eastAsiaTheme="minorEastAsia" w:hAnsi="Times New Roman" w:cs="Times New Roman"/>
                <w:b/>
                <w:bCs/>
                <w:kern w:val="24"/>
              </w:rPr>
              <w:t>Continuers</w:t>
            </w:r>
          </w:p>
        </w:tc>
        <w:tc>
          <w:tcPr>
            <w:tcW w:w="1620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Interrupters</w:t>
            </w:r>
          </w:p>
        </w:tc>
        <w:tc>
          <w:tcPr>
            <w:tcW w:w="1651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457D6" w:rsidRPr="00DF6AA4" w:rsidRDefault="00A457D6" w:rsidP="009A322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7D1DC9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Discontinuers</w:t>
            </w:r>
          </w:p>
        </w:tc>
      </w:tr>
      <w:tr w:rsidR="00A457D6" w:rsidRPr="00CF3143" w:rsidTr="009A3228">
        <w:trPr>
          <w:trHeight w:val="304"/>
        </w:trPr>
        <w:tc>
          <w:tcPr>
            <w:tcW w:w="424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Duration of maximum allowable gap</w:t>
            </w:r>
            <w:r w:rsidR="00507C5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, %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 </w:t>
            </w:r>
          </w:p>
        </w:tc>
        <w:tc>
          <w:tcPr>
            <w:tcW w:w="1651" w:type="dxa"/>
            <w:tcBorders>
              <w:top w:val="single" w:sz="8" w:space="0" w:color="000000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6"/>
              </w:rPr>
            </w:pPr>
          </w:p>
        </w:tc>
      </w:tr>
      <w:tr w:rsidR="00A457D6" w:rsidRPr="00CF3143" w:rsidTr="009A3228">
        <w:trPr>
          <w:trHeight w:val="304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30 days (Core analyses)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19.8</w:t>
            </w:r>
          </w:p>
        </w:tc>
        <w:tc>
          <w:tcPr>
            <w:tcW w:w="1620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62.2</w:t>
            </w:r>
          </w:p>
        </w:tc>
        <w:tc>
          <w:tcPr>
            <w:tcW w:w="16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18.0</w:t>
            </w:r>
          </w:p>
        </w:tc>
      </w:tr>
      <w:tr w:rsidR="00A457D6" w:rsidRPr="00CF3143" w:rsidTr="009A3228">
        <w:trPr>
          <w:trHeight w:val="304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60 days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39.7</w:t>
            </w:r>
          </w:p>
        </w:tc>
        <w:tc>
          <w:tcPr>
            <w:tcW w:w="1620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39.5</w:t>
            </w:r>
          </w:p>
        </w:tc>
        <w:tc>
          <w:tcPr>
            <w:tcW w:w="16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20.8</w:t>
            </w:r>
          </w:p>
        </w:tc>
      </w:tr>
      <w:tr w:rsidR="00A457D6" w:rsidRPr="00CF3143" w:rsidTr="009A3228">
        <w:trPr>
          <w:trHeight w:val="304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90 days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54.7</w:t>
            </w:r>
          </w:p>
        </w:tc>
        <w:tc>
          <w:tcPr>
            <w:tcW w:w="1620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23.7</w:t>
            </w:r>
          </w:p>
        </w:tc>
        <w:tc>
          <w:tcPr>
            <w:tcW w:w="16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21.6</w:t>
            </w:r>
          </w:p>
        </w:tc>
      </w:tr>
      <w:tr w:rsidR="00A457D6" w:rsidRPr="00CF3143" w:rsidTr="009A3228">
        <w:trPr>
          <w:trHeight w:val="304"/>
        </w:trPr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120 days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65.4</w:t>
            </w:r>
          </w:p>
        </w:tc>
        <w:tc>
          <w:tcPr>
            <w:tcW w:w="1620" w:type="dxa"/>
            <w:tcBorders>
              <w:top w:val="nil"/>
              <w:left w:val="dotted" w:sz="4" w:space="0" w:color="000000"/>
              <w:bottom w:val="nil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14.0</w:t>
            </w:r>
          </w:p>
        </w:tc>
        <w:tc>
          <w:tcPr>
            <w:tcW w:w="165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20.6</w:t>
            </w:r>
          </w:p>
        </w:tc>
      </w:tr>
      <w:tr w:rsidR="00A457D6" w:rsidRPr="00CF3143" w:rsidTr="009A3228">
        <w:trPr>
          <w:trHeight w:val="304"/>
        </w:trPr>
        <w:tc>
          <w:tcPr>
            <w:tcW w:w="424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</w:tcPr>
          <w:p w:rsidR="00A457D6" w:rsidRPr="00CF3143" w:rsidRDefault="00A457D6" w:rsidP="009A3228">
            <w:pPr>
              <w:spacing w:after="0" w:line="299" w:lineRule="atLeast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&lt;90</w:t>
            </w: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  <w:vertAlign w:val="superscript"/>
              </w:rPr>
              <w:t>th</w:t>
            </w: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 xml:space="preserve"> percentile of days between two prescriptions, stratified by quantity dispensed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44.1</w:t>
            </w:r>
          </w:p>
        </w:tc>
        <w:tc>
          <w:tcPr>
            <w:tcW w:w="1620" w:type="dxa"/>
            <w:tcBorders>
              <w:top w:val="nil"/>
              <w:left w:val="dotted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34.5</w:t>
            </w:r>
          </w:p>
        </w:tc>
        <w:tc>
          <w:tcPr>
            <w:tcW w:w="1651" w:type="dxa"/>
            <w:tcBorders>
              <w:top w:val="nil"/>
              <w:left w:val="dotted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7D6" w:rsidRPr="00CF3143" w:rsidRDefault="00A457D6" w:rsidP="00507C54">
            <w:pPr>
              <w:spacing w:after="0" w:line="299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</w:pPr>
            <w:r w:rsidRPr="00CF3143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21.4</w:t>
            </w:r>
          </w:p>
        </w:tc>
      </w:tr>
    </w:tbl>
    <w:p w:rsidR="00A457D6" w:rsidRDefault="00A457D6" w:rsidP="00CF3143">
      <w:pPr>
        <w:spacing w:line="480" w:lineRule="auto"/>
      </w:pPr>
      <w:r w:rsidRPr="001A7651">
        <w:tab/>
      </w:r>
      <w:r w:rsidRPr="001A7651">
        <w:tab/>
      </w:r>
      <w:r w:rsidRPr="001A7651">
        <w:tab/>
      </w:r>
      <w:r w:rsidRPr="001A7651">
        <w:tab/>
      </w:r>
      <w:r w:rsidRPr="001A7651">
        <w:tab/>
      </w:r>
      <w:r w:rsidRPr="001A7651">
        <w:tab/>
      </w:r>
      <w:r w:rsidRPr="001A7651">
        <w:tab/>
      </w:r>
      <w:r w:rsidRPr="001A7651">
        <w:tab/>
      </w:r>
      <w:r w:rsidRPr="001A7651">
        <w:tab/>
      </w:r>
      <w:r w:rsidRPr="001A7651">
        <w:tab/>
      </w:r>
      <w:r w:rsidRPr="001A7651">
        <w:tab/>
      </w:r>
      <w:r w:rsidRPr="001A7651">
        <w:tab/>
      </w:r>
      <w:r w:rsidRPr="001A7651">
        <w:tab/>
      </w:r>
    </w:p>
    <w:p w:rsidR="00A457D6" w:rsidRDefault="00A457D6"/>
    <w:sectPr w:rsidR="00A457D6"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C2" w:rsidRDefault="00263CC2" w:rsidP="00400B64">
      <w:pPr>
        <w:spacing w:after="0" w:line="240" w:lineRule="auto"/>
      </w:pPr>
      <w:r>
        <w:separator/>
      </w:r>
    </w:p>
  </w:endnote>
  <w:endnote w:type="continuationSeparator" w:id="0">
    <w:p w:rsidR="00263CC2" w:rsidRDefault="00263CC2" w:rsidP="00400B64">
      <w:pPr>
        <w:spacing w:after="0" w:line="240" w:lineRule="auto"/>
      </w:pPr>
      <w:r>
        <w:continuationSeparator/>
      </w:r>
    </w:p>
  </w:endnote>
  <w:endnote w:type="continuationNotice" w:id="1">
    <w:p w:rsidR="00263CC2" w:rsidRDefault="00263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08" w:rsidRDefault="00AB4A08">
    <w:pPr>
      <w:pStyle w:val="Footer"/>
      <w:jc w:val="center"/>
    </w:pPr>
  </w:p>
  <w:p w:rsidR="00AB4A08" w:rsidRDefault="00AB4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C2" w:rsidRDefault="00263CC2" w:rsidP="00400B64">
      <w:pPr>
        <w:spacing w:after="0" w:line="240" w:lineRule="auto"/>
      </w:pPr>
      <w:r>
        <w:separator/>
      </w:r>
    </w:p>
  </w:footnote>
  <w:footnote w:type="continuationSeparator" w:id="0">
    <w:p w:rsidR="00263CC2" w:rsidRDefault="00263CC2" w:rsidP="00400B64">
      <w:pPr>
        <w:spacing w:after="0" w:line="240" w:lineRule="auto"/>
      </w:pPr>
      <w:r>
        <w:continuationSeparator/>
      </w:r>
    </w:p>
  </w:footnote>
  <w:footnote w:type="continuationNotice" w:id="1">
    <w:p w:rsidR="00263CC2" w:rsidRDefault="00263C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D33"/>
    <w:multiLevelType w:val="hybridMultilevel"/>
    <w:tmpl w:val="4CA23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6C9C"/>
    <w:multiLevelType w:val="hybridMultilevel"/>
    <w:tmpl w:val="D2360CC4"/>
    <w:lvl w:ilvl="0" w:tplc="F6D29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05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2C5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0C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8E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AE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65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8CD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68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3321B"/>
    <w:multiLevelType w:val="hybridMultilevel"/>
    <w:tmpl w:val="10D2B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20299"/>
    <w:multiLevelType w:val="hybridMultilevel"/>
    <w:tmpl w:val="9B4C22BE"/>
    <w:lvl w:ilvl="0" w:tplc="2D60411E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F7142"/>
    <w:multiLevelType w:val="hybridMultilevel"/>
    <w:tmpl w:val="A58C5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565C7"/>
    <w:multiLevelType w:val="hybridMultilevel"/>
    <w:tmpl w:val="B85E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B1961"/>
    <w:multiLevelType w:val="hybridMultilevel"/>
    <w:tmpl w:val="9538F524"/>
    <w:lvl w:ilvl="0" w:tplc="18F85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6A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4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48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8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00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ED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42C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05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FB25A8"/>
    <w:multiLevelType w:val="hybridMultilevel"/>
    <w:tmpl w:val="C6A6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833F2"/>
    <w:multiLevelType w:val="hybridMultilevel"/>
    <w:tmpl w:val="3194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C4B5D"/>
    <w:multiLevelType w:val="hybridMultilevel"/>
    <w:tmpl w:val="37E6D720"/>
    <w:lvl w:ilvl="0" w:tplc="F7702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A3065"/>
    <w:multiLevelType w:val="hybridMultilevel"/>
    <w:tmpl w:val="A21C8C96"/>
    <w:lvl w:ilvl="0" w:tplc="E8246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4A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2B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64C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AE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01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6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608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CB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E64E1B"/>
    <w:multiLevelType w:val="hybridMultilevel"/>
    <w:tmpl w:val="3832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563FF"/>
    <w:multiLevelType w:val="hybridMultilevel"/>
    <w:tmpl w:val="D93A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F6"/>
    <w:rsid w:val="00004B2B"/>
    <w:rsid w:val="00020E77"/>
    <w:rsid w:val="00022E54"/>
    <w:rsid w:val="00023273"/>
    <w:rsid w:val="000313A6"/>
    <w:rsid w:val="000323A0"/>
    <w:rsid w:val="00032C9C"/>
    <w:rsid w:val="00035DED"/>
    <w:rsid w:val="00041E70"/>
    <w:rsid w:val="0004707F"/>
    <w:rsid w:val="000569B0"/>
    <w:rsid w:val="0005760B"/>
    <w:rsid w:val="00060BBD"/>
    <w:rsid w:val="00060D28"/>
    <w:rsid w:val="000620B7"/>
    <w:rsid w:val="0006325F"/>
    <w:rsid w:val="0007108D"/>
    <w:rsid w:val="0007129E"/>
    <w:rsid w:val="00073FB1"/>
    <w:rsid w:val="00081E33"/>
    <w:rsid w:val="00082CFA"/>
    <w:rsid w:val="00085343"/>
    <w:rsid w:val="00094E6C"/>
    <w:rsid w:val="000A5227"/>
    <w:rsid w:val="000A7047"/>
    <w:rsid w:val="000B1F42"/>
    <w:rsid w:val="000C091A"/>
    <w:rsid w:val="000C46ED"/>
    <w:rsid w:val="000D7104"/>
    <w:rsid w:val="000E20F5"/>
    <w:rsid w:val="000E2342"/>
    <w:rsid w:val="000E3F08"/>
    <w:rsid w:val="000E57FA"/>
    <w:rsid w:val="000E712C"/>
    <w:rsid w:val="000E7651"/>
    <w:rsid w:val="000F6763"/>
    <w:rsid w:val="000F7315"/>
    <w:rsid w:val="00100C73"/>
    <w:rsid w:val="0011129A"/>
    <w:rsid w:val="00114D22"/>
    <w:rsid w:val="0011776E"/>
    <w:rsid w:val="001251C3"/>
    <w:rsid w:val="00151839"/>
    <w:rsid w:val="00152906"/>
    <w:rsid w:val="00153706"/>
    <w:rsid w:val="0015624A"/>
    <w:rsid w:val="00157FB8"/>
    <w:rsid w:val="00180344"/>
    <w:rsid w:val="00190606"/>
    <w:rsid w:val="00190B2E"/>
    <w:rsid w:val="001967FF"/>
    <w:rsid w:val="00196CBC"/>
    <w:rsid w:val="001A1E3E"/>
    <w:rsid w:val="001A2018"/>
    <w:rsid w:val="001A3C77"/>
    <w:rsid w:val="001A6968"/>
    <w:rsid w:val="001B4307"/>
    <w:rsid w:val="001B594A"/>
    <w:rsid w:val="001B601A"/>
    <w:rsid w:val="001C69CF"/>
    <w:rsid w:val="001D098F"/>
    <w:rsid w:val="001D2A3A"/>
    <w:rsid w:val="001D3414"/>
    <w:rsid w:val="001D6CE2"/>
    <w:rsid w:val="001E3665"/>
    <w:rsid w:val="001F08C8"/>
    <w:rsid w:val="00200376"/>
    <w:rsid w:val="00204130"/>
    <w:rsid w:val="00206732"/>
    <w:rsid w:val="00217960"/>
    <w:rsid w:val="002209F2"/>
    <w:rsid w:val="002217FD"/>
    <w:rsid w:val="00223A6D"/>
    <w:rsid w:val="00224545"/>
    <w:rsid w:val="0022603D"/>
    <w:rsid w:val="0022719C"/>
    <w:rsid w:val="00234E98"/>
    <w:rsid w:val="0025248F"/>
    <w:rsid w:val="002575D6"/>
    <w:rsid w:val="00263370"/>
    <w:rsid w:val="00263CC2"/>
    <w:rsid w:val="00266366"/>
    <w:rsid w:val="00272C2F"/>
    <w:rsid w:val="00281AEB"/>
    <w:rsid w:val="00282E34"/>
    <w:rsid w:val="00292022"/>
    <w:rsid w:val="002946D6"/>
    <w:rsid w:val="0029653C"/>
    <w:rsid w:val="00297BF4"/>
    <w:rsid w:val="002A2621"/>
    <w:rsid w:val="002A6BAF"/>
    <w:rsid w:val="002A71B4"/>
    <w:rsid w:val="002B620D"/>
    <w:rsid w:val="002C1203"/>
    <w:rsid w:val="002D626B"/>
    <w:rsid w:val="002D7B44"/>
    <w:rsid w:val="00311B22"/>
    <w:rsid w:val="003162E5"/>
    <w:rsid w:val="00316B48"/>
    <w:rsid w:val="003228EE"/>
    <w:rsid w:val="00332D74"/>
    <w:rsid w:val="00332EF4"/>
    <w:rsid w:val="00333AE1"/>
    <w:rsid w:val="00340332"/>
    <w:rsid w:val="0034517F"/>
    <w:rsid w:val="003529A5"/>
    <w:rsid w:val="00353F9C"/>
    <w:rsid w:val="00357A65"/>
    <w:rsid w:val="00361B6F"/>
    <w:rsid w:val="00363B48"/>
    <w:rsid w:val="00367369"/>
    <w:rsid w:val="00371177"/>
    <w:rsid w:val="003831E6"/>
    <w:rsid w:val="00394301"/>
    <w:rsid w:val="003A07D4"/>
    <w:rsid w:val="003A271C"/>
    <w:rsid w:val="003B61C5"/>
    <w:rsid w:val="003B6FE2"/>
    <w:rsid w:val="003C496F"/>
    <w:rsid w:val="003D0B77"/>
    <w:rsid w:val="003D199B"/>
    <w:rsid w:val="003D51EC"/>
    <w:rsid w:val="003E072D"/>
    <w:rsid w:val="003E12C6"/>
    <w:rsid w:val="003E75C3"/>
    <w:rsid w:val="003F3933"/>
    <w:rsid w:val="003F4A0B"/>
    <w:rsid w:val="003F6802"/>
    <w:rsid w:val="00400B64"/>
    <w:rsid w:val="0040232B"/>
    <w:rsid w:val="004069DF"/>
    <w:rsid w:val="00407984"/>
    <w:rsid w:val="00413E6F"/>
    <w:rsid w:val="00413FD4"/>
    <w:rsid w:val="00415C36"/>
    <w:rsid w:val="00416A5D"/>
    <w:rsid w:val="00422107"/>
    <w:rsid w:val="00423739"/>
    <w:rsid w:val="00423A54"/>
    <w:rsid w:val="00425125"/>
    <w:rsid w:val="0043151B"/>
    <w:rsid w:val="0044004C"/>
    <w:rsid w:val="00444F51"/>
    <w:rsid w:val="00452DBB"/>
    <w:rsid w:val="0045420E"/>
    <w:rsid w:val="004556B5"/>
    <w:rsid w:val="00457505"/>
    <w:rsid w:val="004600DB"/>
    <w:rsid w:val="00470D12"/>
    <w:rsid w:val="004837C9"/>
    <w:rsid w:val="00483A10"/>
    <w:rsid w:val="00483B48"/>
    <w:rsid w:val="00483BCD"/>
    <w:rsid w:val="00493725"/>
    <w:rsid w:val="00497059"/>
    <w:rsid w:val="004A1E6C"/>
    <w:rsid w:val="004A3497"/>
    <w:rsid w:val="004A4557"/>
    <w:rsid w:val="004A7B82"/>
    <w:rsid w:val="004B2525"/>
    <w:rsid w:val="004B323C"/>
    <w:rsid w:val="004C0492"/>
    <w:rsid w:val="004C43FF"/>
    <w:rsid w:val="004C6205"/>
    <w:rsid w:val="004D0E6C"/>
    <w:rsid w:val="004D557F"/>
    <w:rsid w:val="004D71FD"/>
    <w:rsid w:val="004E1DF0"/>
    <w:rsid w:val="004E5F1C"/>
    <w:rsid w:val="004E792A"/>
    <w:rsid w:val="004F18D3"/>
    <w:rsid w:val="004F617F"/>
    <w:rsid w:val="00501AB0"/>
    <w:rsid w:val="00507C54"/>
    <w:rsid w:val="00520A04"/>
    <w:rsid w:val="005223C7"/>
    <w:rsid w:val="00525DC3"/>
    <w:rsid w:val="00525F72"/>
    <w:rsid w:val="005354F5"/>
    <w:rsid w:val="00536835"/>
    <w:rsid w:val="00542DAA"/>
    <w:rsid w:val="00542DEC"/>
    <w:rsid w:val="00544B3A"/>
    <w:rsid w:val="005461F1"/>
    <w:rsid w:val="005477EF"/>
    <w:rsid w:val="00551F48"/>
    <w:rsid w:val="00552B5B"/>
    <w:rsid w:val="00552F2A"/>
    <w:rsid w:val="005675EE"/>
    <w:rsid w:val="00571106"/>
    <w:rsid w:val="00584BD8"/>
    <w:rsid w:val="00585B5E"/>
    <w:rsid w:val="00590E9E"/>
    <w:rsid w:val="00591964"/>
    <w:rsid w:val="00596FE7"/>
    <w:rsid w:val="005A4006"/>
    <w:rsid w:val="005B05E3"/>
    <w:rsid w:val="005B2E44"/>
    <w:rsid w:val="005C0A08"/>
    <w:rsid w:val="005C5CFD"/>
    <w:rsid w:val="005C7519"/>
    <w:rsid w:val="005D050F"/>
    <w:rsid w:val="005D17C8"/>
    <w:rsid w:val="005D48D6"/>
    <w:rsid w:val="005D724C"/>
    <w:rsid w:val="005E6614"/>
    <w:rsid w:val="005F4BF6"/>
    <w:rsid w:val="005F501C"/>
    <w:rsid w:val="00604977"/>
    <w:rsid w:val="00610D6F"/>
    <w:rsid w:val="00615A5B"/>
    <w:rsid w:val="00623C98"/>
    <w:rsid w:val="00626602"/>
    <w:rsid w:val="0063160F"/>
    <w:rsid w:val="00633750"/>
    <w:rsid w:val="006430B7"/>
    <w:rsid w:val="00643FCE"/>
    <w:rsid w:val="0065136C"/>
    <w:rsid w:val="00655942"/>
    <w:rsid w:val="0066305D"/>
    <w:rsid w:val="0066550B"/>
    <w:rsid w:val="0067300D"/>
    <w:rsid w:val="0067740E"/>
    <w:rsid w:val="00680C44"/>
    <w:rsid w:val="00681B9D"/>
    <w:rsid w:val="006853D8"/>
    <w:rsid w:val="006866E0"/>
    <w:rsid w:val="006962E4"/>
    <w:rsid w:val="006A14A9"/>
    <w:rsid w:val="006A1DAE"/>
    <w:rsid w:val="006A7EDB"/>
    <w:rsid w:val="006B2C7F"/>
    <w:rsid w:val="006B6051"/>
    <w:rsid w:val="006C2C1F"/>
    <w:rsid w:val="006C5365"/>
    <w:rsid w:val="006D1C90"/>
    <w:rsid w:val="006D3E2B"/>
    <w:rsid w:val="006E0E50"/>
    <w:rsid w:val="006E2BD3"/>
    <w:rsid w:val="006E62A1"/>
    <w:rsid w:val="006F4912"/>
    <w:rsid w:val="006F642A"/>
    <w:rsid w:val="006F6774"/>
    <w:rsid w:val="006F7A6D"/>
    <w:rsid w:val="00703FA3"/>
    <w:rsid w:val="00705850"/>
    <w:rsid w:val="00714AD3"/>
    <w:rsid w:val="0071788A"/>
    <w:rsid w:val="007234A8"/>
    <w:rsid w:val="00723A88"/>
    <w:rsid w:val="00724326"/>
    <w:rsid w:val="00724EF2"/>
    <w:rsid w:val="007251B3"/>
    <w:rsid w:val="00731195"/>
    <w:rsid w:val="007411D9"/>
    <w:rsid w:val="00746391"/>
    <w:rsid w:val="00751201"/>
    <w:rsid w:val="00751BA7"/>
    <w:rsid w:val="00751CE6"/>
    <w:rsid w:val="00754953"/>
    <w:rsid w:val="00757561"/>
    <w:rsid w:val="007607B9"/>
    <w:rsid w:val="007611D6"/>
    <w:rsid w:val="0077206D"/>
    <w:rsid w:val="007731A2"/>
    <w:rsid w:val="00790CCD"/>
    <w:rsid w:val="007977FF"/>
    <w:rsid w:val="007B2303"/>
    <w:rsid w:val="007B281C"/>
    <w:rsid w:val="007B3C6F"/>
    <w:rsid w:val="007D091D"/>
    <w:rsid w:val="007D1DC9"/>
    <w:rsid w:val="007E1E98"/>
    <w:rsid w:val="007E4E05"/>
    <w:rsid w:val="007E6D7E"/>
    <w:rsid w:val="007E72C3"/>
    <w:rsid w:val="007E77BA"/>
    <w:rsid w:val="007F5103"/>
    <w:rsid w:val="00806F9B"/>
    <w:rsid w:val="00824459"/>
    <w:rsid w:val="00833D68"/>
    <w:rsid w:val="00834CE2"/>
    <w:rsid w:val="00835007"/>
    <w:rsid w:val="00837528"/>
    <w:rsid w:val="00841A6D"/>
    <w:rsid w:val="00842380"/>
    <w:rsid w:val="008476FF"/>
    <w:rsid w:val="0085733D"/>
    <w:rsid w:val="00860613"/>
    <w:rsid w:val="008630C5"/>
    <w:rsid w:val="0087267C"/>
    <w:rsid w:val="00872DEA"/>
    <w:rsid w:val="0088584C"/>
    <w:rsid w:val="008952BA"/>
    <w:rsid w:val="008B1286"/>
    <w:rsid w:val="008B6341"/>
    <w:rsid w:val="008B656E"/>
    <w:rsid w:val="008C00FA"/>
    <w:rsid w:val="008C0CF2"/>
    <w:rsid w:val="008C1F0A"/>
    <w:rsid w:val="008C32E3"/>
    <w:rsid w:val="008D6A98"/>
    <w:rsid w:val="008D7EF2"/>
    <w:rsid w:val="008F0510"/>
    <w:rsid w:val="00906E3A"/>
    <w:rsid w:val="00912F6D"/>
    <w:rsid w:val="0093154B"/>
    <w:rsid w:val="00943245"/>
    <w:rsid w:val="00945DD6"/>
    <w:rsid w:val="009478C2"/>
    <w:rsid w:val="00951650"/>
    <w:rsid w:val="00953930"/>
    <w:rsid w:val="00953D61"/>
    <w:rsid w:val="00957150"/>
    <w:rsid w:val="00967B02"/>
    <w:rsid w:val="00967C12"/>
    <w:rsid w:val="009738AD"/>
    <w:rsid w:val="00983905"/>
    <w:rsid w:val="0098553F"/>
    <w:rsid w:val="00985F01"/>
    <w:rsid w:val="00992C39"/>
    <w:rsid w:val="00992C62"/>
    <w:rsid w:val="00997C7D"/>
    <w:rsid w:val="009A3228"/>
    <w:rsid w:val="009A71BF"/>
    <w:rsid w:val="009B0668"/>
    <w:rsid w:val="009C20F4"/>
    <w:rsid w:val="009D2944"/>
    <w:rsid w:val="009D52CC"/>
    <w:rsid w:val="009D5C51"/>
    <w:rsid w:val="009D60A8"/>
    <w:rsid w:val="009D62B7"/>
    <w:rsid w:val="009E5AF2"/>
    <w:rsid w:val="00A154C3"/>
    <w:rsid w:val="00A15D3B"/>
    <w:rsid w:val="00A173BF"/>
    <w:rsid w:val="00A20496"/>
    <w:rsid w:val="00A23887"/>
    <w:rsid w:val="00A23B87"/>
    <w:rsid w:val="00A25321"/>
    <w:rsid w:val="00A27503"/>
    <w:rsid w:val="00A30BBC"/>
    <w:rsid w:val="00A30F77"/>
    <w:rsid w:val="00A31827"/>
    <w:rsid w:val="00A322C2"/>
    <w:rsid w:val="00A41BFC"/>
    <w:rsid w:val="00A43722"/>
    <w:rsid w:val="00A43BD8"/>
    <w:rsid w:val="00A457D6"/>
    <w:rsid w:val="00A51577"/>
    <w:rsid w:val="00A5546E"/>
    <w:rsid w:val="00A57B07"/>
    <w:rsid w:val="00A64253"/>
    <w:rsid w:val="00A65ED9"/>
    <w:rsid w:val="00A67B8E"/>
    <w:rsid w:val="00A778B6"/>
    <w:rsid w:val="00A81B5D"/>
    <w:rsid w:val="00A8602C"/>
    <w:rsid w:val="00A970DC"/>
    <w:rsid w:val="00A9764D"/>
    <w:rsid w:val="00A97B02"/>
    <w:rsid w:val="00AA167A"/>
    <w:rsid w:val="00AA5D08"/>
    <w:rsid w:val="00AB20E1"/>
    <w:rsid w:val="00AB4A08"/>
    <w:rsid w:val="00AB7C9E"/>
    <w:rsid w:val="00AD087E"/>
    <w:rsid w:val="00AE18B5"/>
    <w:rsid w:val="00AF2A37"/>
    <w:rsid w:val="00AF578B"/>
    <w:rsid w:val="00AF612C"/>
    <w:rsid w:val="00AF6C21"/>
    <w:rsid w:val="00AF6E27"/>
    <w:rsid w:val="00B03C74"/>
    <w:rsid w:val="00B04923"/>
    <w:rsid w:val="00B04E8F"/>
    <w:rsid w:val="00B065B7"/>
    <w:rsid w:val="00B06C48"/>
    <w:rsid w:val="00B17370"/>
    <w:rsid w:val="00B219F6"/>
    <w:rsid w:val="00B2421F"/>
    <w:rsid w:val="00B33A2C"/>
    <w:rsid w:val="00B42DB7"/>
    <w:rsid w:val="00B44286"/>
    <w:rsid w:val="00B52DD3"/>
    <w:rsid w:val="00B5321B"/>
    <w:rsid w:val="00B534D8"/>
    <w:rsid w:val="00B57D44"/>
    <w:rsid w:val="00B602FC"/>
    <w:rsid w:val="00B630F8"/>
    <w:rsid w:val="00B654B8"/>
    <w:rsid w:val="00B71634"/>
    <w:rsid w:val="00B745EF"/>
    <w:rsid w:val="00B769DB"/>
    <w:rsid w:val="00B77DE6"/>
    <w:rsid w:val="00B961C6"/>
    <w:rsid w:val="00B963FE"/>
    <w:rsid w:val="00BB0DDC"/>
    <w:rsid w:val="00BB30AA"/>
    <w:rsid w:val="00BB7781"/>
    <w:rsid w:val="00BD1A28"/>
    <w:rsid w:val="00BD5B65"/>
    <w:rsid w:val="00BD6C97"/>
    <w:rsid w:val="00BE56D7"/>
    <w:rsid w:val="00BE5F45"/>
    <w:rsid w:val="00BE6E2B"/>
    <w:rsid w:val="00BF4F89"/>
    <w:rsid w:val="00BF5C80"/>
    <w:rsid w:val="00BF76CF"/>
    <w:rsid w:val="00BF7866"/>
    <w:rsid w:val="00BF7F39"/>
    <w:rsid w:val="00C02C2B"/>
    <w:rsid w:val="00C040AA"/>
    <w:rsid w:val="00C11B42"/>
    <w:rsid w:val="00C120AB"/>
    <w:rsid w:val="00C13BFC"/>
    <w:rsid w:val="00C13F77"/>
    <w:rsid w:val="00C159A0"/>
    <w:rsid w:val="00C17BA8"/>
    <w:rsid w:val="00C21C46"/>
    <w:rsid w:val="00C27967"/>
    <w:rsid w:val="00C3298B"/>
    <w:rsid w:val="00C36447"/>
    <w:rsid w:val="00C422A0"/>
    <w:rsid w:val="00C5342F"/>
    <w:rsid w:val="00C566A4"/>
    <w:rsid w:val="00C62F83"/>
    <w:rsid w:val="00C71FDF"/>
    <w:rsid w:val="00C72997"/>
    <w:rsid w:val="00C74488"/>
    <w:rsid w:val="00C75115"/>
    <w:rsid w:val="00C7698E"/>
    <w:rsid w:val="00C77237"/>
    <w:rsid w:val="00C7780B"/>
    <w:rsid w:val="00C8275A"/>
    <w:rsid w:val="00C83FD9"/>
    <w:rsid w:val="00C8627F"/>
    <w:rsid w:val="00C92249"/>
    <w:rsid w:val="00C94619"/>
    <w:rsid w:val="00C97FBE"/>
    <w:rsid w:val="00CA1A16"/>
    <w:rsid w:val="00CA5328"/>
    <w:rsid w:val="00CB57DA"/>
    <w:rsid w:val="00CC0AAB"/>
    <w:rsid w:val="00CC11DD"/>
    <w:rsid w:val="00CC26E4"/>
    <w:rsid w:val="00CC5E8E"/>
    <w:rsid w:val="00CC71BA"/>
    <w:rsid w:val="00CD3062"/>
    <w:rsid w:val="00CD6579"/>
    <w:rsid w:val="00CD758B"/>
    <w:rsid w:val="00CF3143"/>
    <w:rsid w:val="00CF52CC"/>
    <w:rsid w:val="00CF6885"/>
    <w:rsid w:val="00D0217F"/>
    <w:rsid w:val="00D06EA4"/>
    <w:rsid w:val="00D06F0C"/>
    <w:rsid w:val="00D11DB5"/>
    <w:rsid w:val="00D122BF"/>
    <w:rsid w:val="00D12CD0"/>
    <w:rsid w:val="00D22856"/>
    <w:rsid w:val="00D27A51"/>
    <w:rsid w:val="00D31152"/>
    <w:rsid w:val="00D33EC8"/>
    <w:rsid w:val="00D34561"/>
    <w:rsid w:val="00D437EF"/>
    <w:rsid w:val="00D44891"/>
    <w:rsid w:val="00D478EA"/>
    <w:rsid w:val="00D60BEF"/>
    <w:rsid w:val="00D7700D"/>
    <w:rsid w:val="00D77BF5"/>
    <w:rsid w:val="00D77FC1"/>
    <w:rsid w:val="00DA01D9"/>
    <w:rsid w:val="00DA1124"/>
    <w:rsid w:val="00DA124F"/>
    <w:rsid w:val="00DB2C7E"/>
    <w:rsid w:val="00DC1F34"/>
    <w:rsid w:val="00DC6999"/>
    <w:rsid w:val="00DD1BD7"/>
    <w:rsid w:val="00DD2CC5"/>
    <w:rsid w:val="00DE19F1"/>
    <w:rsid w:val="00DE25F4"/>
    <w:rsid w:val="00DF20D2"/>
    <w:rsid w:val="00DF6AA4"/>
    <w:rsid w:val="00E07B8A"/>
    <w:rsid w:val="00E07BBC"/>
    <w:rsid w:val="00E12C29"/>
    <w:rsid w:val="00E144A1"/>
    <w:rsid w:val="00E24D67"/>
    <w:rsid w:val="00E24F9C"/>
    <w:rsid w:val="00E2607D"/>
    <w:rsid w:val="00E42D10"/>
    <w:rsid w:val="00E4378F"/>
    <w:rsid w:val="00E438CB"/>
    <w:rsid w:val="00E47E35"/>
    <w:rsid w:val="00E57E4E"/>
    <w:rsid w:val="00E629F4"/>
    <w:rsid w:val="00E6668B"/>
    <w:rsid w:val="00E70F8C"/>
    <w:rsid w:val="00E73F1E"/>
    <w:rsid w:val="00E75072"/>
    <w:rsid w:val="00E7775A"/>
    <w:rsid w:val="00E802BF"/>
    <w:rsid w:val="00E81463"/>
    <w:rsid w:val="00E93690"/>
    <w:rsid w:val="00E96EAA"/>
    <w:rsid w:val="00E97ECB"/>
    <w:rsid w:val="00EA50B6"/>
    <w:rsid w:val="00EA649D"/>
    <w:rsid w:val="00EA6683"/>
    <w:rsid w:val="00EA7F37"/>
    <w:rsid w:val="00EB6D8F"/>
    <w:rsid w:val="00EB7DE1"/>
    <w:rsid w:val="00EC56B4"/>
    <w:rsid w:val="00ED39DD"/>
    <w:rsid w:val="00ED49B0"/>
    <w:rsid w:val="00EE4900"/>
    <w:rsid w:val="00EE727E"/>
    <w:rsid w:val="00EF0DB3"/>
    <w:rsid w:val="00F00AC4"/>
    <w:rsid w:val="00F05839"/>
    <w:rsid w:val="00F16130"/>
    <w:rsid w:val="00F1651F"/>
    <w:rsid w:val="00F25235"/>
    <w:rsid w:val="00F309FD"/>
    <w:rsid w:val="00F4272F"/>
    <w:rsid w:val="00F45EDE"/>
    <w:rsid w:val="00F46612"/>
    <w:rsid w:val="00F52D0E"/>
    <w:rsid w:val="00F53CBC"/>
    <w:rsid w:val="00F56E82"/>
    <w:rsid w:val="00F5745B"/>
    <w:rsid w:val="00F57A66"/>
    <w:rsid w:val="00F60CB2"/>
    <w:rsid w:val="00F62F18"/>
    <w:rsid w:val="00F63415"/>
    <w:rsid w:val="00F76748"/>
    <w:rsid w:val="00F80DBD"/>
    <w:rsid w:val="00F8130F"/>
    <w:rsid w:val="00F90F0A"/>
    <w:rsid w:val="00F91760"/>
    <w:rsid w:val="00F940A3"/>
    <w:rsid w:val="00F961C4"/>
    <w:rsid w:val="00F97CEE"/>
    <w:rsid w:val="00F97E13"/>
    <w:rsid w:val="00FA3AD8"/>
    <w:rsid w:val="00FB0437"/>
    <w:rsid w:val="00FB7B51"/>
    <w:rsid w:val="00FD56FC"/>
    <w:rsid w:val="00FD7BF4"/>
    <w:rsid w:val="00FE22C1"/>
    <w:rsid w:val="00FF1F0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726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26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67C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64"/>
  </w:style>
  <w:style w:type="paragraph" w:styleId="Footer">
    <w:name w:val="footer"/>
    <w:basedOn w:val="Normal"/>
    <w:link w:val="FooterChar"/>
    <w:uiPriority w:val="99"/>
    <w:unhideWhenUsed/>
    <w:rsid w:val="0040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64"/>
  </w:style>
  <w:style w:type="character" w:styleId="Hyperlink">
    <w:name w:val="Hyperlink"/>
    <w:basedOn w:val="DefaultParagraphFont"/>
    <w:uiPriority w:val="99"/>
    <w:unhideWhenUsed/>
    <w:rsid w:val="00400B6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C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7C9"/>
    <w:rPr>
      <w:rFonts w:ascii="Times New Roman" w:eastAsia="Calibri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032C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2C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2C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5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556B5"/>
  </w:style>
  <w:style w:type="character" w:customStyle="1" w:styleId="highlight">
    <w:name w:val="highlight"/>
    <w:basedOn w:val="DefaultParagraphFont"/>
    <w:rsid w:val="004556B5"/>
  </w:style>
  <w:style w:type="character" w:styleId="FollowedHyperlink">
    <w:name w:val="FollowedHyperlink"/>
    <w:basedOn w:val="DefaultParagraphFont"/>
    <w:uiPriority w:val="99"/>
    <w:semiHidden/>
    <w:unhideWhenUsed/>
    <w:rsid w:val="00C769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14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68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726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267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67C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64"/>
  </w:style>
  <w:style w:type="paragraph" w:styleId="Footer">
    <w:name w:val="footer"/>
    <w:basedOn w:val="Normal"/>
    <w:link w:val="FooterChar"/>
    <w:uiPriority w:val="99"/>
    <w:unhideWhenUsed/>
    <w:rsid w:val="00400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64"/>
  </w:style>
  <w:style w:type="character" w:styleId="Hyperlink">
    <w:name w:val="Hyperlink"/>
    <w:basedOn w:val="DefaultParagraphFont"/>
    <w:uiPriority w:val="99"/>
    <w:unhideWhenUsed/>
    <w:rsid w:val="00400B6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C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7C9"/>
    <w:rPr>
      <w:rFonts w:ascii="Times New Roman" w:eastAsia="Calibri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032C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2C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2C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5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556B5"/>
  </w:style>
  <w:style w:type="character" w:customStyle="1" w:styleId="highlight">
    <w:name w:val="highlight"/>
    <w:basedOn w:val="DefaultParagraphFont"/>
    <w:rsid w:val="004556B5"/>
  </w:style>
  <w:style w:type="character" w:styleId="FollowedHyperlink">
    <w:name w:val="FollowedHyperlink"/>
    <w:basedOn w:val="DefaultParagraphFont"/>
    <w:uiPriority w:val="99"/>
    <w:semiHidden/>
    <w:unhideWhenUsed/>
    <w:rsid w:val="00C769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814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F68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283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1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819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079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7083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572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580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3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5832">
          <w:marLeft w:val="3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238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599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5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FED5BA-E24D-4DE3-996B-B42ED070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Urvi Desai</dc:creator>
  <cp:lastModifiedBy>Metules, Terri</cp:lastModifiedBy>
  <cp:revision>3</cp:revision>
  <dcterms:created xsi:type="dcterms:W3CDTF">2015-12-21T21:31:00Z</dcterms:created>
  <dcterms:modified xsi:type="dcterms:W3CDTF">2015-12-21T21:31:00Z</dcterms:modified>
</cp:coreProperties>
</file>