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EF" w:rsidRPr="0060431B" w:rsidRDefault="00620CEF" w:rsidP="00620C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Arial Unicode MS" w:cs="Arial Unicode MS"/>
          <w:color w:val="000000"/>
          <w:kern w:val="36"/>
          <w:szCs w:val="24"/>
          <w:u w:color="000000"/>
          <w:bdr w:val="nil"/>
          <w:lang w:val="en-GB" w:eastAsia="es-ES"/>
        </w:rPr>
      </w:pPr>
      <w:proofErr w:type="gramStart"/>
      <w:r>
        <w:rPr>
          <w:rFonts w:eastAsia="Arial Unicode MS" w:cs="Arial Unicode MS"/>
          <w:b/>
          <w:color w:val="000000"/>
          <w:szCs w:val="24"/>
          <w:u w:color="000000"/>
          <w:bdr w:val="nil"/>
          <w:lang w:val="en-GB" w:eastAsia="es-ES"/>
        </w:rPr>
        <w:t>Supplementary Table 2</w:t>
      </w:r>
      <w:r w:rsidRPr="0060431B">
        <w:rPr>
          <w:rFonts w:eastAsia="Arial Unicode MS" w:cs="Arial Unicode MS"/>
          <w:b/>
          <w:color w:val="000000"/>
          <w:szCs w:val="24"/>
          <w:u w:color="000000"/>
          <w:bdr w:val="nil"/>
          <w:lang w:val="en-GB" w:eastAsia="es-ES"/>
        </w:rPr>
        <w:t>.</w:t>
      </w:r>
      <w:proofErr w:type="gramEnd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 </w:t>
      </w:r>
      <w:proofErr w:type="gramStart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Microbial functionalization of steroidal molecules by traditional approaches.</w:t>
      </w:r>
      <w:proofErr w:type="gramEnd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 Several examples of microbial strains isolated and imp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roved conventionally to modify </w:t>
      </w:r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ster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e</w:t>
      </w:r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o- and </w:t>
      </w:r>
      <w:proofErr w:type="spellStart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regio</w:t>
      </w:r>
      <w:proofErr w:type="spellEnd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-specifically steroidal molecules of pharmacological interest are shown. 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Only m</w:t>
      </w:r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a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in end-</w:t>
      </w:r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products obtained at the bioconversions 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but</w:t>
      </w:r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 not other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s</w:t>
      </w:r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 by-products identified are indicated. Abbreviations: ADD (1</w:t>
      </w:r>
      <w:proofErr w:type="gramStart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,4</w:t>
      </w:r>
      <w:proofErr w:type="gramEnd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-androstadiene-3,17-dione), AD (4-androstene-3,17-dione), 9OH-AD (9α-hydroxy-4-androstene-3,17-dione), </w:t>
      </w:r>
      <w:r w:rsidRPr="00A200EE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DHEA</w:t>
      </w:r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 xml:space="preserve"> (3β-hydroxy-5-androstene-7-one; </w:t>
      </w:r>
      <w:proofErr w:type="spellStart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dehydroepiandrosterone</w:t>
      </w:r>
      <w:proofErr w:type="spellEnd"/>
      <w:r w:rsidRPr="0060431B">
        <w:rPr>
          <w:rFonts w:eastAsia="Arial Unicode MS" w:cs="Arial Unicode MS"/>
          <w:color w:val="000000"/>
          <w:szCs w:val="24"/>
          <w:u w:color="000000"/>
          <w:bdr w:val="nil"/>
          <w:lang w:val="en-GB" w:eastAsia="es-ES"/>
        </w:rPr>
        <w:t>).</w:t>
      </w:r>
    </w:p>
    <w:p w:rsidR="00620CEF" w:rsidRPr="0060431B" w:rsidRDefault="00620CEF" w:rsidP="00620C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after="120" w:line="360" w:lineRule="auto"/>
        <w:ind w:firstLine="709"/>
        <w:jc w:val="both"/>
        <w:rPr>
          <w:rFonts w:ascii="Arial Narrow" w:eastAsia="Arial Narrow" w:hAnsi="Arial Narrow" w:cs="Arial Narrow"/>
          <w:color w:val="000000"/>
          <w:sz w:val="2"/>
          <w:szCs w:val="2"/>
          <w:u w:color="000000"/>
          <w:bdr w:val="nil"/>
          <w:lang w:val="en-GB" w:eastAsia="es-ES"/>
        </w:rPr>
      </w:pP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272"/>
        <w:gridCol w:w="2814"/>
        <w:gridCol w:w="4145"/>
      </w:tblGrid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CEF" w:rsidRPr="0060431B" w:rsidRDefault="00620CEF" w:rsidP="00C25D53">
            <w:pPr>
              <w:suppressAutoHyphens/>
              <w:spacing w:before="0" w:after="0"/>
              <w:jc w:val="center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aps/>
                <w:color w:val="FFFFFF"/>
                <w:sz w:val="22"/>
                <w:u w:color="FFFFFF"/>
                <w:lang w:val="en-GB"/>
              </w:rPr>
              <w:t>Substrate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CEF" w:rsidRPr="0060431B" w:rsidRDefault="00620CEF" w:rsidP="00C25D53">
            <w:pPr>
              <w:suppressAutoHyphens/>
              <w:spacing w:before="0" w:after="0"/>
              <w:jc w:val="center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aps/>
                <w:color w:val="FFFFFF"/>
                <w:sz w:val="22"/>
                <w:u w:color="FFFFFF"/>
                <w:lang w:val="en-GB"/>
              </w:rPr>
              <w:t>Main Product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CEF" w:rsidRPr="0060431B" w:rsidRDefault="00620CEF" w:rsidP="00C25D53">
            <w:pPr>
              <w:suppressAutoHyphens/>
              <w:spacing w:before="0" w:after="0"/>
              <w:jc w:val="center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aps/>
                <w:color w:val="FFFFFF"/>
                <w:sz w:val="22"/>
                <w:u w:color="FFFFFF"/>
                <w:lang w:val="en-GB"/>
              </w:rPr>
              <w:t>Microorganism</w:t>
            </w:r>
          </w:p>
        </w:tc>
      </w:tr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Cortisone acetate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Prednisone acetate</w:t>
            </w:r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0A04C0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</w:pPr>
            <w:proofErr w:type="spellStart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Arthrobacter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simplex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(</w:t>
            </w:r>
            <w:r w:rsidRPr="000A04C0">
              <w:rPr>
                <w:sz w:val="22"/>
                <w:lang w:val="en-US"/>
              </w:rPr>
              <w:t>Zhang et al., 1998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)</w:t>
            </w:r>
          </w:p>
        </w:tc>
      </w:tr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AD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ADD</w:t>
            </w:r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0A04C0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A. simplex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ATCC 6946 (</w:t>
            </w:r>
            <w:r w:rsidRPr="00461CAB">
              <w:rPr>
                <w:sz w:val="22"/>
                <w:lang w:val="en-US"/>
              </w:rPr>
              <w:t>Prakash and Bajaj, 2017)</w:t>
            </w:r>
          </w:p>
        </w:tc>
      </w:tr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AD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9OH-AD</w:t>
            </w:r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0A04C0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proofErr w:type="spellStart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Rhodococcus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proofErr w:type="spellStart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equi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VKM Ac- 953</w:t>
            </w:r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, </w:t>
            </w:r>
            <w:proofErr w:type="spellStart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Rhodococcus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proofErr w:type="spellStart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rhodochrous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VKM Ac-1282</w:t>
            </w:r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(</w:t>
            </w:r>
            <w:proofErr w:type="spellStart"/>
            <w:r w:rsidRPr="00461CAB">
              <w:rPr>
                <w:sz w:val="22"/>
                <w:lang w:val="en-US"/>
              </w:rPr>
              <w:t>Donova</w:t>
            </w:r>
            <w:proofErr w:type="spellEnd"/>
            <w:r w:rsidRPr="00461CAB">
              <w:rPr>
                <w:sz w:val="22"/>
                <w:lang w:val="en-US"/>
              </w:rPr>
              <w:t>, 2010)</w:t>
            </w:r>
          </w:p>
        </w:tc>
      </w:tr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Pregnenolone</w:t>
            </w:r>
            <w:proofErr w:type="spellEnd"/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7α-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Hydroxypregenelone</w:t>
            </w:r>
            <w:proofErr w:type="spellEnd"/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0A04C0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Fusarium </w:t>
            </w:r>
            <w:proofErr w:type="spellStart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oxysporum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 xml:space="preserve">var. </w:t>
            </w:r>
            <w:proofErr w:type="spellStart"/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cubense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(</w:t>
            </w:r>
            <w:proofErr w:type="spellStart"/>
            <w:r w:rsidRPr="000A04C0">
              <w:rPr>
                <w:sz w:val="22"/>
              </w:rPr>
              <w:t>Reese</w:t>
            </w:r>
            <w:proofErr w:type="spellEnd"/>
            <w:r w:rsidRPr="000A04C0">
              <w:rPr>
                <w:sz w:val="22"/>
              </w:rPr>
              <w:t>, 2007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)</w:t>
            </w:r>
          </w:p>
        </w:tc>
      </w:tr>
      <w:tr w:rsidR="00620CEF" w:rsidRPr="00DB1A5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DHEA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7α-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</w:t>
            </w:r>
            <w:proofErr w:type="spellEnd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 xml:space="preserve">-DHEA/ </w:t>
            </w:r>
          </w:p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7β-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</w:t>
            </w:r>
            <w:proofErr w:type="spellEnd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-DHEA</w:t>
            </w:r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0A04C0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da-DK"/>
              </w:rPr>
            </w:pPr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da-DK"/>
              </w:rPr>
              <w:t xml:space="preserve">Mucor racemosus </w:t>
            </w:r>
            <w:r w:rsidRPr="000A04C0">
              <w:rPr>
                <w:sz w:val="22"/>
              </w:rPr>
              <w:t>(Li et al., 2005)</w:t>
            </w:r>
          </w:p>
        </w:tc>
      </w:tr>
      <w:tr w:rsidR="00620CEF" w:rsidRPr="00DB1A5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DHEA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7α,15α-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Dihydroxy</w:t>
            </w:r>
            <w:proofErr w:type="spellEnd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-DHEA</w:t>
            </w:r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0A04C0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da-DK"/>
              </w:rPr>
            </w:pPr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da-DK"/>
              </w:rPr>
              <w:t xml:space="preserve">Colletotrichum lini </w:t>
            </w:r>
            <w:r w:rsidRPr="000A04C0">
              <w:rPr>
                <w:sz w:val="22"/>
              </w:rPr>
              <w:t>(Li et al., 2017)</w:t>
            </w:r>
          </w:p>
        </w:tc>
      </w:tr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Progesterone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11α-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Hydroxyprogesterone</w:t>
            </w:r>
            <w:proofErr w:type="spellEnd"/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0A04C0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proofErr w:type="spellStart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Rizhopus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proofErr w:type="spellStart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nigricans</w:t>
            </w:r>
            <w:proofErr w:type="spellEnd"/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ATCC 6227b</w:t>
            </w:r>
            <w:r w:rsidRPr="000A04C0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0A04C0">
              <w:rPr>
                <w:rFonts w:cs="Arial Unicode MS"/>
                <w:color w:val="000000"/>
                <w:sz w:val="22"/>
                <w:u w:color="000000"/>
                <w:lang w:val="en-GB"/>
              </w:rPr>
              <w:t>(</w:t>
            </w:r>
            <w:proofErr w:type="spellStart"/>
            <w:r w:rsidRPr="00461CAB">
              <w:rPr>
                <w:sz w:val="22"/>
                <w:lang w:val="en-US"/>
              </w:rPr>
              <w:t>Roglič</w:t>
            </w:r>
            <w:proofErr w:type="spellEnd"/>
            <w:r w:rsidRPr="00461CAB">
              <w:rPr>
                <w:sz w:val="22"/>
                <w:lang w:val="en-US"/>
              </w:rPr>
              <w:t xml:space="preserve"> et al., 2007)</w:t>
            </w:r>
          </w:p>
        </w:tc>
      </w:tr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Progesterone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11β-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Hydroxyprogesterone</w:t>
            </w:r>
            <w:proofErr w:type="spellEnd"/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Trichoderma </w:t>
            </w:r>
            <w:proofErr w:type="spellStart"/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harzianum</w:t>
            </w:r>
            <w:proofErr w:type="spellEnd"/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, Trichoderma </w:t>
            </w:r>
            <w:proofErr w:type="spellStart"/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hamatum</w:t>
            </w:r>
            <w:proofErr w:type="spellEnd"/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(</w:t>
            </w:r>
            <w:r w:rsidRPr="00461CAB">
              <w:rPr>
                <w:sz w:val="22"/>
                <w:lang w:val="en-US"/>
              </w:rPr>
              <w:t>El-</w:t>
            </w:r>
            <w:proofErr w:type="spellStart"/>
            <w:r w:rsidRPr="00461CAB">
              <w:rPr>
                <w:sz w:val="22"/>
                <w:lang w:val="en-US"/>
              </w:rPr>
              <w:t>Kadi</w:t>
            </w:r>
            <w:proofErr w:type="spellEnd"/>
            <w:r w:rsidRPr="00461CAB">
              <w:rPr>
                <w:sz w:val="22"/>
                <w:lang w:val="en-US"/>
              </w:rPr>
              <w:t xml:space="preserve"> and Mostafa, 2004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)</w:t>
            </w:r>
          </w:p>
        </w:tc>
      </w:tr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Testosterone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14α-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Hydroxytestosterone</w:t>
            </w:r>
            <w:proofErr w:type="spellEnd"/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Aspergillus </w:t>
            </w:r>
            <w:proofErr w:type="spellStart"/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wentii</w:t>
            </w:r>
            <w:proofErr w:type="spellEnd"/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MRC 200316</w:t>
            </w: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(</w:t>
            </w:r>
            <w:proofErr w:type="spellStart"/>
            <w:r w:rsidRPr="00461CAB">
              <w:rPr>
                <w:sz w:val="22"/>
                <w:lang w:val="en-US"/>
              </w:rPr>
              <w:t>Yildirim</w:t>
            </w:r>
            <w:proofErr w:type="spellEnd"/>
            <w:r w:rsidRPr="00461CAB">
              <w:rPr>
                <w:sz w:val="22"/>
                <w:lang w:val="en-US"/>
              </w:rPr>
              <w:t xml:space="preserve"> et al., 2010)</w:t>
            </w:r>
          </w:p>
        </w:tc>
      </w:tr>
      <w:tr w:rsidR="00620CEF" w:rsidRPr="00DB1A5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b/>
                <w:bCs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 xml:space="preserve">(1)Testosterone; </w:t>
            </w:r>
          </w:p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(2) Progesterone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620CEF">
            <w:pPr>
              <w:numPr>
                <w:ilvl w:val="0"/>
                <w:numId w:val="7"/>
              </w:numPr>
              <w:suppressAutoHyphens/>
              <w:spacing w:before="0" w:after="0"/>
              <w:jc w:val="both"/>
              <w:rPr>
                <w:rFonts w:cs="Arial Unicode MS"/>
                <w:b/>
                <w:bCs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15α-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Hydroxytestosterone</w:t>
            </w:r>
            <w:proofErr w:type="spellEnd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 xml:space="preserve">; </w:t>
            </w:r>
          </w:p>
          <w:p w:rsidR="00620CEF" w:rsidRPr="0060431B" w:rsidRDefault="00620CEF" w:rsidP="00620CEF">
            <w:pPr>
              <w:numPr>
                <w:ilvl w:val="0"/>
                <w:numId w:val="7"/>
              </w:numPr>
              <w:suppressAutoHyphens/>
              <w:spacing w:before="0" w:after="0"/>
              <w:jc w:val="both"/>
              <w:rPr>
                <w:rFonts w:cs="Arial Unicode MS"/>
                <w:b/>
                <w:bCs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15α-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Hydroxyprogesterone</w:t>
            </w:r>
            <w:proofErr w:type="spellEnd"/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da-DK"/>
              </w:rPr>
            </w:pP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da-DK"/>
              </w:rPr>
              <w:t xml:space="preserve">F. oxysporum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da-DK"/>
              </w:rPr>
              <w:t>var. cubense</w:t>
            </w: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da-DK"/>
              </w:rPr>
              <w:t xml:space="preserve">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da-DK"/>
              </w:rPr>
              <w:t>(</w:t>
            </w:r>
            <w:proofErr w:type="spellStart"/>
            <w:r w:rsidRPr="000A04C0">
              <w:rPr>
                <w:sz w:val="22"/>
              </w:rPr>
              <w:t>Reese</w:t>
            </w:r>
            <w:proofErr w:type="spellEnd"/>
            <w:r w:rsidRPr="000A04C0">
              <w:rPr>
                <w:sz w:val="22"/>
              </w:rPr>
              <w:t>, 2007)</w:t>
            </w:r>
          </w:p>
        </w:tc>
      </w:tr>
      <w:tr w:rsidR="00620CEF" w:rsidRPr="00DB1A5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 xml:space="preserve">Androsta-4,6-diene-3,17-dione 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shd w:val="clear" w:color="auto" w:fill="FEFFFF"/>
                <w:lang w:val="en-GB"/>
              </w:rPr>
              <w:t>16β-Hydroxyandrosta-4,6-diene-3,17-dione</w:t>
            </w:r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da-DK"/>
              </w:rPr>
            </w:pP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da-DK"/>
              </w:rPr>
              <w:t>F. oxysporum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da-DK"/>
              </w:rPr>
              <w:t xml:space="preserve"> var. cubense UAMH 9013 (</w:t>
            </w:r>
            <w:r w:rsidRPr="00461CAB">
              <w:rPr>
                <w:sz w:val="22"/>
                <w:lang w:val="en-US"/>
              </w:rPr>
              <w:t>Peart et al., 2011)</w:t>
            </w:r>
          </w:p>
        </w:tc>
      </w:tr>
      <w:tr w:rsidR="00620CEF" w:rsidRPr="0060431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Progesterone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17α-</w:t>
            </w: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Hydroxyprogesterone</w:t>
            </w:r>
            <w:proofErr w:type="spellEnd"/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Bacillus </w:t>
            </w:r>
            <w:proofErr w:type="spellStart"/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sphaericus</w:t>
            </w:r>
            <w:proofErr w:type="spellEnd"/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(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ATCC 245</w:t>
            </w: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,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ATCC 7063</w:t>
            </w: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,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ATCC 13805</w:t>
            </w: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>,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 xml:space="preserve"> TISTR 670) and </w:t>
            </w: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A. simplex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ATCC 6946</w:t>
            </w: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lang w:val="en-GB"/>
              </w:rPr>
              <w:t xml:space="preserve"> 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(</w:t>
            </w:r>
            <w:proofErr w:type="spellStart"/>
            <w:r w:rsidRPr="00461CAB">
              <w:rPr>
                <w:sz w:val="22"/>
                <w:lang w:val="en-US"/>
              </w:rPr>
              <w:t>Manosroi</w:t>
            </w:r>
            <w:proofErr w:type="spellEnd"/>
            <w:r w:rsidRPr="00461CAB">
              <w:rPr>
                <w:sz w:val="22"/>
                <w:lang w:val="en-US"/>
              </w:rPr>
              <w:t xml:space="preserve"> et al., 2008b</w:t>
            </w: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)</w:t>
            </w:r>
          </w:p>
        </w:tc>
      </w:tr>
      <w:tr w:rsidR="00620CEF" w:rsidRPr="00DB1A5B" w:rsidTr="00C25D53">
        <w:trPr>
          <w:cantSplit/>
          <w:trHeight w:val="20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ADD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en-GB"/>
              </w:rPr>
            </w:pPr>
            <w:proofErr w:type="spellStart"/>
            <w:r w:rsidRPr="0060431B">
              <w:rPr>
                <w:rFonts w:cs="Arial Unicode MS"/>
                <w:color w:val="000000"/>
                <w:sz w:val="22"/>
                <w:u w:color="000000"/>
                <w:lang w:val="en-GB"/>
              </w:rPr>
              <w:t>Testololactone</w:t>
            </w:r>
            <w:proofErr w:type="spellEnd"/>
          </w:p>
        </w:tc>
        <w:tc>
          <w:tcPr>
            <w:tcW w:w="2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F" w:rsidRPr="0060431B" w:rsidRDefault="00620CEF" w:rsidP="00C25D53">
            <w:pPr>
              <w:suppressAutoHyphens/>
              <w:spacing w:before="0" w:after="0"/>
              <w:jc w:val="both"/>
              <w:rPr>
                <w:rFonts w:cs="Arial Unicode MS"/>
                <w:color w:val="000000"/>
                <w:sz w:val="22"/>
                <w:u w:color="000000"/>
                <w:lang w:val="da-DK"/>
              </w:rPr>
            </w:pPr>
            <w:r w:rsidRPr="0060431B">
              <w:rPr>
                <w:rFonts w:cs="Arial Unicode MS"/>
                <w:i/>
                <w:iCs/>
                <w:color w:val="000000"/>
                <w:sz w:val="22"/>
                <w:u w:color="000000"/>
                <w:shd w:val="clear" w:color="auto" w:fill="FFFFFF"/>
                <w:lang w:val="da-DK"/>
              </w:rPr>
              <w:t>Purpureocillium lilacinum</w:t>
            </w:r>
            <w:r w:rsidRPr="0060431B">
              <w:rPr>
                <w:rFonts w:cs="Arial Unicode MS"/>
                <w:color w:val="000000"/>
                <w:sz w:val="22"/>
                <w:u w:color="000000"/>
                <w:shd w:val="clear" w:color="auto" w:fill="FFFFFF"/>
                <w:lang w:val="da-DK"/>
              </w:rPr>
              <w:t xml:space="preserve"> AM111 </w:t>
            </w:r>
            <w:r w:rsidRPr="00461CAB">
              <w:rPr>
                <w:sz w:val="22"/>
                <w:lang w:val="en-US"/>
              </w:rPr>
              <w:t>(</w:t>
            </w:r>
            <w:proofErr w:type="spellStart"/>
            <w:r w:rsidRPr="00461CAB">
              <w:rPr>
                <w:sz w:val="22"/>
                <w:lang w:val="en-US"/>
              </w:rPr>
              <w:t>Kolek</w:t>
            </w:r>
            <w:proofErr w:type="spellEnd"/>
            <w:r w:rsidRPr="00461CAB">
              <w:rPr>
                <w:sz w:val="22"/>
                <w:lang w:val="en-US"/>
              </w:rPr>
              <w:t xml:space="preserve"> et al., 2008)</w:t>
            </w:r>
          </w:p>
        </w:tc>
      </w:tr>
    </w:tbl>
    <w:p w:rsidR="00620CEF" w:rsidRPr="0060431B" w:rsidRDefault="00620CEF" w:rsidP="00620C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after="120" w:line="360" w:lineRule="auto"/>
        <w:ind w:left="108" w:hanging="108"/>
        <w:jc w:val="center"/>
        <w:rPr>
          <w:rFonts w:ascii="Arial Narrow" w:eastAsia="Arial Narrow" w:hAnsi="Arial Narrow" w:cs="Arial Narrow"/>
          <w:color w:val="000000"/>
          <w:sz w:val="2"/>
          <w:szCs w:val="2"/>
          <w:u w:color="000000"/>
          <w:bdr w:val="nil"/>
          <w:lang w:val="da-DK" w:eastAsia="es-ES"/>
        </w:rPr>
      </w:pPr>
    </w:p>
    <w:p w:rsidR="00620CEF" w:rsidRPr="0060431B" w:rsidRDefault="00620CEF" w:rsidP="00620CEF">
      <w:pPr>
        <w:pStyle w:val="CuerpoA"/>
        <w:suppressAutoHyphens/>
        <w:spacing w:before="120" w:after="240" w:line="240" w:lineRule="auto"/>
        <w:rPr>
          <w:rStyle w:val="Ninguno"/>
          <w:b/>
          <w:lang w:val="da-DK"/>
        </w:rPr>
      </w:pPr>
    </w:p>
    <w:p w:rsidR="00620CEF" w:rsidRPr="009D1D4B" w:rsidRDefault="00620CEF" w:rsidP="00620CEF">
      <w:pPr>
        <w:spacing w:before="0" w:after="200" w:line="276" w:lineRule="auto"/>
        <w:rPr>
          <w:rStyle w:val="Ninguno"/>
          <w:rFonts w:eastAsia="Arial Unicode MS" w:cs="Arial Unicode MS"/>
          <w:b/>
          <w:color w:val="000000"/>
          <w:szCs w:val="24"/>
          <w:u w:color="000000"/>
          <w:bdr w:val="nil"/>
          <w:lang w:val="da-DK" w:eastAsia="es-ES"/>
        </w:rPr>
      </w:pPr>
      <w:r w:rsidRPr="009D1D4B">
        <w:rPr>
          <w:rStyle w:val="Ninguno"/>
          <w:b/>
          <w:lang w:val="da-DK"/>
        </w:rPr>
        <w:br w:type="page"/>
      </w:r>
      <w:bookmarkStart w:id="0" w:name="_GoBack"/>
      <w:bookmarkEnd w:id="0"/>
    </w:p>
    <w:sectPr w:rsidR="00620CEF" w:rsidRPr="009D1D4B" w:rsidSect="0034070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917"/>
    <w:multiLevelType w:val="hybridMultilevel"/>
    <w:tmpl w:val="3D1816E4"/>
    <w:lvl w:ilvl="0" w:tplc="84844720">
      <w:start w:val="1"/>
      <w:numFmt w:val="decimal"/>
      <w:lvlText w:val="(%1)"/>
      <w:lvlJc w:val="left"/>
      <w:pPr>
        <w:ind w:left="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544B7C">
      <w:start w:val="1"/>
      <w:numFmt w:val="decimal"/>
      <w:lvlText w:val="(%2)"/>
      <w:lvlJc w:val="left"/>
      <w:pPr>
        <w:ind w:left="1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166B76">
      <w:start w:val="1"/>
      <w:numFmt w:val="decimal"/>
      <w:lvlText w:val="(%3)"/>
      <w:lvlJc w:val="left"/>
      <w:pPr>
        <w:ind w:left="2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88CE1E">
      <w:start w:val="1"/>
      <w:numFmt w:val="decimal"/>
      <w:lvlText w:val="(%4)"/>
      <w:lvlJc w:val="left"/>
      <w:pPr>
        <w:ind w:left="3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7A8900">
      <w:start w:val="1"/>
      <w:numFmt w:val="decimal"/>
      <w:lvlText w:val="(%5)"/>
      <w:lvlJc w:val="left"/>
      <w:pPr>
        <w:ind w:left="4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2887D4">
      <w:start w:val="1"/>
      <w:numFmt w:val="decimal"/>
      <w:lvlText w:val="(%6)"/>
      <w:lvlJc w:val="left"/>
      <w:pPr>
        <w:ind w:left="5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0B8C6">
      <w:start w:val="1"/>
      <w:numFmt w:val="decimal"/>
      <w:lvlText w:val="(%7)"/>
      <w:lvlJc w:val="left"/>
      <w:pPr>
        <w:ind w:left="6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2FBCC">
      <w:start w:val="1"/>
      <w:numFmt w:val="decimal"/>
      <w:lvlText w:val="(%8)"/>
      <w:lvlJc w:val="left"/>
      <w:pPr>
        <w:ind w:left="7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92942C">
      <w:start w:val="1"/>
      <w:numFmt w:val="decimal"/>
      <w:lvlText w:val="(%9)"/>
      <w:lvlJc w:val="left"/>
      <w:pPr>
        <w:ind w:left="826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CF21FE0"/>
    <w:multiLevelType w:val="hybridMultilevel"/>
    <w:tmpl w:val="AB9C1A7C"/>
    <w:lvl w:ilvl="0" w:tplc="55565834">
      <w:start w:val="1"/>
      <w:numFmt w:val="upperRoman"/>
      <w:pStyle w:val="LorenaTtulo11Tesis"/>
      <w:lvlText w:val="%1."/>
      <w:lvlJc w:val="righ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0320819"/>
    <w:multiLevelType w:val="hybridMultilevel"/>
    <w:tmpl w:val="AE2A31F2"/>
    <w:lvl w:ilvl="0" w:tplc="A11E7340">
      <w:start w:val="1"/>
      <w:numFmt w:val="decimal"/>
      <w:pStyle w:val="LorenaTtulo1Tesi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57E98"/>
    <w:multiLevelType w:val="hybridMultilevel"/>
    <w:tmpl w:val="9F32EBD0"/>
    <w:lvl w:ilvl="0" w:tplc="E760EBFC">
      <w:start w:val="1"/>
      <w:numFmt w:val="decimal"/>
      <w:pStyle w:val="LorenaTtulo111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F"/>
    <w:rsid w:val="001300A2"/>
    <w:rsid w:val="002C1B25"/>
    <w:rsid w:val="0034070B"/>
    <w:rsid w:val="005A0456"/>
    <w:rsid w:val="00620CEF"/>
    <w:rsid w:val="00691CCB"/>
    <w:rsid w:val="00893262"/>
    <w:rsid w:val="00912D20"/>
    <w:rsid w:val="00D15E82"/>
    <w:rsid w:val="00D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Lorena"/>
    <w:qFormat/>
    <w:rsid w:val="00620CEF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aliases w:val="Título Lorena"/>
    <w:basedOn w:val="Normal"/>
    <w:next w:val="Normal"/>
    <w:link w:val="Ttulo1Car"/>
    <w:uiPriority w:val="9"/>
    <w:qFormat/>
    <w:rsid w:val="00691CCB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color w:val="C00000"/>
      <w:sz w:val="32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Lorena Car"/>
    <w:basedOn w:val="Fuentedeprrafopredeter"/>
    <w:link w:val="Ttulo1"/>
    <w:uiPriority w:val="9"/>
    <w:rsid w:val="00691CCB"/>
    <w:rPr>
      <w:rFonts w:ascii="Times New Roman" w:eastAsiaTheme="majorEastAsia" w:hAnsi="Times New Roman" w:cstheme="majorBidi"/>
      <w:b/>
      <w:bCs/>
      <w:color w:val="C00000"/>
      <w:sz w:val="32"/>
      <w:szCs w:val="28"/>
      <w:u w:val="single"/>
    </w:rPr>
  </w:style>
  <w:style w:type="paragraph" w:styleId="Subttulo">
    <w:name w:val="Subtitle"/>
    <w:aliases w:val="Subtítulo Lorena"/>
    <w:basedOn w:val="Normal"/>
    <w:next w:val="Normal"/>
    <w:link w:val="SubttuloCar"/>
    <w:uiPriority w:val="11"/>
    <w:qFormat/>
    <w:rsid w:val="00691CCB"/>
    <w:pPr>
      <w:numPr>
        <w:ilvl w:val="1"/>
      </w:numPr>
      <w:spacing w:before="360"/>
    </w:pPr>
    <w:rPr>
      <w:rFonts w:eastAsiaTheme="majorEastAsia" w:cstheme="majorBidi"/>
      <w:b/>
      <w:iCs/>
      <w:color w:val="000000" w:themeColor="text1"/>
      <w:spacing w:val="15"/>
      <w:sz w:val="28"/>
      <w:szCs w:val="24"/>
      <w:u w:val="single"/>
    </w:rPr>
  </w:style>
  <w:style w:type="character" w:customStyle="1" w:styleId="SubttuloCar">
    <w:name w:val="Subtítulo Car"/>
    <w:aliases w:val="Subtítulo Lorena Car"/>
    <w:basedOn w:val="Fuentedeprrafopredeter"/>
    <w:link w:val="Subttulo"/>
    <w:uiPriority w:val="11"/>
    <w:rsid w:val="00691CCB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  <w:u w:val="single"/>
    </w:rPr>
  </w:style>
  <w:style w:type="paragraph" w:customStyle="1" w:styleId="LorenaTtulo1Tesis">
    <w:name w:val="Lorena Título1 Tesis"/>
    <w:autoRedefine/>
    <w:qFormat/>
    <w:rsid w:val="00D15E82"/>
    <w:pPr>
      <w:numPr>
        <w:numId w:val="1"/>
      </w:numPr>
      <w:jc w:val="both"/>
    </w:pPr>
    <w:rPr>
      <w:rFonts w:ascii="Times New Roman" w:hAnsi="Times New Roman"/>
      <w:caps/>
      <w:sz w:val="36"/>
      <w:lang w:val="es-ES"/>
    </w:rPr>
  </w:style>
  <w:style w:type="paragraph" w:customStyle="1" w:styleId="LorenaTtulo11Tesis">
    <w:name w:val="Lorena Título 1.1 Tesis"/>
    <w:basedOn w:val="LorenaTtulo1Tesis"/>
    <w:autoRedefine/>
    <w:qFormat/>
    <w:rsid w:val="005A0456"/>
    <w:pPr>
      <w:numPr>
        <w:numId w:val="6"/>
      </w:numPr>
      <w:tabs>
        <w:tab w:val="left" w:pos="142"/>
      </w:tabs>
      <w:jc w:val="right"/>
    </w:pPr>
    <w:rPr>
      <w:rFonts w:ascii="Arial" w:hAnsi="Arial"/>
      <w:b/>
      <w:caps w:val="0"/>
      <w:sz w:val="52"/>
    </w:rPr>
  </w:style>
  <w:style w:type="paragraph" w:customStyle="1" w:styleId="LorenaTtulo111Tesis">
    <w:name w:val="Lorena Título 1.1.1 Tesis"/>
    <w:basedOn w:val="LorenaTtulo11Tesis"/>
    <w:qFormat/>
    <w:rsid w:val="00D15E82"/>
    <w:pPr>
      <w:numPr>
        <w:numId w:val="0"/>
      </w:numPr>
    </w:pPr>
    <w:rPr>
      <w:sz w:val="28"/>
    </w:rPr>
  </w:style>
  <w:style w:type="paragraph" w:customStyle="1" w:styleId="LorenaCuerpo1Tesis">
    <w:name w:val="Lorena Cuerpo 1 Tesis"/>
    <w:basedOn w:val="LorenaTtulo111Tesis"/>
    <w:qFormat/>
    <w:rsid w:val="00D15E82"/>
    <w:pPr>
      <w:tabs>
        <w:tab w:val="clear" w:pos="142"/>
      </w:tabs>
      <w:spacing w:after="120" w:line="336" w:lineRule="auto"/>
      <w:ind w:firstLine="720"/>
    </w:pPr>
    <w:rPr>
      <w:b w:val="0"/>
      <w:sz w:val="24"/>
      <w:szCs w:val="24"/>
    </w:rPr>
  </w:style>
  <w:style w:type="paragraph" w:customStyle="1" w:styleId="Estilo1">
    <w:name w:val="Estilo1"/>
    <w:basedOn w:val="LorenaTtulo11Tesis"/>
    <w:qFormat/>
    <w:rsid w:val="001300A2"/>
    <w:pPr>
      <w:numPr>
        <w:numId w:val="0"/>
      </w:numPr>
    </w:pPr>
    <w:rPr>
      <w:sz w:val="24"/>
    </w:rPr>
  </w:style>
  <w:style w:type="paragraph" w:customStyle="1" w:styleId="LorenaTtulo1111">
    <w:name w:val="Lorena Título 1.1.1.1."/>
    <w:basedOn w:val="LorenaTtulo111Tesis"/>
    <w:autoRedefine/>
    <w:qFormat/>
    <w:rsid w:val="001300A2"/>
    <w:pPr>
      <w:numPr>
        <w:numId w:val="5"/>
      </w:numPr>
    </w:pPr>
    <w:rPr>
      <w:sz w:val="24"/>
      <w:szCs w:val="24"/>
    </w:rPr>
  </w:style>
  <w:style w:type="character" w:customStyle="1" w:styleId="Ninguno">
    <w:name w:val="Ninguno"/>
    <w:rsid w:val="00620CEF"/>
    <w:rPr>
      <w:lang w:val="en-US"/>
    </w:rPr>
  </w:style>
  <w:style w:type="paragraph" w:customStyle="1" w:styleId="CuerpoA">
    <w:name w:val="Cuerpo A"/>
    <w:rsid w:val="00620CE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  <w:style w:type="table" w:customStyle="1" w:styleId="TableNormal1">
    <w:name w:val="Table Normal1"/>
    <w:rsid w:val="00620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Lorena"/>
    <w:qFormat/>
    <w:rsid w:val="00620CEF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aliases w:val="Título Lorena"/>
    <w:basedOn w:val="Normal"/>
    <w:next w:val="Normal"/>
    <w:link w:val="Ttulo1Car"/>
    <w:uiPriority w:val="9"/>
    <w:qFormat/>
    <w:rsid w:val="00691CCB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color w:val="C00000"/>
      <w:sz w:val="32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Lorena Car"/>
    <w:basedOn w:val="Fuentedeprrafopredeter"/>
    <w:link w:val="Ttulo1"/>
    <w:uiPriority w:val="9"/>
    <w:rsid w:val="00691CCB"/>
    <w:rPr>
      <w:rFonts w:ascii="Times New Roman" w:eastAsiaTheme="majorEastAsia" w:hAnsi="Times New Roman" w:cstheme="majorBidi"/>
      <w:b/>
      <w:bCs/>
      <w:color w:val="C00000"/>
      <w:sz w:val="32"/>
      <w:szCs w:val="28"/>
      <w:u w:val="single"/>
    </w:rPr>
  </w:style>
  <w:style w:type="paragraph" w:styleId="Subttulo">
    <w:name w:val="Subtitle"/>
    <w:aliases w:val="Subtítulo Lorena"/>
    <w:basedOn w:val="Normal"/>
    <w:next w:val="Normal"/>
    <w:link w:val="SubttuloCar"/>
    <w:uiPriority w:val="11"/>
    <w:qFormat/>
    <w:rsid w:val="00691CCB"/>
    <w:pPr>
      <w:numPr>
        <w:ilvl w:val="1"/>
      </w:numPr>
      <w:spacing w:before="360"/>
    </w:pPr>
    <w:rPr>
      <w:rFonts w:eastAsiaTheme="majorEastAsia" w:cstheme="majorBidi"/>
      <w:b/>
      <w:iCs/>
      <w:color w:val="000000" w:themeColor="text1"/>
      <w:spacing w:val="15"/>
      <w:sz w:val="28"/>
      <w:szCs w:val="24"/>
      <w:u w:val="single"/>
    </w:rPr>
  </w:style>
  <w:style w:type="character" w:customStyle="1" w:styleId="SubttuloCar">
    <w:name w:val="Subtítulo Car"/>
    <w:aliases w:val="Subtítulo Lorena Car"/>
    <w:basedOn w:val="Fuentedeprrafopredeter"/>
    <w:link w:val="Subttulo"/>
    <w:uiPriority w:val="11"/>
    <w:rsid w:val="00691CCB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  <w:u w:val="single"/>
    </w:rPr>
  </w:style>
  <w:style w:type="paragraph" w:customStyle="1" w:styleId="LorenaTtulo1Tesis">
    <w:name w:val="Lorena Título1 Tesis"/>
    <w:autoRedefine/>
    <w:qFormat/>
    <w:rsid w:val="00D15E82"/>
    <w:pPr>
      <w:numPr>
        <w:numId w:val="1"/>
      </w:numPr>
      <w:jc w:val="both"/>
    </w:pPr>
    <w:rPr>
      <w:rFonts w:ascii="Times New Roman" w:hAnsi="Times New Roman"/>
      <w:caps/>
      <w:sz w:val="36"/>
      <w:lang w:val="es-ES"/>
    </w:rPr>
  </w:style>
  <w:style w:type="paragraph" w:customStyle="1" w:styleId="LorenaTtulo11Tesis">
    <w:name w:val="Lorena Título 1.1 Tesis"/>
    <w:basedOn w:val="LorenaTtulo1Tesis"/>
    <w:autoRedefine/>
    <w:qFormat/>
    <w:rsid w:val="005A0456"/>
    <w:pPr>
      <w:numPr>
        <w:numId w:val="6"/>
      </w:numPr>
      <w:tabs>
        <w:tab w:val="left" w:pos="142"/>
      </w:tabs>
      <w:jc w:val="right"/>
    </w:pPr>
    <w:rPr>
      <w:rFonts w:ascii="Arial" w:hAnsi="Arial"/>
      <w:b/>
      <w:caps w:val="0"/>
      <w:sz w:val="52"/>
    </w:rPr>
  </w:style>
  <w:style w:type="paragraph" w:customStyle="1" w:styleId="LorenaTtulo111Tesis">
    <w:name w:val="Lorena Título 1.1.1 Tesis"/>
    <w:basedOn w:val="LorenaTtulo11Tesis"/>
    <w:qFormat/>
    <w:rsid w:val="00D15E82"/>
    <w:pPr>
      <w:numPr>
        <w:numId w:val="0"/>
      </w:numPr>
    </w:pPr>
    <w:rPr>
      <w:sz w:val="28"/>
    </w:rPr>
  </w:style>
  <w:style w:type="paragraph" w:customStyle="1" w:styleId="LorenaCuerpo1Tesis">
    <w:name w:val="Lorena Cuerpo 1 Tesis"/>
    <w:basedOn w:val="LorenaTtulo111Tesis"/>
    <w:qFormat/>
    <w:rsid w:val="00D15E82"/>
    <w:pPr>
      <w:tabs>
        <w:tab w:val="clear" w:pos="142"/>
      </w:tabs>
      <w:spacing w:after="120" w:line="336" w:lineRule="auto"/>
      <w:ind w:firstLine="720"/>
    </w:pPr>
    <w:rPr>
      <w:b w:val="0"/>
      <w:sz w:val="24"/>
      <w:szCs w:val="24"/>
    </w:rPr>
  </w:style>
  <w:style w:type="paragraph" w:customStyle="1" w:styleId="Estilo1">
    <w:name w:val="Estilo1"/>
    <w:basedOn w:val="LorenaTtulo11Tesis"/>
    <w:qFormat/>
    <w:rsid w:val="001300A2"/>
    <w:pPr>
      <w:numPr>
        <w:numId w:val="0"/>
      </w:numPr>
    </w:pPr>
    <w:rPr>
      <w:sz w:val="24"/>
    </w:rPr>
  </w:style>
  <w:style w:type="paragraph" w:customStyle="1" w:styleId="LorenaTtulo1111">
    <w:name w:val="Lorena Título 1.1.1.1."/>
    <w:basedOn w:val="LorenaTtulo111Tesis"/>
    <w:autoRedefine/>
    <w:qFormat/>
    <w:rsid w:val="001300A2"/>
    <w:pPr>
      <w:numPr>
        <w:numId w:val="5"/>
      </w:numPr>
    </w:pPr>
    <w:rPr>
      <w:sz w:val="24"/>
      <w:szCs w:val="24"/>
    </w:rPr>
  </w:style>
  <w:style w:type="character" w:customStyle="1" w:styleId="Ninguno">
    <w:name w:val="Ninguno"/>
    <w:rsid w:val="00620CEF"/>
    <w:rPr>
      <w:lang w:val="en-US"/>
    </w:rPr>
  </w:style>
  <w:style w:type="paragraph" w:customStyle="1" w:styleId="CuerpoA">
    <w:name w:val="Cuerpo A"/>
    <w:rsid w:val="00620CE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  <w:style w:type="table" w:customStyle="1" w:styleId="TableNormal1">
    <w:name w:val="Table Normal1"/>
    <w:rsid w:val="00620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9DE7CD2E9E54495CEF995A9FBEE2B" ma:contentTypeVersion="7" ma:contentTypeDescription="Create a new document." ma:contentTypeScope="" ma:versionID="430dd56235e626b7aca02e0f15b3a0a0">
  <xsd:schema xmlns:xsd="http://www.w3.org/2001/XMLSchema" xmlns:p="http://schemas.microsoft.com/office/2006/metadata/properties" xmlns:ns2="d66a66c9-44e3-46d1-b0e5-b9cef715d00f" targetNamespace="http://schemas.microsoft.com/office/2006/metadata/properties" ma:root="true" ma:fieldsID="285fb956542713b513b7cc3f5710afc9" ns2:_="">
    <xsd:import namespace="d66a66c9-44e3-46d1-b0e5-b9cef715d00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6a66c9-44e3-46d1-b0e5-b9cef715d00f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d66a66c9-44e3-46d1-b0e5-b9cef715d00f">Table 2.DOCX</DocumentId>
    <IsDeleted xmlns="d66a66c9-44e3-46d1-b0e5-b9cef715d00f">false</IsDeleted>
    <TitleName xmlns="d66a66c9-44e3-46d1-b0e5-b9cef715d00f">Table 2.DOCX</TitleName>
    <StageName xmlns="d66a66c9-44e3-46d1-b0e5-b9cef715d00f" xsi:nil="true"/>
    <Checked_x0020_Out_x0020_To xmlns="d66a66c9-44e3-46d1-b0e5-b9cef715d00f">
      <UserInfo>
        <DisplayName/>
        <AccountId xsi:nil="true"/>
        <AccountType/>
      </UserInfo>
    </Checked_x0020_Out_x0020_To>
    <DocumentType xmlns="d66a66c9-44e3-46d1-b0e5-b9cef715d00f">Table</DocumentType>
    <FileFormat xmlns="d66a66c9-44e3-46d1-b0e5-b9cef715d00f">DOCX</FileFormat>
  </documentManagement>
</p:properties>
</file>

<file path=customXml/itemProps1.xml><?xml version="1.0" encoding="utf-8"?>
<ds:datastoreItem xmlns:ds="http://schemas.openxmlformats.org/officeDocument/2006/customXml" ds:itemID="{D22E947A-23C9-4DE9-90E4-476A2A453068}"/>
</file>

<file path=customXml/itemProps2.xml><?xml version="1.0" encoding="utf-8"?>
<ds:datastoreItem xmlns:ds="http://schemas.openxmlformats.org/officeDocument/2006/customXml" ds:itemID="{D47768BB-142A-4A04-8EDC-86C0E4E1AF37}"/>
</file>

<file path=customXml/itemProps3.xml><?xml version="1.0" encoding="utf-8"?>
<ds:datastoreItem xmlns:ds="http://schemas.openxmlformats.org/officeDocument/2006/customXml" ds:itemID="{962F6F2C-3259-46DC-ACC8-CE07A448A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344-LORENA</dc:creator>
  <cp:keywords/>
  <dc:description/>
  <cp:lastModifiedBy>344-LORENA</cp:lastModifiedBy>
  <cp:revision>1</cp:revision>
  <dcterms:created xsi:type="dcterms:W3CDTF">2017-12-22T12:25:00Z</dcterms:created>
  <dcterms:modified xsi:type="dcterms:W3CDTF">2017-12-22T12:25:00Z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0x01010068D9DE7CD2E9E54495CEF995A9FBEE2B</vt:lpwstr>
  </property>
</Properties>
</file>