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543069" w:rsidRPr="00C95988" w:rsidRDefault="00543069" w:rsidP="00543069">
      <w:pPr>
        <w:pStyle w:val="Normal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988">
        <w:rPr>
          <w:rFonts w:ascii="Times New Roman" w:hAnsi="Times New Roman" w:cs="Times New Roman"/>
          <w:b/>
          <w:sz w:val="32"/>
          <w:szCs w:val="32"/>
        </w:rPr>
        <w:t>Saliva Proteomics Analysis Offers Insights on Type 1 Diabetes Pathology in a Pediatric Population</w:t>
      </w:r>
    </w:p>
    <w:p w:rsidR="00543069" w:rsidRDefault="00543069" w:rsidP="00543069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543069" w:rsidRPr="00543069" w:rsidRDefault="00543069" w:rsidP="00543069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543069">
        <w:rPr>
          <w:rFonts w:ascii="Times New Roman" w:hAnsi="Times New Roman" w:cs="Times New Roman"/>
          <w:b/>
          <w:sz w:val="24"/>
          <w:szCs w:val="24"/>
        </w:rPr>
        <w:t>Eftychia Pappa</w:t>
      </w:r>
      <w:r w:rsidRPr="00543069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543069">
        <w:rPr>
          <w:rFonts w:ascii="Times New Roman" w:hAnsi="Times New Roman" w:cs="Times New Roman"/>
          <w:b/>
          <w:sz w:val="24"/>
          <w:szCs w:val="24"/>
        </w:rPr>
        <w:t>, Heleni Vastardis, George Mermelekas, Andriani Vazeou-Gerasimidi, Jerome Zoidakis, Antonia Vlahou, Konstantinos Vougas</w:t>
      </w:r>
    </w:p>
    <w:p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543069">
        <w:rPr>
          <w:rFonts w:cs="Times New Roman"/>
        </w:rPr>
        <w:t>Eftychia Pappa</w:t>
      </w:r>
      <w:r w:rsidR="00994A3D" w:rsidRPr="00994A3D">
        <w:rPr>
          <w:rFonts w:cs="Times New Roman"/>
        </w:rPr>
        <w:t xml:space="preserve">: </w:t>
      </w:r>
      <w:r w:rsidR="00543069">
        <w:rPr>
          <w:rFonts w:cs="Times New Roman"/>
        </w:rPr>
        <w:t>effiepappa84@yahoo.com</w:t>
      </w:r>
    </w:p>
    <w:p w:rsidR="00994A3D" w:rsidRPr="00543069" w:rsidRDefault="00543069" w:rsidP="00543069">
      <w:pPr>
        <w:pStyle w:val="Heading1"/>
        <w:numPr>
          <w:ilvl w:val="0"/>
          <w:numId w:val="0"/>
        </w:numPr>
      </w:pPr>
      <w:r>
        <w:t xml:space="preserve">Supplementary </w:t>
      </w:r>
      <w:r w:rsidR="00654E8F" w:rsidRPr="00994A3D">
        <w:t>Tables</w:t>
      </w:r>
    </w:p>
    <w:p w:rsidR="00543069" w:rsidRDefault="00543069" w:rsidP="00543069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Cs w:val="24"/>
        </w:rPr>
        <w:t>Supplementary Table</w:t>
      </w:r>
      <w:r w:rsidR="00994A3D" w:rsidRPr="0001436A">
        <w:rPr>
          <w:rFonts w:cs="Times New Roman"/>
          <w:b/>
          <w:szCs w:val="24"/>
        </w:rPr>
        <w:t xml:space="preserve"> </w:t>
      </w:r>
      <w:r w:rsidR="009E3B7C" w:rsidRPr="0001436A">
        <w:rPr>
          <w:rFonts w:cs="Times New Roman"/>
          <w:b/>
          <w:szCs w:val="24"/>
        </w:rPr>
        <w:fldChar w:fldCharType="begin"/>
      </w:r>
      <w:r w:rsidR="00994A3D" w:rsidRPr="0001436A">
        <w:rPr>
          <w:rFonts w:cs="Times New Roman"/>
          <w:b/>
          <w:szCs w:val="24"/>
        </w:rPr>
        <w:instrText xml:space="preserve"> SEQ Figure \* ARABIC </w:instrText>
      </w:r>
      <w:r w:rsidR="009E3B7C"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="009E3B7C" w:rsidRPr="0001436A">
        <w:rPr>
          <w:rFonts w:cs="Times New Roman"/>
          <w:b/>
          <w:szCs w:val="24"/>
        </w:rPr>
        <w:fldChar w:fldCharType="end"/>
      </w:r>
      <w:r w:rsidR="00994A3D" w:rsidRPr="0001436A">
        <w:rPr>
          <w:rFonts w:cs="Times New Roman"/>
          <w:b/>
          <w:szCs w:val="24"/>
        </w:rPr>
        <w:t>.</w:t>
      </w:r>
      <w:r w:rsidR="00994A3D" w:rsidRPr="001549D3">
        <w:rPr>
          <w:rFonts w:cs="Times New Roman"/>
          <w:szCs w:val="24"/>
        </w:rPr>
        <w:t xml:space="preserve"> </w:t>
      </w:r>
      <w:r w:rsidRPr="00EE0F21">
        <w:rPr>
          <w:szCs w:val="24"/>
        </w:rPr>
        <w:t xml:space="preserve">The total of 36 samples were separated in 6 batches, each batch containing 6 samples two from each group (G1, G2 &amp; Ctrl). Each batch was processed separately as described in the following section and the samples of each batch were iTRAQ-labeled as </w:t>
      </w:r>
      <w:r w:rsidRPr="00AC3DDD">
        <w:rPr>
          <w:szCs w:val="24"/>
        </w:rPr>
        <w:t>described in S1 Table.</w:t>
      </w:r>
    </w:p>
    <w:p w:rsidR="00543069" w:rsidRDefault="00543069" w:rsidP="00543069">
      <w:pPr>
        <w:jc w:val="both"/>
        <w:rPr>
          <w:szCs w:val="24"/>
        </w:rPr>
      </w:pPr>
      <w:r>
        <w:rPr>
          <w:rFonts w:cs="Times New Roman"/>
          <w:b/>
          <w:szCs w:val="24"/>
        </w:rPr>
        <w:t>Supplementary 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2</w:t>
      </w:r>
      <w:r>
        <w:rPr>
          <w:szCs w:val="24"/>
        </w:rPr>
        <w:t>.</w:t>
      </w:r>
      <w:r w:rsidRPr="00AC3DDD">
        <w:rPr>
          <w:szCs w:val="24"/>
        </w:rPr>
        <w:t xml:space="preserve"> </w:t>
      </w:r>
      <w:r w:rsidRPr="00EE0F21">
        <w:rPr>
          <w:szCs w:val="24"/>
        </w:rPr>
        <w:t>Spectral information of proteotypic peptides for the design of MRM experiments exist for all proteins and 1-3 peptides per protein were selected</w:t>
      </w:r>
    </w:p>
    <w:p w:rsidR="00543069" w:rsidRDefault="00543069" w:rsidP="00543069">
      <w:pPr>
        <w:jc w:val="both"/>
        <w:rPr>
          <w:szCs w:val="24"/>
        </w:rPr>
      </w:pPr>
      <w:r>
        <w:rPr>
          <w:rFonts w:cs="Times New Roman"/>
          <w:b/>
          <w:szCs w:val="24"/>
        </w:rPr>
        <w:t>Supplementary 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3</w:t>
      </w:r>
      <w:r w:rsidRPr="00EE0F21">
        <w:rPr>
          <w:szCs w:val="24"/>
        </w:rPr>
        <w:t xml:space="preserve">. </w:t>
      </w:r>
      <w:r w:rsidRPr="00AC3DDD">
        <w:rPr>
          <w:szCs w:val="24"/>
        </w:rPr>
        <w:t xml:space="preserve">The final transition selection </w:t>
      </w:r>
      <w:r>
        <w:rPr>
          <w:szCs w:val="24"/>
        </w:rPr>
        <w:t xml:space="preserve">of peptides </w:t>
      </w:r>
      <w:r w:rsidRPr="00EE0F21">
        <w:rPr>
          <w:szCs w:val="24"/>
        </w:rPr>
        <w:t>was based on the quality of the MS/MS spectrum of each peptide in the human spectral library, downloaded from NIST</w:t>
      </w:r>
    </w:p>
    <w:p w:rsidR="00543069" w:rsidRDefault="00543069" w:rsidP="00543069">
      <w:pPr>
        <w:jc w:val="both"/>
        <w:rPr>
          <w:szCs w:val="24"/>
        </w:rPr>
      </w:pPr>
      <w:r>
        <w:rPr>
          <w:rFonts w:cs="Times New Roman"/>
          <w:b/>
          <w:szCs w:val="24"/>
        </w:rPr>
        <w:t>Supplementary 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4</w:t>
      </w:r>
      <w:r w:rsidRPr="00EE0F21">
        <w:rPr>
          <w:szCs w:val="24"/>
        </w:rPr>
        <w:t>. The proteomic analysis yielded 22028 peptides that were confidently identified (FDR &lt; 1</w:t>
      </w:r>
      <w:r w:rsidRPr="00AC3DDD">
        <w:rPr>
          <w:szCs w:val="24"/>
        </w:rPr>
        <w:t>%)(</w:t>
      </w:r>
      <w:r>
        <w:rPr>
          <w:szCs w:val="24"/>
        </w:rPr>
        <w:t xml:space="preserve"> S</w:t>
      </w:r>
      <w:r w:rsidRPr="00AC3DDD">
        <w:rPr>
          <w:szCs w:val="24"/>
        </w:rPr>
        <w:t>4 Table)</w:t>
      </w:r>
      <w:r w:rsidRPr="00EE0F21">
        <w:rPr>
          <w:szCs w:val="24"/>
        </w:rPr>
        <w:t xml:space="preserve"> and quantified by the iTRAQ reporter ions. </w:t>
      </w:r>
    </w:p>
    <w:p w:rsidR="00543069" w:rsidRDefault="00543069" w:rsidP="00543069">
      <w:pPr>
        <w:jc w:val="both"/>
        <w:rPr>
          <w:szCs w:val="24"/>
        </w:rPr>
      </w:pPr>
      <w:r>
        <w:rPr>
          <w:rFonts w:cs="Times New Roman"/>
          <w:b/>
          <w:szCs w:val="24"/>
        </w:rPr>
        <w:t>Supplementary 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5</w:t>
      </w:r>
      <w:r>
        <w:rPr>
          <w:szCs w:val="24"/>
        </w:rPr>
        <w:t>. The identified</w:t>
      </w:r>
      <w:r w:rsidRPr="00EE0F21">
        <w:rPr>
          <w:szCs w:val="24"/>
        </w:rPr>
        <w:t xml:space="preserve"> peptides corresponded to 4876 individual confident protein iden</w:t>
      </w:r>
      <w:r>
        <w:rPr>
          <w:szCs w:val="24"/>
        </w:rPr>
        <w:t>tifications (FDR&lt; 5%)</w:t>
      </w:r>
    </w:p>
    <w:p w:rsidR="00543069" w:rsidRDefault="00543069" w:rsidP="00543069">
      <w:pPr>
        <w:jc w:val="both"/>
        <w:rPr>
          <w:szCs w:val="24"/>
        </w:rPr>
      </w:pPr>
      <w:r>
        <w:rPr>
          <w:rFonts w:cs="Times New Roman"/>
          <w:b/>
          <w:szCs w:val="24"/>
        </w:rPr>
        <w:t>Supplementary 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6</w:t>
      </w:r>
      <w:r w:rsidRPr="00EE0F21">
        <w:rPr>
          <w:szCs w:val="24"/>
        </w:rPr>
        <w:t>. The total protein number considered for analysis was reduced to 2031 proteins</w:t>
      </w:r>
      <w:r>
        <w:rPr>
          <w:szCs w:val="24"/>
        </w:rPr>
        <w:t>.</w:t>
      </w:r>
      <w:r w:rsidRPr="00EE0F21">
        <w:rPr>
          <w:szCs w:val="24"/>
        </w:rPr>
        <w:t xml:space="preserve"> </w:t>
      </w:r>
      <w:r>
        <w:rPr>
          <w:szCs w:val="24"/>
        </w:rPr>
        <w:t>Min prob: minimum protein identification probability across all six iTRAQ batches. Max prob: maximum protein identification probability across all six iTRAQ batches.</w:t>
      </w:r>
    </w:p>
    <w:p w:rsidR="00543069" w:rsidRDefault="00543069" w:rsidP="00543069">
      <w:pPr>
        <w:jc w:val="both"/>
        <w:rPr>
          <w:szCs w:val="24"/>
          <w:u w:val="single"/>
        </w:rPr>
      </w:pPr>
      <w:r>
        <w:rPr>
          <w:rFonts w:cs="Times New Roman"/>
          <w:b/>
          <w:szCs w:val="24"/>
        </w:rPr>
        <w:t>Supplementary 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7</w:t>
      </w:r>
      <w:r>
        <w:rPr>
          <w:szCs w:val="24"/>
        </w:rPr>
        <w:t xml:space="preserve">. </w:t>
      </w:r>
      <w:r w:rsidRPr="00EE0F21">
        <w:rPr>
          <w:szCs w:val="24"/>
        </w:rPr>
        <w:t>Fu</w:t>
      </w:r>
      <w:r>
        <w:rPr>
          <w:szCs w:val="24"/>
        </w:rPr>
        <w:t>nctional classification of</w:t>
      </w:r>
      <w:r w:rsidRPr="00EE0F21">
        <w:rPr>
          <w:szCs w:val="24"/>
        </w:rPr>
        <w:t xml:space="preserve"> proteins revealed that Enzymes and Cytokines were the main functional groups of the salivary proteome.</w:t>
      </w:r>
    </w:p>
    <w:p w:rsidR="00543069" w:rsidRPr="00543069" w:rsidRDefault="00543069" w:rsidP="0054306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43069">
        <w:rPr>
          <w:rFonts w:ascii="Times New Roman" w:hAnsi="Times New Roman" w:cs="Times New Roman"/>
          <w:b/>
          <w:szCs w:val="24"/>
        </w:rPr>
        <w:t>Supplementary Table 8</w:t>
      </w:r>
      <w:r w:rsidRPr="00543069">
        <w:rPr>
          <w:rFonts w:ascii="Times New Roman" w:hAnsi="Times New Roman" w:cs="Times New Roman"/>
          <w:sz w:val="24"/>
          <w:szCs w:val="24"/>
        </w:rPr>
        <w:t>. 33 proteins were found to be differentially expressed between G1-Ctrl, 37 between G2-Ctrl and 61 between G1-G2.</w:t>
      </w:r>
    </w:p>
    <w:p w:rsidR="00543069" w:rsidRDefault="00543069" w:rsidP="0054306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543069" w:rsidRPr="00543069" w:rsidRDefault="00543069" w:rsidP="00543069">
      <w:pPr>
        <w:pStyle w:val="Normal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069">
        <w:rPr>
          <w:rFonts w:ascii="Times New Roman" w:hAnsi="Times New Roman" w:cs="Times New Roman"/>
          <w:b/>
          <w:sz w:val="24"/>
          <w:szCs w:val="24"/>
        </w:rPr>
        <w:t>Supplementary Table 9</w:t>
      </w:r>
      <w:r w:rsidRPr="00543069">
        <w:rPr>
          <w:rFonts w:ascii="Times New Roman" w:hAnsi="Times New Roman" w:cs="Times New Roman"/>
          <w:sz w:val="24"/>
          <w:szCs w:val="24"/>
        </w:rPr>
        <w:t>. We provided L1000CDS</w:t>
      </w:r>
      <w:r w:rsidRPr="005430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3069">
        <w:rPr>
          <w:rFonts w:ascii="Times New Roman" w:hAnsi="Times New Roman" w:cs="Times New Roman"/>
          <w:sz w:val="24"/>
          <w:szCs w:val="24"/>
        </w:rPr>
        <w:t>, a search engine of gene expression signatures from the LINCS L1000 dataset, with the differentially expressed (up &amp; down-regulated) proteins of Comparison G1 vs G2. Among the agents that most efficiently reversed that phenotype, the top hit was BRD-K01868942, a serotonin receptor antagonist.</w:t>
      </w:r>
    </w:p>
    <w:p w:rsidR="00543069" w:rsidRPr="00543069" w:rsidRDefault="00543069" w:rsidP="00543069">
      <w:pPr>
        <w:pStyle w:val="Normal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23E8" w:rsidRPr="00325781" w:rsidRDefault="00543069" w:rsidP="00325781">
      <w:pPr>
        <w:jc w:val="both"/>
        <w:rPr>
          <w:szCs w:val="24"/>
          <w:u w:val="single"/>
        </w:rPr>
      </w:pPr>
      <w:r>
        <w:rPr>
          <w:rFonts w:cs="Times New Roman"/>
          <w:b/>
          <w:szCs w:val="24"/>
        </w:rPr>
        <w:t>Supplementary 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10</w:t>
      </w:r>
      <w:r>
        <w:rPr>
          <w:szCs w:val="24"/>
        </w:rPr>
        <w:t xml:space="preserve">. </w:t>
      </w:r>
      <w:r w:rsidRPr="002B2A72">
        <w:rPr>
          <w:szCs w:val="24"/>
        </w:rPr>
        <w:t>Protein Identification in each</w:t>
      </w:r>
      <w:r>
        <w:rPr>
          <w:szCs w:val="24"/>
        </w:rPr>
        <w:t xml:space="preserve"> iTRAQ batch and Protein level f</w:t>
      </w:r>
      <w:r w:rsidRPr="002B2A72">
        <w:rPr>
          <w:szCs w:val="24"/>
        </w:rPr>
        <w:t xml:space="preserve">alse discovery rate estimates by </w:t>
      </w:r>
      <w:r>
        <w:rPr>
          <w:szCs w:val="24"/>
        </w:rPr>
        <w:t>TPP Protein Prophet.</w:t>
      </w:r>
      <w:bookmarkStart w:id="0" w:name="_GoBack"/>
      <w:bookmarkEnd w:id="0"/>
    </w:p>
    <w:sectPr w:rsidR="00DE23E8" w:rsidRPr="00325781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B81" w:rsidRDefault="005E2B81" w:rsidP="00117666">
      <w:pPr>
        <w:spacing w:after="0"/>
      </w:pPr>
      <w:r>
        <w:separator/>
      </w:r>
    </w:p>
  </w:endnote>
  <w:endnote w:type="continuationSeparator" w:id="0">
    <w:p w:rsidR="005E2B81" w:rsidRDefault="005E2B8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325781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9E3B7C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4306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" filled="f" stroked="f" strokeweight=".5pt">
              <v:textbox style="mso-fit-shape-to-text:t">
                <w:txbxContent>
                  <w:p w:rsidR="00995F6A" w:rsidRPr="00577C4C" w:rsidRDefault="009E3B7C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43069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325781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9E3B7C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It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" filled="f" stroked="f" strokeweight=".5pt">
              <v:textbox style="mso-fit-shape-to-text:t">
                <w:txbxContent>
                  <w:p w:rsidR="00995F6A" w:rsidRPr="00577C4C" w:rsidRDefault="009E3B7C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B81" w:rsidRDefault="005E2B81" w:rsidP="00117666">
      <w:pPr>
        <w:spacing w:after="0"/>
      </w:pPr>
      <w:r>
        <w:separator/>
      </w:r>
    </w:p>
  </w:footnote>
  <w:footnote w:type="continuationSeparator" w:id="0">
    <w:p w:rsidR="005E2B81" w:rsidRDefault="005E2B8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Default="0093429D" w:rsidP="0093429D">
    <w:r w:rsidRPr="005A1D84">
      <w:rPr>
        <w:b/>
        <w:noProof/>
        <w:color w:val="A6A6A6" w:themeColor="background1" w:themeShade="A6"/>
        <w:lang w:val="el-GR" w:eastAsia="el-GR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88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25781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43069"/>
    <w:rsid w:val="00593EEA"/>
    <w:rsid w:val="005A5EEE"/>
    <w:rsid w:val="005E2B81"/>
    <w:rsid w:val="006375C7"/>
    <w:rsid w:val="00654E8F"/>
    <w:rsid w:val="00660D05"/>
    <w:rsid w:val="00672788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9151AA"/>
    <w:rsid w:val="0093429D"/>
    <w:rsid w:val="00943573"/>
    <w:rsid w:val="00970F7D"/>
    <w:rsid w:val="00994A3D"/>
    <w:rsid w:val="009C2B12"/>
    <w:rsid w:val="009E3B7C"/>
    <w:rsid w:val="00A174D9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6FD46"/>
  <w15:docId w15:val="{6085D460-B3C9-4B3E-9E68-C177B0E7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Normal1">
    <w:name w:val="Normal1"/>
    <w:qFormat/>
    <w:rsid w:val="00543069"/>
    <w:pPr>
      <w:spacing w:after="0" w:line="240" w:lineRule="auto"/>
    </w:pPr>
    <w:rPr>
      <w:rFonts w:ascii="Calibri" w:eastAsia="MS Mincho" w:hAnsi="Calibri" w:cs="Calibri"/>
      <w:color w:val="00000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Frontiers_Supplementary_Material.zi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85C3B3-F518-4013-BDFD-3B7D9BEF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Jasmine Walter</cp:lastModifiedBy>
  <cp:revision>2</cp:revision>
  <cp:lastPrinted>2013-10-03T12:51:00Z</cp:lastPrinted>
  <dcterms:created xsi:type="dcterms:W3CDTF">2018-04-19T12:24:00Z</dcterms:created>
  <dcterms:modified xsi:type="dcterms:W3CDTF">2018-04-19T12:24:00Z</dcterms:modified>
</cp:coreProperties>
</file>