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F70" w:rsidRPr="00D149A6" w:rsidRDefault="00CF664B">
      <w:pPr>
        <w:spacing w:before="44" w:line="360" w:lineRule="auto"/>
        <w:rPr>
          <w:szCs w:val="21"/>
        </w:rPr>
      </w:pPr>
      <w:r w:rsidRPr="00CF664B">
        <w:rPr>
          <w:b/>
          <w:bCs/>
          <w:szCs w:val="21"/>
        </w:rPr>
        <w:t xml:space="preserve">Figure S1. </w:t>
      </w:r>
      <w:proofErr w:type="gramStart"/>
      <w:r w:rsidRPr="00CF664B">
        <w:rPr>
          <w:bCs/>
          <w:szCs w:val="21"/>
        </w:rPr>
        <w:t xml:space="preserve">Identification of </w:t>
      </w:r>
      <w:r w:rsidRPr="00CF664B">
        <w:rPr>
          <w:i/>
          <w:szCs w:val="21"/>
        </w:rPr>
        <w:t>ATG4B</w:t>
      </w:r>
      <w:r w:rsidRPr="00CF664B">
        <w:rPr>
          <w:i/>
          <w:szCs w:val="21"/>
          <w:vertAlign w:val="superscript"/>
        </w:rPr>
        <w:t>CRISPR</w:t>
      </w:r>
      <w:r w:rsidRPr="00CF664B">
        <w:rPr>
          <w:bCs/>
          <w:szCs w:val="21"/>
        </w:rPr>
        <w:t xml:space="preserve"> </w:t>
      </w:r>
      <w:r w:rsidRPr="00CF664B">
        <w:rPr>
          <w:szCs w:val="21"/>
        </w:rPr>
        <w:t>HepG2 cells</w:t>
      </w:r>
      <w:r w:rsidRPr="00CF664B">
        <w:rPr>
          <w:bCs/>
          <w:szCs w:val="21"/>
        </w:rPr>
        <w:t xml:space="preserve"> and </w:t>
      </w:r>
      <w:r w:rsidRPr="00CF664B">
        <w:rPr>
          <w:szCs w:val="21"/>
        </w:rPr>
        <w:t>sequence homology alignments of Ser34 of ATG4s</w:t>
      </w:r>
      <w:r w:rsidRPr="00CF664B">
        <w:rPr>
          <w:bCs/>
          <w:szCs w:val="21"/>
        </w:rPr>
        <w:t>.</w:t>
      </w:r>
      <w:proofErr w:type="gramEnd"/>
      <w:r w:rsidRPr="00CF664B">
        <w:rPr>
          <w:b/>
          <w:bCs/>
          <w:szCs w:val="21"/>
        </w:rPr>
        <w:t xml:space="preserve"> </w:t>
      </w:r>
      <w:r w:rsidRPr="00CF664B">
        <w:rPr>
          <w:szCs w:val="21"/>
        </w:rPr>
        <w:t>(</w:t>
      </w:r>
      <w:r w:rsidRPr="00CF664B">
        <w:rPr>
          <w:b/>
          <w:szCs w:val="21"/>
        </w:rPr>
        <w:t>A</w:t>
      </w:r>
      <w:r w:rsidRPr="00CF664B">
        <w:rPr>
          <w:szCs w:val="21"/>
        </w:rPr>
        <w:t>) The genotype of HepG2 cells with or without</w:t>
      </w:r>
      <w:r w:rsidRPr="00CF664B">
        <w:rPr>
          <w:b/>
          <w:bCs/>
          <w:szCs w:val="21"/>
        </w:rPr>
        <w:t xml:space="preserve"> </w:t>
      </w:r>
      <w:r w:rsidRPr="00CF664B">
        <w:rPr>
          <w:szCs w:val="21"/>
        </w:rPr>
        <w:t>CRISPR/Cas9 targeting was identified by PCR. (</w:t>
      </w:r>
      <w:r w:rsidRPr="00CF664B">
        <w:rPr>
          <w:b/>
          <w:szCs w:val="21"/>
        </w:rPr>
        <w:t>B</w:t>
      </w:r>
      <w:r w:rsidRPr="00CF664B">
        <w:rPr>
          <w:szCs w:val="21"/>
        </w:rPr>
        <w:t xml:space="preserve">) The effectiveness of CRISPR/Cas9 targeting for ATG4B protein level in HepG2 cells was assayed by </w:t>
      </w:r>
      <w:proofErr w:type="spellStart"/>
      <w:r w:rsidRPr="00CF664B">
        <w:rPr>
          <w:szCs w:val="21"/>
        </w:rPr>
        <w:t>immunoblotting</w:t>
      </w:r>
      <w:proofErr w:type="spellEnd"/>
      <w:r w:rsidRPr="00CF664B">
        <w:rPr>
          <w:szCs w:val="21"/>
        </w:rPr>
        <w:t>. (</w:t>
      </w:r>
      <w:r w:rsidRPr="00CF664B">
        <w:rPr>
          <w:b/>
          <w:szCs w:val="21"/>
        </w:rPr>
        <w:t>C and D</w:t>
      </w:r>
      <w:r w:rsidRPr="00CF664B">
        <w:rPr>
          <w:szCs w:val="21"/>
        </w:rPr>
        <w:t xml:space="preserve">) </w:t>
      </w:r>
      <w:proofErr w:type="gramStart"/>
      <w:r w:rsidRPr="00CF664B">
        <w:rPr>
          <w:szCs w:val="21"/>
        </w:rPr>
        <w:t>Sequence homology alignments of Ser34 of ATG4s in different species (</w:t>
      </w:r>
      <w:r w:rsidRPr="00CF664B">
        <w:rPr>
          <w:b/>
          <w:szCs w:val="21"/>
        </w:rPr>
        <w:t>C</w:t>
      </w:r>
      <w:r w:rsidRPr="00CF664B">
        <w:rPr>
          <w:szCs w:val="21"/>
        </w:rPr>
        <w:t>) and different human ATG4 isoforms (</w:t>
      </w:r>
      <w:r w:rsidRPr="00CF664B">
        <w:rPr>
          <w:b/>
          <w:szCs w:val="21"/>
        </w:rPr>
        <w:t>D</w:t>
      </w:r>
      <w:r w:rsidRPr="00CF664B">
        <w:rPr>
          <w:szCs w:val="21"/>
        </w:rPr>
        <w:t>).</w:t>
      </w:r>
      <w:proofErr w:type="gramEnd"/>
      <w:r w:rsidRPr="00CF664B">
        <w:rPr>
          <w:szCs w:val="21"/>
        </w:rPr>
        <w:t xml:space="preserve"> </w:t>
      </w:r>
    </w:p>
    <w:p w:rsidR="001E1F70" w:rsidRPr="00D149A6" w:rsidRDefault="001E1F70">
      <w:pPr>
        <w:spacing w:before="44" w:line="360" w:lineRule="auto"/>
        <w:rPr>
          <w:szCs w:val="21"/>
        </w:rPr>
      </w:pPr>
    </w:p>
    <w:p w:rsidR="00905EAC" w:rsidRPr="00905EAC" w:rsidRDefault="00CF664B">
      <w:pPr>
        <w:spacing w:before="44" w:line="360" w:lineRule="auto"/>
        <w:rPr>
          <w:szCs w:val="21"/>
        </w:rPr>
      </w:pPr>
      <w:r w:rsidRPr="00CF664B">
        <w:rPr>
          <w:b/>
          <w:bCs/>
          <w:szCs w:val="21"/>
        </w:rPr>
        <w:t xml:space="preserve">Figure S2. </w:t>
      </w:r>
      <w:r w:rsidRPr="00CF664B">
        <w:rPr>
          <w:bCs/>
          <w:szCs w:val="21"/>
        </w:rPr>
        <w:t>The Ser34 of ATG4B is phosphorylated by AKT in HCC cells.</w:t>
      </w:r>
      <w:r w:rsidRPr="00CF664B">
        <w:rPr>
          <w:b/>
          <w:bCs/>
          <w:szCs w:val="21"/>
        </w:rPr>
        <w:t xml:space="preserve"> </w:t>
      </w:r>
      <w:r w:rsidRPr="00CF664B">
        <w:rPr>
          <w:szCs w:val="21"/>
        </w:rPr>
        <w:t>(</w:t>
      </w:r>
      <w:r w:rsidRPr="00CF664B">
        <w:rPr>
          <w:b/>
          <w:szCs w:val="21"/>
        </w:rPr>
        <w:t>A</w:t>
      </w:r>
      <w:r w:rsidRPr="00CF664B">
        <w:rPr>
          <w:szCs w:val="21"/>
        </w:rPr>
        <w:t xml:space="preserve">) </w:t>
      </w:r>
      <w:r w:rsidRPr="00CF664B">
        <w:rPr>
          <w:i/>
          <w:szCs w:val="21"/>
        </w:rPr>
        <w:t>ATG4B</w:t>
      </w:r>
      <w:r w:rsidRPr="00CF664B">
        <w:rPr>
          <w:i/>
          <w:szCs w:val="21"/>
          <w:vertAlign w:val="superscript"/>
        </w:rPr>
        <w:t>CRISPR</w:t>
      </w:r>
      <w:r w:rsidRPr="00CF664B">
        <w:rPr>
          <w:szCs w:val="21"/>
        </w:rPr>
        <w:t xml:space="preserve"> HepG2 cells were transfected with the indicated expression plasmids, and then the cell lysates were subjected to </w:t>
      </w:r>
      <w:proofErr w:type="spellStart"/>
      <w:r w:rsidRPr="00CF664B">
        <w:rPr>
          <w:szCs w:val="21"/>
        </w:rPr>
        <w:t>immunoprecipitation</w:t>
      </w:r>
      <w:proofErr w:type="spellEnd"/>
      <w:r w:rsidRPr="00CF664B">
        <w:rPr>
          <w:szCs w:val="21"/>
        </w:rPr>
        <w:t xml:space="preserve"> and </w:t>
      </w:r>
      <w:proofErr w:type="spellStart"/>
      <w:r w:rsidRPr="00CF664B">
        <w:rPr>
          <w:szCs w:val="21"/>
        </w:rPr>
        <w:t>immunoblotting</w:t>
      </w:r>
      <w:proofErr w:type="spellEnd"/>
      <w:r w:rsidRPr="00CF664B">
        <w:rPr>
          <w:szCs w:val="21"/>
        </w:rPr>
        <w:t xml:space="preserve"> assays. (</w:t>
      </w:r>
      <w:r w:rsidRPr="00CF664B">
        <w:rPr>
          <w:b/>
          <w:szCs w:val="21"/>
        </w:rPr>
        <w:t>B</w:t>
      </w:r>
      <w:r w:rsidRPr="00CF664B">
        <w:rPr>
          <w:szCs w:val="21"/>
        </w:rPr>
        <w:t xml:space="preserve">) The indicated </w:t>
      </w:r>
      <w:proofErr w:type="spellStart"/>
      <w:r w:rsidRPr="00CF664B">
        <w:rPr>
          <w:szCs w:val="21"/>
        </w:rPr>
        <w:t>immunogen</w:t>
      </w:r>
      <w:proofErr w:type="spellEnd"/>
      <w:r w:rsidRPr="00CF664B">
        <w:rPr>
          <w:szCs w:val="21"/>
        </w:rPr>
        <w:t xml:space="preserve"> was prepared and then injected into the skin on the back of New Zealand white rabbits accompanied with Freund's adjuvant. Then the antibody titer of the immune serum was measured with ELISA, taking the non-immune serum as a control. (</w:t>
      </w:r>
      <w:r w:rsidRPr="00CF664B">
        <w:rPr>
          <w:b/>
          <w:szCs w:val="21"/>
        </w:rPr>
        <w:t>C</w:t>
      </w:r>
      <w:r w:rsidRPr="00CF664B">
        <w:rPr>
          <w:szCs w:val="21"/>
        </w:rPr>
        <w:t xml:space="preserve">) </w:t>
      </w:r>
      <w:r w:rsidRPr="00CF664B">
        <w:rPr>
          <w:i/>
          <w:szCs w:val="21"/>
        </w:rPr>
        <w:t>ATG4B</w:t>
      </w:r>
      <w:r w:rsidRPr="00CF664B">
        <w:rPr>
          <w:i/>
          <w:szCs w:val="21"/>
          <w:vertAlign w:val="superscript"/>
        </w:rPr>
        <w:t>CRISPR</w:t>
      </w:r>
      <w:r w:rsidRPr="00CF664B">
        <w:rPr>
          <w:szCs w:val="21"/>
        </w:rPr>
        <w:t xml:space="preserve"> HepG2 cells were transfected with ATG4B</w:t>
      </w:r>
      <w:r w:rsidRPr="00CF664B">
        <w:rPr>
          <w:szCs w:val="21"/>
          <w:vertAlign w:val="superscript"/>
        </w:rPr>
        <w:t>WT</w:t>
      </w:r>
      <w:r w:rsidRPr="00CF664B">
        <w:rPr>
          <w:szCs w:val="21"/>
        </w:rPr>
        <w:t xml:space="preserve">-expressing plasmid, and then the cell lysate was treated with or without lambda phosphatase. Subsequently, </w:t>
      </w:r>
      <w:proofErr w:type="spellStart"/>
      <w:r w:rsidRPr="00CF664B">
        <w:rPr>
          <w:szCs w:val="21"/>
        </w:rPr>
        <w:t>immunoblotting</w:t>
      </w:r>
      <w:proofErr w:type="spellEnd"/>
      <w:r w:rsidRPr="00CF664B">
        <w:rPr>
          <w:szCs w:val="21"/>
        </w:rPr>
        <w:t xml:space="preserve"> assays were performed with the antibody prepared in (</w:t>
      </w:r>
      <w:r w:rsidRPr="00CF664B">
        <w:rPr>
          <w:b/>
          <w:szCs w:val="21"/>
        </w:rPr>
        <w:t>B</w:t>
      </w:r>
      <w:r w:rsidRPr="00CF664B">
        <w:rPr>
          <w:szCs w:val="21"/>
        </w:rPr>
        <w:t>) or Flag antibody. (</w:t>
      </w:r>
      <w:r w:rsidRPr="00CF664B">
        <w:rPr>
          <w:b/>
          <w:szCs w:val="21"/>
        </w:rPr>
        <w:t>D</w:t>
      </w:r>
      <w:r w:rsidRPr="00CF664B">
        <w:rPr>
          <w:szCs w:val="21"/>
        </w:rPr>
        <w:t xml:space="preserve">) </w:t>
      </w:r>
      <w:r w:rsidRPr="00CF664B">
        <w:rPr>
          <w:i/>
          <w:szCs w:val="21"/>
        </w:rPr>
        <w:t>ATG4B</w:t>
      </w:r>
      <w:r w:rsidRPr="00CF664B">
        <w:rPr>
          <w:i/>
          <w:szCs w:val="21"/>
          <w:vertAlign w:val="superscript"/>
        </w:rPr>
        <w:t>CRISPR</w:t>
      </w:r>
      <w:r w:rsidRPr="00CF664B">
        <w:rPr>
          <w:szCs w:val="21"/>
        </w:rPr>
        <w:t xml:space="preserve"> HepG2 cells were transfected with the indicated expression plasmids, and the cell lysates were subjected to </w:t>
      </w:r>
      <w:proofErr w:type="spellStart"/>
      <w:r w:rsidRPr="00CF664B">
        <w:rPr>
          <w:szCs w:val="21"/>
        </w:rPr>
        <w:t>immunoblotting</w:t>
      </w:r>
      <w:proofErr w:type="spellEnd"/>
      <w:r w:rsidRPr="00CF664B">
        <w:rPr>
          <w:szCs w:val="21"/>
        </w:rPr>
        <w:t xml:space="preserve"> assays with the antibody prepared in (</w:t>
      </w:r>
      <w:r w:rsidRPr="00CF664B">
        <w:rPr>
          <w:b/>
          <w:szCs w:val="21"/>
        </w:rPr>
        <w:t>B</w:t>
      </w:r>
      <w:r w:rsidRPr="00CF664B">
        <w:rPr>
          <w:szCs w:val="21"/>
        </w:rPr>
        <w:t>) or Flag antibody. (</w:t>
      </w:r>
      <w:r w:rsidRPr="00CF664B">
        <w:rPr>
          <w:b/>
          <w:szCs w:val="21"/>
        </w:rPr>
        <w:t>E</w:t>
      </w:r>
      <w:r w:rsidRPr="00CF664B">
        <w:rPr>
          <w:szCs w:val="21"/>
        </w:rPr>
        <w:t xml:space="preserve">) HepG2 cells were transfected with the control </w:t>
      </w:r>
      <w:proofErr w:type="spellStart"/>
      <w:r w:rsidRPr="00CF664B">
        <w:rPr>
          <w:szCs w:val="21"/>
        </w:rPr>
        <w:t>siRNA</w:t>
      </w:r>
      <w:proofErr w:type="spellEnd"/>
      <w:r w:rsidRPr="00CF664B">
        <w:rPr>
          <w:szCs w:val="21"/>
        </w:rPr>
        <w:t xml:space="preserve"> or </w:t>
      </w:r>
      <w:r w:rsidRPr="00CF664B">
        <w:rPr>
          <w:i/>
          <w:szCs w:val="21"/>
        </w:rPr>
        <w:t>PTEN</w:t>
      </w:r>
      <w:r w:rsidRPr="00CF664B">
        <w:rPr>
          <w:szCs w:val="21"/>
        </w:rPr>
        <w:t xml:space="preserve"> siRNA-1 or </w:t>
      </w:r>
      <w:r w:rsidRPr="00CF664B">
        <w:rPr>
          <w:i/>
          <w:szCs w:val="21"/>
        </w:rPr>
        <w:t>PTEN</w:t>
      </w:r>
      <w:r w:rsidRPr="00CF664B">
        <w:rPr>
          <w:szCs w:val="21"/>
        </w:rPr>
        <w:t xml:space="preserve"> siRNA-2, and then the cell lysates were subjected to </w:t>
      </w:r>
      <w:proofErr w:type="spellStart"/>
      <w:r w:rsidRPr="00CF664B">
        <w:rPr>
          <w:szCs w:val="21"/>
        </w:rPr>
        <w:t>immunoblotting</w:t>
      </w:r>
      <w:proofErr w:type="spellEnd"/>
      <w:r w:rsidRPr="00CF664B">
        <w:rPr>
          <w:szCs w:val="21"/>
        </w:rPr>
        <w:t xml:space="preserve"> assays. </w:t>
      </w:r>
      <w:r w:rsidRPr="00CF664B">
        <w:rPr>
          <w:i/>
          <w:szCs w:val="21"/>
        </w:rPr>
        <w:t>PTEN</w:t>
      </w:r>
      <w:r w:rsidRPr="00CF664B">
        <w:rPr>
          <w:szCs w:val="21"/>
        </w:rPr>
        <w:t xml:space="preserve"> siRNA-1 resulted in an efficient interference of PTEN and activation of AKT (S473), so it was used for the subsequent experiments. (</w:t>
      </w:r>
      <w:r w:rsidRPr="00CF664B">
        <w:rPr>
          <w:b/>
          <w:szCs w:val="21"/>
        </w:rPr>
        <w:t>F</w:t>
      </w:r>
      <w:r w:rsidRPr="00CF664B">
        <w:rPr>
          <w:szCs w:val="21"/>
        </w:rPr>
        <w:t xml:space="preserve">) </w:t>
      </w:r>
      <w:r w:rsidRPr="00CF664B">
        <w:rPr>
          <w:i/>
          <w:szCs w:val="21"/>
        </w:rPr>
        <w:t>ATG4B</w:t>
      </w:r>
      <w:r w:rsidRPr="00CF664B">
        <w:rPr>
          <w:i/>
          <w:szCs w:val="21"/>
          <w:vertAlign w:val="superscript"/>
        </w:rPr>
        <w:t>CRISPR</w:t>
      </w:r>
      <w:r w:rsidRPr="00CF664B">
        <w:rPr>
          <w:szCs w:val="21"/>
        </w:rPr>
        <w:t xml:space="preserve"> HepG2 cells were transfected with the indicated expression plasmids, taking the empty vector (EV) as a control. Then the cell lysates were subjected to </w:t>
      </w:r>
      <w:proofErr w:type="spellStart"/>
      <w:r w:rsidRPr="00CF664B">
        <w:rPr>
          <w:szCs w:val="21"/>
        </w:rPr>
        <w:t>immunoblotting</w:t>
      </w:r>
      <w:proofErr w:type="spellEnd"/>
      <w:r w:rsidRPr="00CF664B">
        <w:rPr>
          <w:szCs w:val="21"/>
        </w:rPr>
        <w:t xml:space="preserve"> assays. MYC-AKT1</w:t>
      </w:r>
      <w:r w:rsidRPr="00CF664B">
        <w:rPr>
          <w:szCs w:val="21"/>
          <w:vertAlign w:val="superscript"/>
        </w:rPr>
        <w:t>WT</w:t>
      </w:r>
      <w:r w:rsidRPr="00CF664B">
        <w:rPr>
          <w:szCs w:val="21"/>
        </w:rPr>
        <w:t>, 1×MYC-tagged wild type AKT1 expression plasmid; 3×Flag-ATG4B</w:t>
      </w:r>
      <w:r w:rsidRPr="00CF664B">
        <w:rPr>
          <w:szCs w:val="21"/>
          <w:vertAlign w:val="superscript"/>
        </w:rPr>
        <w:t>WT</w:t>
      </w:r>
      <w:r w:rsidRPr="00CF664B">
        <w:rPr>
          <w:szCs w:val="21"/>
        </w:rPr>
        <w:t>, 3×Flag-tagged wild type ATG4B expression plasmid; 3×Flag-ATG4B</w:t>
      </w:r>
      <w:r w:rsidRPr="00CF664B">
        <w:rPr>
          <w:szCs w:val="21"/>
          <w:vertAlign w:val="superscript"/>
        </w:rPr>
        <w:t>S34A</w:t>
      </w:r>
      <w:r w:rsidRPr="00CF664B">
        <w:rPr>
          <w:szCs w:val="21"/>
        </w:rPr>
        <w:t xml:space="preserve">, 3×Flag-tagged mutant ATG4B expression plasmid (in which Ser34 of ATG4B was mutated to </w:t>
      </w:r>
      <w:proofErr w:type="spellStart"/>
      <w:r w:rsidRPr="00CF664B">
        <w:rPr>
          <w:szCs w:val="21"/>
        </w:rPr>
        <w:t>Ala</w:t>
      </w:r>
      <w:proofErr w:type="spellEnd"/>
      <w:r w:rsidRPr="00CF664B">
        <w:rPr>
          <w:szCs w:val="21"/>
        </w:rPr>
        <w:t xml:space="preserve">); WCL, whole cell lysate; p-ATG4B (S34), Ser34-phosphorylated ATG4B; p-AKT (S473), Ser473-phosphorylated AKT; </w:t>
      </w:r>
      <w:r w:rsidR="00905EAC" w:rsidRPr="00905EAC">
        <w:rPr>
          <w:rFonts w:hint="eastAsia"/>
          <w:szCs w:val="21"/>
        </w:rPr>
        <w:t>ATG4B</w:t>
      </w:r>
      <w:r w:rsidR="00905EAC" w:rsidRPr="00905EAC">
        <w:rPr>
          <w:rFonts w:hint="eastAsia"/>
          <w:szCs w:val="21"/>
          <w:vertAlign w:val="superscript"/>
        </w:rPr>
        <w:t>WT</w:t>
      </w:r>
      <w:r w:rsidR="00905EAC" w:rsidRPr="00905EAC">
        <w:rPr>
          <w:rFonts w:hint="eastAsia"/>
          <w:szCs w:val="21"/>
        </w:rPr>
        <w:t>, 1</w:t>
      </w:r>
      <w:r w:rsidR="00905EAC" w:rsidRPr="00CF664B">
        <w:rPr>
          <w:szCs w:val="21"/>
        </w:rPr>
        <w:t>×</w:t>
      </w:r>
      <w:r w:rsidR="00905EAC" w:rsidRPr="00905EAC">
        <w:rPr>
          <w:rFonts w:hint="eastAsia"/>
          <w:szCs w:val="21"/>
        </w:rPr>
        <w:t>Flag-tagged wild type ATG4B expression plasmid; ATG4B</w:t>
      </w:r>
      <w:r w:rsidR="00905EAC" w:rsidRPr="00905EAC">
        <w:rPr>
          <w:rFonts w:hint="eastAsia"/>
          <w:szCs w:val="21"/>
          <w:vertAlign w:val="superscript"/>
        </w:rPr>
        <w:t>S34A</w:t>
      </w:r>
      <w:r w:rsidR="00905EAC" w:rsidRPr="00905EAC">
        <w:rPr>
          <w:rFonts w:hint="eastAsia"/>
          <w:szCs w:val="21"/>
        </w:rPr>
        <w:t>, 1</w:t>
      </w:r>
      <w:r w:rsidR="00905EAC" w:rsidRPr="00CF664B">
        <w:rPr>
          <w:szCs w:val="21"/>
        </w:rPr>
        <w:t>×</w:t>
      </w:r>
      <w:r w:rsidR="00905EAC" w:rsidRPr="00905EAC">
        <w:rPr>
          <w:rFonts w:hint="eastAsia"/>
          <w:szCs w:val="21"/>
        </w:rPr>
        <w:t xml:space="preserve">Flag-tagged mutant ATG4B expression plasmid (in which </w:t>
      </w:r>
      <w:proofErr w:type="spellStart"/>
      <w:r w:rsidR="00905EAC" w:rsidRPr="00905EAC">
        <w:rPr>
          <w:rFonts w:hint="eastAsia"/>
          <w:szCs w:val="21"/>
        </w:rPr>
        <w:t>Ser</w:t>
      </w:r>
      <w:proofErr w:type="spellEnd"/>
      <w:r w:rsidR="00905EAC" w:rsidRPr="00905EAC">
        <w:rPr>
          <w:rFonts w:hint="eastAsia"/>
          <w:szCs w:val="21"/>
        </w:rPr>
        <w:t xml:space="preserve"> 34 of ATG4B was mutated to </w:t>
      </w:r>
      <w:proofErr w:type="spellStart"/>
      <w:r w:rsidR="00905EAC" w:rsidRPr="00905EAC">
        <w:rPr>
          <w:rFonts w:hint="eastAsia"/>
          <w:szCs w:val="21"/>
        </w:rPr>
        <w:t>Ala</w:t>
      </w:r>
      <w:proofErr w:type="spellEnd"/>
      <w:r w:rsidR="00905EAC" w:rsidRPr="00905EAC">
        <w:rPr>
          <w:rFonts w:hint="eastAsia"/>
          <w:szCs w:val="21"/>
        </w:rPr>
        <w:t>); ATG4A</w:t>
      </w:r>
      <w:r w:rsidR="00905EAC" w:rsidRPr="00905EAC">
        <w:rPr>
          <w:rFonts w:hint="eastAsia"/>
          <w:szCs w:val="21"/>
          <w:vertAlign w:val="superscript"/>
        </w:rPr>
        <w:t>WT</w:t>
      </w:r>
      <w:r w:rsidR="00905EAC" w:rsidRPr="00905EAC">
        <w:rPr>
          <w:rFonts w:hint="eastAsia"/>
          <w:szCs w:val="21"/>
        </w:rPr>
        <w:t>, 1</w:t>
      </w:r>
      <w:r w:rsidR="00905EAC" w:rsidRPr="00CF664B">
        <w:rPr>
          <w:szCs w:val="21"/>
        </w:rPr>
        <w:t>×</w:t>
      </w:r>
      <w:r w:rsidR="00905EAC" w:rsidRPr="00905EAC">
        <w:rPr>
          <w:rFonts w:hint="eastAsia"/>
          <w:szCs w:val="21"/>
        </w:rPr>
        <w:t>Flag-tagged wild type ATG4A expression plasmid.</w:t>
      </w:r>
    </w:p>
    <w:p w:rsidR="001E1F70" w:rsidRPr="00D149A6" w:rsidRDefault="001E1F70">
      <w:pPr>
        <w:spacing w:before="44" w:line="360" w:lineRule="auto"/>
        <w:rPr>
          <w:szCs w:val="21"/>
        </w:rPr>
      </w:pPr>
    </w:p>
    <w:p w:rsidR="001E1F70" w:rsidRPr="00D149A6" w:rsidRDefault="00CF664B">
      <w:pPr>
        <w:spacing w:before="44" w:line="360" w:lineRule="auto"/>
        <w:rPr>
          <w:szCs w:val="21"/>
        </w:rPr>
      </w:pPr>
      <w:r w:rsidRPr="00CF664B">
        <w:rPr>
          <w:b/>
          <w:bCs/>
          <w:szCs w:val="21"/>
        </w:rPr>
        <w:t xml:space="preserve">Figure S3. </w:t>
      </w:r>
      <w:r w:rsidRPr="00CF664B">
        <w:rPr>
          <w:bCs/>
          <w:szCs w:val="21"/>
        </w:rPr>
        <w:t>ATG4A is not phosphorylated by AKT.</w:t>
      </w:r>
      <w:r w:rsidRPr="00CF664B">
        <w:rPr>
          <w:szCs w:val="21"/>
        </w:rPr>
        <w:t xml:space="preserve"> (</w:t>
      </w:r>
      <w:r w:rsidRPr="00CF664B">
        <w:rPr>
          <w:b/>
          <w:szCs w:val="21"/>
        </w:rPr>
        <w:t>A</w:t>
      </w:r>
      <w:r w:rsidRPr="00CF664B">
        <w:rPr>
          <w:szCs w:val="21"/>
        </w:rPr>
        <w:t>) Prediction of the potential phosphorylation sites in human ATG4A and the corresponding upstream kinases using the online website (http://scansite.mit.edu/motifscan_seq.phtml). (</w:t>
      </w:r>
      <w:r w:rsidRPr="00CF664B">
        <w:rPr>
          <w:b/>
          <w:szCs w:val="21"/>
        </w:rPr>
        <w:t>B</w:t>
      </w:r>
      <w:r w:rsidRPr="00CF664B">
        <w:rPr>
          <w:szCs w:val="21"/>
        </w:rPr>
        <w:t xml:space="preserve">) HepG2 cells were transfected with the control </w:t>
      </w:r>
      <w:proofErr w:type="spellStart"/>
      <w:r w:rsidRPr="00CF664B">
        <w:rPr>
          <w:szCs w:val="21"/>
        </w:rPr>
        <w:t>siRNA</w:t>
      </w:r>
      <w:proofErr w:type="spellEnd"/>
      <w:r w:rsidRPr="00CF664B">
        <w:rPr>
          <w:szCs w:val="21"/>
        </w:rPr>
        <w:t xml:space="preserve"> or </w:t>
      </w:r>
      <w:r w:rsidRPr="00CF664B">
        <w:rPr>
          <w:i/>
          <w:szCs w:val="21"/>
        </w:rPr>
        <w:t>PTEN</w:t>
      </w:r>
      <w:r w:rsidRPr="00CF664B">
        <w:rPr>
          <w:szCs w:val="21"/>
        </w:rPr>
        <w:t xml:space="preserve"> </w:t>
      </w:r>
      <w:proofErr w:type="spellStart"/>
      <w:r w:rsidRPr="00CF664B">
        <w:rPr>
          <w:szCs w:val="21"/>
        </w:rPr>
        <w:t>siRNA</w:t>
      </w:r>
      <w:proofErr w:type="spellEnd"/>
      <w:r w:rsidRPr="00CF664B">
        <w:rPr>
          <w:szCs w:val="21"/>
        </w:rPr>
        <w:t xml:space="preserve">. Then the cell lysates were loaded onto an SDS-PAGE gel with or without </w:t>
      </w:r>
      <w:proofErr w:type="spellStart"/>
      <w:r w:rsidRPr="00CF664B">
        <w:rPr>
          <w:szCs w:val="21"/>
        </w:rPr>
        <w:t>Phos</w:t>
      </w:r>
      <w:proofErr w:type="spellEnd"/>
      <w:r w:rsidRPr="00CF664B">
        <w:rPr>
          <w:szCs w:val="21"/>
        </w:rPr>
        <w:t>-tag acrylamide and MnCl</w:t>
      </w:r>
      <w:r w:rsidRPr="00CF664B">
        <w:rPr>
          <w:szCs w:val="21"/>
          <w:vertAlign w:val="subscript"/>
        </w:rPr>
        <w:t>2</w:t>
      </w:r>
      <w:r w:rsidRPr="00CF664B">
        <w:rPr>
          <w:szCs w:val="21"/>
        </w:rPr>
        <w:t xml:space="preserve"> for </w:t>
      </w:r>
      <w:proofErr w:type="spellStart"/>
      <w:r w:rsidRPr="00CF664B">
        <w:rPr>
          <w:szCs w:val="21"/>
        </w:rPr>
        <w:t>immunoblotting</w:t>
      </w:r>
      <w:proofErr w:type="spellEnd"/>
      <w:r w:rsidRPr="00CF664B">
        <w:rPr>
          <w:szCs w:val="21"/>
        </w:rPr>
        <w:t xml:space="preserve"> assays. </w:t>
      </w:r>
      <w:proofErr w:type="gramStart"/>
      <w:r w:rsidRPr="00CF664B">
        <w:rPr>
          <w:szCs w:val="21"/>
        </w:rPr>
        <w:t>p-ATG4A</w:t>
      </w:r>
      <w:proofErr w:type="gramEnd"/>
      <w:r w:rsidRPr="00CF664B">
        <w:rPr>
          <w:szCs w:val="21"/>
        </w:rPr>
        <w:t xml:space="preserve">, phosphorylated ATG4A; non-p-ATG4A, </w:t>
      </w:r>
      <w:proofErr w:type="spellStart"/>
      <w:r w:rsidRPr="00CF664B">
        <w:rPr>
          <w:szCs w:val="21"/>
        </w:rPr>
        <w:t>non phosphorylated</w:t>
      </w:r>
      <w:proofErr w:type="spellEnd"/>
      <w:r w:rsidRPr="00CF664B">
        <w:rPr>
          <w:szCs w:val="21"/>
        </w:rPr>
        <w:t xml:space="preserve"> ATG4A; </w:t>
      </w:r>
      <w:proofErr w:type="spellStart"/>
      <w:r w:rsidRPr="00CF664B">
        <w:rPr>
          <w:szCs w:val="21"/>
        </w:rPr>
        <w:t>phos</w:t>
      </w:r>
      <w:proofErr w:type="spellEnd"/>
      <w:r w:rsidRPr="00CF664B">
        <w:rPr>
          <w:szCs w:val="21"/>
        </w:rPr>
        <w:t xml:space="preserve">, SDS-PAGE gel containing </w:t>
      </w:r>
      <w:proofErr w:type="spellStart"/>
      <w:r w:rsidRPr="00CF664B">
        <w:rPr>
          <w:szCs w:val="21"/>
        </w:rPr>
        <w:t>Phos</w:t>
      </w:r>
      <w:proofErr w:type="spellEnd"/>
      <w:r w:rsidRPr="00CF664B">
        <w:rPr>
          <w:szCs w:val="21"/>
        </w:rPr>
        <w:t>-tag acrylamide and MnCl</w:t>
      </w:r>
      <w:r w:rsidRPr="00CF664B">
        <w:rPr>
          <w:szCs w:val="21"/>
          <w:vertAlign w:val="subscript"/>
        </w:rPr>
        <w:t>2</w:t>
      </w:r>
      <w:r w:rsidRPr="00CF664B">
        <w:rPr>
          <w:szCs w:val="21"/>
        </w:rPr>
        <w:t xml:space="preserve">. </w:t>
      </w:r>
    </w:p>
    <w:p w:rsidR="00615768" w:rsidRPr="00D149A6" w:rsidRDefault="00615768" w:rsidP="00810B15">
      <w:pPr>
        <w:spacing w:line="360" w:lineRule="auto"/>
        <w:rPr>
          <w:b/>
          <w:bCs/>
          <w:szCs w:val="21"/>
        </w:rPr>
      </w:pPr>
    </w:p>
    <w:p w:rsidR="00A461F6" w:rsidRPr="00D149A6" w:rsidRDefault="00CF664B" w:rsidP="00EA1E80">
      <w:pPr>
        <w:spacing w:line="360" w:lineRule="auto"/>
        <w:rPr>
          <w:szCs w:val="21"/>
        </w:rPr>
      </w:pPr>
      <w:r w:rsidRPr="00CF664B">
        <w:rPr>
          <w:b/>
          <w:bCs/>
          <w:szCs w:val="21"/>
        </w:rPr>
        <w:t xml:space="preserve">Figure S4. </w:t>
      </w:r>
      <w:r w:rsidRPr="00CF664B">
        <w:rPr>
          <w:bCs/>
          <w:szCs w:val="21"/>
        </w:rPr>
        <w:t>There is no difference between the effects of ATG4B</w:t>
      </w:r>
      <w:r w:rsidRPr="00CF664B">
        <w:rPr>
          <w:bCs/>
          <w:szCs w:val="21"/>
          <w:vertAlign w:val="superscript"/>
        </w:rPr>
        <w:t>WT</w:t>
      </w:r>
      <w:r w:rsidRPr="00CF664B">
        <w:rPr>
          <w:bCs/>
          <w:szCs w:val="21"/>
        </w:rPr>
        <w:t xml:space="preserve"> and ATG4B</w:t>
      </w:r>
      <w:r w:rsidRPr="00CF664B">
        <w:rPr>
          <w:bCs/>
          <w:szCs w:val="21"/>
          <w:vertAlign w:val="superscript"/>
        </w:rPr>
        <w:t>S34A</w:t>
      </w:r>
      <w:r w:rsidRPr="00CF664B">
        <w:rPr>
          <w:bCs/>
          <w:szCs w:val="21"/>
        </w:rPr>
        <w:t xml:space="preserve"> on autophagy in HCC cells.</w:t>
      </w:r>
      <w:r w:rsidRPr="00CF664B">
        <w:rPr>
          <w:b/>
          <w:bCs/>
          <w:szCs w:val="21"/>
        </w:rPr>
        <w:t xml:space="preserve"> </w:t>
      </w:r>
      <w:r w:rsidRPr="00CF664B">
        <w:rPr>
          <w:szCs w:val="21"/>
        </w:rPr>
        <w:t>(</w:t>
      </w:r>
      <w:r w:rsidRPr="00CF664B">
        <w:rPr>
          <w:b/>
          <w:szCs w:val="21"/>
        </w:rPr>
        <w:t>A</w:t>
      </w:r>
      <w:r w:rsidRPr="00CF664B">
        <w:rPr>
          <w:szCs w:val="21"/>
        </w:rPr>
        <w:t xml:space="preserve">) </w:t>
      </w:r>
      <w:r w:rsidRPr="00CF664B">
        <w:rPr>
          <w:i/>
          <w:szCs w:val="21"/>
        </w:rPr>
        <w:t>ATG4B</w:t>
      </w:r>
      <w:r w:rsidRPr="00CF664B">
        <w:rPr>
          <w:i/>
          <w:szCs w:val="21"/>
          <w:vertAlign w:val="superscript"/>
        </w:rPr>
        <w:t>CRISPR</w:t>
      </w:r>
      <w:r w:rsidRPr="00CF664B">
        <w:rPr>
          <w:szCs w:val="21"/>
        </w:rPr>
        <w:t xml:space="preserve"> HepG2 cells were transfected with the indicated expression plasmids, taking empty vector (EV) as a control. Then the cell lysates were subjected to </w:t>
      </w:r>
      <w:proofErr w:type="spellStart"/>
      <w:r w:rsidRPr="00CF664B">
        <w:rPr>
          <w:szCs w:val="21"/>
        </w:rPr>
        <w:t>immunoblotting</w:t>
      </w:r>
      <w:proofErr w:type="spellEnd"/>
      <w:r w:rsidRPr="00CF664B">
        <w:rPr>
          <w:szCs w:val="21"/>
        </w:rPr>
        <w:t xml:space="preserve"> assays. The corresponding ratios of LC3-II to ACTB are listed below. (</w:t>
      </w:r>
      <w:r w:rsidRPr="00CF664B">
        <w:rPr>
          <w:b/>
          <w:szCs w:val="21"/>
        </w:rPr>
        <w:t>B</w:t>
      </w:r>
      <w:r w:rsidRPr="00CF664B">
        <w:rPr>
          <w:szCs w:val="21"/>
        </w:rPr>
        <w:t>) HepG2 cells stably expressing GFP-LC3 were transfected as in (</w:t>
      </w:r>
      <w:r w:rsidRPr="00CF664B">
        <w:rPr>
          <w:b/>
          <w:szCs w:val="21"/>
        </w:rPr>
        <w:t>A</w:t>
      </w:r>
      <w:r w:rsidRPr="00CF664B">
        <w:rPr>
          <w:szCs w:val="21"/>
        </w:rPr>
        <w:t xml:space="preserve">). Then the cells were labeled with the indicated antibody using an immunofluorescence assay and observed under a fluorescence microscope, and the GFP-LC3 </w:t>
      </w:r>
      <w:proofErr w:type="spellStart"/>
      <w:r w:rsidRPr="00CF664B">
        <w:rPr>
          <w:szCs w:val="21"/>
        </w:rPr>
        <w:t>puncta</w:t>
      </w:r>
      <w:proofErr w:type="spellEnd"/>
      <w:r w:rsidRPr="00CF664B">
        <w:rPr>
          <w:szCs w:val="21"/>
        </w:rPr>
        <w:t xml:space="preserve"> in the cells were counted. Representative images are shown (bar: </w:t>
      </w:r>
      <w:r w:rsidRPr="00CF664B">
        <w:rPr>
          <w:color w:val="000000" w:themeColor="text1"/>
          <w:kern w:val="0"/>
          <w:szCs w:val="21"/>
        </w:rPr>
        <w:t xml:space="preserve">10 </w:t>
      </w:r>
      <w:proofErr w:type="spellStart"/>
      <w:r w:rsidRPr="00CF664B">
        <w:rPr>
          <w:color w:val="000000" w:themeColor="text1"/>
          <w:kern w:val="0"/>
          <w:szCs w:val="21"/>
        </w:rPr>
        <w:t>μm</w:t>
      </w:r>
      <w:proofErr w:type="spellEnd"/>
      <w:r w:rsidRPr="00CF664B">
        <w:rPr>
          <w:color w:val="000000" w:themeColor="text1"/>
          <w:szCs w:val="21"/>
        </w:rPr>
        <w:t>)</w:t>
      </w:r>
      <w:r w:rsidRPr="00CF664B">
        <w:rPr>
          <w:szCs w:val="21"/>
        </w:rPr>
        <w:t xml:space="preserve">. The statistical diagram represents the average number of GFP-LC3 </w:t>
      </w:r>
      <w:proofErr w:type="spellStart"/>
      <w:r w:rsidRPr="00CF664B">
        <w:rPr>
          <w:szCs w:val="21"/>
        </w:rPr>
        <w:t>puncta</w:t>
      </w:r>
      <w:proofErr w:type="spellEnd"/>
      <w:r w:rsidRPr="00CF664B">
        <w:rPr>
          <w:szCs w:val="21"/>
        </w:rPr>
        <w:t xml:space="preserve"> per cell (50 cells per sample were observed). Data are mean</w:t>
      </w:r>
      <w:r w:rsidRPr="00CF664B">
        <w:rPr>
          <w:rFonts w:hint="eastAsia"/>
          <w:szCs w:val="21"/>
        </w:rPr>
        <w:t>±</w:t>
      </w:r>
      <w:r w:rsidRPr="00CF664B">
        <w:rPr>
          <w:szCs w:val="21"/>
        </w:rPr>
        <w:t xml:space="preserve">SD from 3 independent experiments. </w:t>
      </w:r>
      <w:proofErr w:type="gramStart"/>
      <w:r w:rsidRPr="00CF664B">
        <w:rPr>
          <w:szCs w:val="21"/>
        </w:rPr>
        <w:t xml:space="preserve">**, </w:t>
      </w:r>
      <w:r w:rsidRPr="00CF664B">
        <w:rPr>
          <w:i/>
          <w:szCs w:val="21"/>
        </w:rPr>
        <w:t xml:space="preserve">P </w:t>
      </w:r>
      <w:r w:rsidRPr="00CF664B">
        <w:rPr>
          <w:szCs w:val="21"/>
        </w:rPr>
        <w:t>&lt; 0.01; ns, no significance</w:t>
      </w:r>
      <w:r w:rsidRPr="00CF664B">
        <w:rPr>
          <w:color w:val="000000" w:themeColor="text1"/>
          <w:szCs w:val="21"/>
        </w:rPr>
        <w:t>.</w:t>
      </w:r>
      <w:proofErr w:type="gramEnd"/>
      <w:r w:rsidRPr="00CF664B">
        <w:rPr>
          <w:color w:val="000000" w:themeColor="text1"/>
          <w:szCs w:val="21"/>
        </w:rPr>
        <w:t xml:space="preserve"> </w:t>
      </w:r>
      <w:r w:rsidRPr="00CF664B">
        <w:rPr>
          <w:szCs w:val="21"/>
        </w:rPr>
        <w:t>ATG4B</w:t>
      </w:r>
      <w:r w:rsidRPr="00CF664B">
        <w:rPr>
          <w:szCs w:val="21"/>
          <w:vertAlign w:val="superscript"/>
        </w:rPr>
        <w:t>WT</w:t>
      </w:r>
      <w:r w:rsidRPr="00CF664B">
        <w:rPr>
          <w:szCs w:val="21"/>
        </w:rPr>
        <w:t xml:space="preserve"> and ATG4B</w:t>
      </w:r>
      <w:r w:rsidRPr="00CF664B">
        <w:rPr>
          <w:szCs w:val="21"/>
          <w:vertAlign w:val="superscript"/>
        </w:rPr>
        <w:t>S34A</w:t>
      </w:r>
      <w:r w:rsidRPr="00CF664B">
        <w:rPr>
          <w:szCs w:val="21"/>
        </w:rPr>
        <w:t xml:space="preserve"> were the corresponding</w:t>
      </w:r>
      <w:r w:rsidRPr="00CF664B">
        <w:rPr>
          <w:color w:val="000000" w:themeColor="text1"/>
          <w:szCs w:val="21"/>
        </w:rPr>
        <w:t xml:space="preserve"> expression plasmids as described </w:t>
      </w:r>
      <w:r w:rsidRPr="00CF664B">
        <w:rPr>
          <w:szCs w:val="21"/>
        </w:rPr>
        <w:t xml:space="preserve">in </w:t>
      </w:r>
      <w:r w:rsidRPr="00CF664B">
        <w:rPr>
          <w:b/>
          <w:szCs w:val="21"/>
        </w:rPr>
        <w:t>Figure S2</w:t>
      </w:r>
      <w:r w:rsidRPr="00CF664B">
        <w:rPr>
          <w:szCs w:val="21"/>
        </w:rPr>
        <w:t>.</w:t>
      </w:r>
    </w:p>
    <w:p w:rsidR="00D0503F" w:rsidRPr="00D149A6" w:rsidRDefault="00D0503F" w:rsidP="00810B15">
      <w:pPr>
        <w:spacing w:line="360" w:lineRule="auto"/>
        <w:rPr>
          <w:b/>
          <w:bCs/>
          <w:szCs w:val="21"/>
        </w:rPr>
      </w:pPr>
    </w:p>
    <w:p w:rsidR="00A94BCE" w:rsidRPr="00D149A6" w:rsidRDefault="00CF664B" w:rsidP="005D15FE">
      <w:pPr>
        <w:spacing w:line="360" w:lineRule="auto"/>
        <w:rPr>
          <w:color w:val="000000" w:themeColor="text1"/>
          <w:szCs w:val="21"/>
        </w:rPr>
      </w:pPr>
      <w:r w:rsidRPr="00CF664B">
        <w:rPr>
          <w:b/>
          <w:bCs/>
          <w:szCs w:val="21"/>
        </w:rPr>
        <w:t>Figure S5.</w:t>
      </w:r>
      <w:r w:rsidRPr="00CF664B">
        <w:rPr>
          <w:bCs/>
          <w:szCs w:val="21"/>
        </w:rPr>
        <w:t xml:space="preserve"> Activation of AKT contributes to the ATG4B-enhanced Warburg effect in HCC cells.</w:t>
      </w:r>
      <w:r w:rsidRPr="00CF664B">
        <w:rPr>
          <w:b/>
          <w:bCs/>
          <w:szCs w:val="21"/>
        </w:rPr>
        <w:t xml:space="preserve"> </w:t>
      </w:r>
      <w:r w:rsidRPr="00CF664B">
        <w:rPr>
          <w:szCs w:val="21"/>
        </w:rPr>
        <w:t>(</w:t>
      </w:r>
      <w:r w:rsidRPr="00CF664B">
        <w:rPr>
          <w:b/>
          <w:szCs w:val="21"/>
        </w:rPr>
        <w:t>A and B</w:t>
      </w:r>
      <w:r w:rsidRPr="00CF664B">
        <w:rPr>
          <w:szCs w:val="21"/>
        </w:rPr>
        <w:t xml:space="preserve">) </w:t>
      </w:r>
      <w:r w:rsidRPr="00CF664B">
        <w:rPr>
          <w:i/>
          <w:szCs w:val="21"/>
        </w:rPr>
        <w:t>ATG4B</w:t>
      </w:r>
      <w:r w:rsidRPr="00CF664B">
        <w:rPr>
          <w:i/>
          <w:szCs w:val="21"/>
          <w:vertAlign w:val="superscript"/>
        </w:rPr>
        <w:t>CRISPR</w:t>
      </w:r>
      <w:r w:rsidRPr="00CF664B">
        <w:rPr>
          <w:szCs w:val="21"/>
        </w:rPr>
        <w:t xml:space="preserve"> HepG2 cells were </w:t>
      </w:r>
      <w:proofErr w:type="spellStart"/>
      <w:r w:rsidRPr="00CF664B">
        <w:rPr>
          <w:szCs w:val="21"/>
        </w:rPr>
        <w:t>cotransfected</w:t>
      </w:r>
      <w:proofErr w:type="spellEnd"/>
      <w:r w:rsidRPr="00CF664B">
        <w:rPr>
          <w:szCs w:val="21"/>
        </w:rPr>
        <w:t xml:space="preserve"> with the indicated expression plasmids.</w:t>
      </w:r>
      <w:r w:rsidRPr="00CF664B">
        <w:rPr>
          <w:szCs w:val="21"/>
          <w:vertAlign w:val="superscript"/>
        </w:rPr>
        <w:t xml:space="preserve"> </w:t>
      </w:r>
      <w:r w:rsidRPr="00CF664B">
        <w:rPr>
          <w:szCs w:val="21"/>
        </w:rPr>
        <w:t>Then the color of the culture media was observed (</w:t>
      </w:r>
      <w:r w:rsidRPr="00CF664B">
        <w:rPr>
          <w:b/>
          <w:szCs w:val="21"/>
        </w:rPr>
        <w:t>A</w:t>
      </w:r>
      <w:r w:rsidRPr="00CF664B">
        <w:rPr>
          <w:szCs w:val="21"/>
        </w:rPr>
        <w:t>), and the concentrations of L-lactate in the culture media were measured (</w:t>
      </w:r>
      <w:r w:rsidRPr="00CF664B">
        <w:rPr>
          <w:b/>
          <w:szCs w:val="21"/>
        </w:rPr>
        <w:t>B</w:t>
      </w:r>
      <w:r w:rsidRPr="00CF664B">
        <w:rPr>
          <w:szCs w:val="21"/>
        </w:rPr>
        <w:t>). (</w:t>
      </w:r>
      <w:r w:rsidRPr="00CF664B">
        <w:rPr>
          <w:b/>
          <w:szCs w:val="21"/>
        </w:rPr>
        <w:t>C</w:t>
      </w:r>
      <w:r w:rsidRPr="00CF664B">
        <w:rPr>
          <w:szCs w:val="21"/>
        </w:rPr>
        <w:t xml:space="preserve">) </w:t>
      </w:r>
      <w:r w:rsidRPr="00CF664B">
        <w:rPr>
          <w:i/>
          <w:szCs w:val="21"/>
        </w:rPr>
        <w:t>ATG4B</w:t>
      </w:r>
      <w:r w:rsidRPr="00CF664B">
        <w:rPr>
          <w:i/>
          <w:szCs w:val="21"/>
          <w:vertAlign w:val="superscript"/>
        </w:rPr>
        <w:t>CRISPR</w:t>
      </w:r>
      <w:r w:rsidRPr="00CF664B">
        <w:rPr>
          <w:szCs w:val="21"/>
        </w:rPr>
        <w:t xml:space="preserve"> HepG2 cells were </w:t>
      </w:r>
      <w:proofErr w:type="spellStart"/>
      <w:r w:rsidRPr="00CF664B">
        <w:rPr>
          <w:szCs w:val="21"/>
        </w:rPr>
        <w:t>cotransfected</w:t>
      </w:r>
      <w:proofErr w:type="spellEnd"/>
      <w:r w:rsidRPr="00CF664B">
        <w:rPr>
          <w:szCs w:val="21"/>
        </w:rPr>
        <w:t xml:space="preserve"> as in (</w:t>
      </w:r>
      <w:r w:rsidRPr="00CF664B">
        <w:rPr>
          <w:b/>
          <w:szCs w:val="21"/>
        </w:rPr>
        <w:t>B</w:t>
      </w:r>
      <w:r w:rsidRPr="00CF664B">
        <w:rPr>
          <w:szCs w:val="21"/>
        </w:rPr>
        <w:t>). Then the concentrations of glucose in the culture media at different time points were detected separately. The time at 6 h after plasmid transfection was considered as the “0 h” time in the diagram. (</w:t>
      </w:r>
      <w:r w:rsidRPr="00CF664B">
        <w:rPr>
          <w:b/>
          <w:szCs w:val="21"/>
        </w:rPr>
        <w:t>D</w:t>
      </w:r>
      <w:r w:rsidRPr="00CF664B">
        <w:rPr>
          <w:szCs w:val="21"/>
        </w:rPr>
        <w:t xml:space="preserve">) </w:t>
      </w:r>
      <w:r w:rsidRPr="00CF664B">
        <w:rPr>
          <w:i/>
          <w:szCs w:val="21"/>
        </w:rPr>
        <w:t>ATG4B</w:t>
      </w:r>
      <w:r w:rsidRPr="00CF664B">
        <w:rPr>
          <w:i/>
          <w:szCs w:val="21"/>
          <w:vertAlign w:val="superscript"/>
        </w:rPr>
        <w:t>CRISPR</w:t>
      </w:r>
      <w:r w:rsidRPr="00CF664B">
        <w:rPr>
          <w:szCs w:val="21"/>
        </w:rPr>
        <w:t xml:space="preserve"> HepG2 cells were seeded into 24-well </w:t>
      </w:r>
      <w:proofErr w:type="spellStart"/>
      <w:r w:rsidRPr="00CF664B">
        <w:rPr>
          <w:szCs w:val="21"/>
        </w:rPr>
        <w:t>microplates</w:t>
      </w:r>
      <w:proofErr w:type="spellEnd"/>
      <w:r w:rsidRPr="00CF664B">
        <w:rPr>
          <w:szCs w:val="21"/>
        </w:rPr>
        <w:t xml:space="preserve"> and treated as in (</w:t>
      </w:r>
      <w:r w:rsidRPr="00CF664B">
        <w:rPr>
          <w:b/>
          <w:szCs w:val="21"/>
        </w:rPr>
        <w:t>B</w:t>
      </w:r>
      <w:r w:rsidRPr="00CF664B">
        <w:rPr>
          <w:szCs w:val="21"/>
        </w:rPr>
        <w:t xml:space="preserve">). Then the </w:t>
      </w:r>
      <w:proofErr w:type="spellStart"/>
      <w:r w:rsidRPr="00CF664B">
        <w:rPr>
          <w:szCs w:val="21"/>
        </w:rPr>
        <w:t>oligomycin</w:t>
      </w:r>
      <w:proofErr w:type="spellEnd"/>
      <w:r w:rsidRPr="00CF664B">
        <w:rPr>
          <w:szCs w:val="21"/>
        </w:rPr>
        <w:t>-sensitive respiration (OSR) was examined. Data are mean</w:t>
      </w:r>
      <w:r w:rsidRPr="00CF664B">
        <w:rPr>
          <w:rFonts w:hint="eastAsia"/>
          <w:szCs w:val="21"/>
        </w:rPr>
        <w:t>±</w:t>
      </w:r>
      <w:r w:rsidRPr="00CF664B">
        <w:rPr>
          <w:szCs w:val="21"/>
        </w:rPr>
        <w:t xml:space="preserve">SD from 3 </w:t>
      </w:r>
      <w:r w:rsidRPr="00CF664B">
        <w:rPr>
          <w:szCs w:val="21"/>
        </w:rPr>
        <w:lastRenderedPageBreak/>
        <w:t xml:space="preserve">independent experiments. </w:t>
      </w:r>
      <w:proofErr w:type="gramStart"/>
      <w:r w:rsidRPr="00CF664B">
        <w:rPr>
          <w:szCs w:val="21"/>
        </w:rPr>
        <w:t>ns</w:t>
      </w:r>
      <w:proofErr w:type="gramEnd"/>
      <w:r w:rsidRPr="00CF664B">
        <w:rPr>
          <w:szCs w:val="21"/>
        </w:rPr>
        <w:t>, no significance. AKT1</w:t>
      </w:r>
      <w:r w:rsidRPr="00CF664B">
        <w:rPr>
          <w:szCs w:val="21"/>
          <w:vertAlign w:val="superscript"/>
        </w:rPr>
        <w:t>WT</w:t>
      </w:r>
      <w:r w:rsidRPr="00CF664B">
        <w:rPr>
          <w:szCs w:val="21"/>
        </w:rPr>
        <w:t xml:space="preserve">, 1×MYC-tagged wild-type AKT1 expression plasmid; </w:t>
      </w:r>
      <w:r w:rsidRPr="00CF664B">
        <w:rPr>
          <w:kern w:val="0"/>
          <w:szCs w:val="21"/>
        </w:rPr>
        <w:t>AKT1</w:t>
      </w:r>
      <w:r w:rsidRPr="00CF664B">
        <w:rPr>
          <w:kern w:val="0"/>
          <w:szCs w:val="21"/>
          <w:vertAlign w:val="superscript"/>
        </w:rPr>
        <w:t>AA</w:t>
      </w:r>
      <w:r w:rsidRPr="00CF664B">
        <w:rPr>
          <w:kern w:val="0"/>
          <w:szCs w:val="21"/>
        </w:rPr>
        <w:t xml:space="preserve">, 1×MYC-tagged mutant AKT1 expression plasmid (in which both Thr308 and Ser473 were mutated to </w:t>
      </w:r>
      <w:proofErr w:type="spellStart"/>
      <w:r w:rsidRPr="00CF664B">
        <w:rPr>
          <w:kern w:val="0"/>
          <w:szCs w:val="21"/>
        </w:rPr>
        <w:t>Ala</w:t>
      </w:r>
      <w:proofErr w:type="spellEnd"/>
      <w:r w:rsidRPr="00CF664B">
        <w:rPr>
          <w:kern w:val="0"/>
          <w:szCs w:val="21"/>
        </w:rPr>
        <w:t xml:space="preserve">); </w:t>
      </w:r>
      <w:r w:rsidRPr="00CF664B">
        <w:rPr>
          <w:szCs w:val="21"/>
        </w:rPr>
        <w:t>ATG4B</w:t>
      </w:r>
      <w:r w:rsidRPr="00CF664B">
        <w:rPr>
          <w:szCs w:val="21"/>
          <w:vertAlign w:val="superscript"/>
        </w:rPr>
        <w:t>WT</w:t>
      </w:r>
      <w:r w:rsidRPr="00CF664B">
        <w:rPr>
          <w:szCs w:val="21"/>
        </w:rPr>
        <w:t xml:space="preserve"> and ATG4B</w:t>
      </w:r>
      <w:r w:rsidRPr="00CF664B">
        <w:rPr>
          <w:szCs w:val="21"/>
          <w:vertAlign w:val="superscript"/>
        </w:rPr>
        <w:t xml:space="preserve">S34A </w:t>
      </w:r>
      <w:r w:rsidRPr="00CF664B">
        <w:rPr>
          <w:szCs w:val="21"/>
        </w:rPr>
        <w:t>were the corresponding</w:t>
      </w:r>
      <w:r w:rsidRPr="00CF664B">
        <w:rPr>
          <w:color w:val="000000" w:themeColor="text1"/>
          <w:szCs w:val="21"/>
        </w:rPr>
        <w:t xml:space="preserve"> expression plasmids as described </w:t>
      </w:r>
      <w:r w:rsidRPr="00CF664B">
        <w:rPr>
          <w:szCs w:val="21"/>
        </w:rPr>
        <w:t xml:space="preserve">in </w:t>
      </w:r>
      <w:r w:rsidRPr="00CF664B">
        <w:rPr>
          <w:b/>
          <w:szCs w:val="21"/>
        </w:rPr>
        <w:t>Figure S2</w:t>
      </w:r>
      <w:r w:rsidRPr="00CF664B">
        <w:rPr>
          <w:szCs w:val="21"/>
        </w:rPr>
        <w:t>.</w:t>
      </w:r>
    </w:p>
    <w:p w:rsidR="00B337AD" w:rsidRPr="00D149A6" w:rsidRDefault="00B337AD" w:rsidP="005D15FE">
      <w:pPr>
        <w:spacing w:line="360" w:lineRule="auto"/>
        <w:rPr>
          <w:b/>
          <w:bCs/>
          <w:szCs w:val="21"/>
        </w:rPr>
      </w:pPr>
    </w:p>
    <w:p w:rsidR="00810B15" w:rsidRPr="00D149A6" w:rsidRDefault="00CF664B" w:rsidP="00810B15">
      <w:pPr>
        <w:spacing w:line="360" w:lineRule="auto"/>
        <w:rPr>
          <w:b/>
          <w:bCs/>
          <w:szCs w:val="21"/>
        </w:rPr>
      </w:pPr>
      <w:r w:rsidRPr="00CF664B">
        <w:rPr>
          <w:b/>
          <w:bCs/>
          <w:szCs w:val="21"/>
        </w:rPr>
        <w:t xml:space="preserve">Figure S6. </w:t>
      </w:r>
      <w:r w:rsidRPr="00CF664B">
        <w:rPr>
          <w:bCs/>
          <w:szCs w:val="21"/>
        </w:rPr>
        <w:t>ATG4B can locate in mitochondria in HCC cells and its mitochondrial translocation is enhanced by AKT overexpression.</w:t>
      </w:r>
      <w:r w:rsidRPr="00CF664B">
        <w:rPr>
          <w:b/>
          <w:bCs/>
          <w:szCs w:val="21"/>
        </w:rPr>
        <w:t xml:space="preserve"> </w:t>
      </w:r>
      <w:r w:rsidRPr="00CF664B">
        <w:rPr>
          <w:szCs w:val="21"/>
        </w:rPr>
        <w:t>(</w:t>
      </w:r>
      <w:r w:rsidRPr="00CF664B">
        <w:rPr>
          <w:b/>
          <w:szCs w:val="21"/>
        </w:rPr>
        <w:t>A</w:t>
      </w:r>
      <w:r w:rsidRPr="00CF664B">
        <w:rPr>
          <w:szCs w:val="21"/>
        </w:rPr>
        <w:t xml:space="preserve">) The whole cell lysates (WCL) and mitochondrial fractions were separated from 2 patient-derived HCC tissues (#1 and #2), and then subjected to </w:t>
      </w:r>
      <w:proofErr w:type="spellStart"/>
      <w:r w:rsidRPr="00CF664B">
        <w:rPr>
          <w:szCs w:val="21"/>
        </w:rPr>
        <w:t>immunoblotting</w:t>
      </w:r>
      <w:proofErr w:type="spellEnd"/>
      <w:r w:rsidRPr="00CF664B">
        <w:rPr>
          <w:szCs w:val="21"/>
        </w:rPr>
        <w:t xml:space="preserve"> assays to detect the indicated proteins. The mitochondrial fractions were obtained using a differential gradient centrifugation strategy. (</w:t>
      </w:r>
      <w:r w:rsidRPr="00CF664B">
        <w:rPr>
          <w:b/>
          <w:szCs w:val="21"/>
        </w:rPr>
        <w:t>B</w:t>
      </w:r>
      <w:r w:rsidRPr="00CF664B">
        <w:rPr>
          <w:szCs w:val="21"/>
        </w:rPr>
        <w:t xml:space="preserve">) The mitochondrial fraction was isolated from a patient-derived HCC tissue (#3) using the anti-TOMM22 magnetic beads method. Then the washing buffer that contained mitochondria-free proteins (wash) and elution fraction (mitochondrial fraction) were subjected to </w:t>
      </w:r>
      <w:proofErr w:type="spellStart"/>
      <w:r w:rsidRPr="00CF664B">
        <w:rPr>
          <w:szCs w:val="21"/>
        </w:rPr>
        <w:t>immunoblotting</w:t>
      </w:r>
      <w:proofErr w:type="spellEnd"/>
      <w:r w:rsidRPr="00CF664B">
        <w:rPr>
          <w:szCs w:val="21"/>
        </w:rPr>
        <w:t xml:space="preserve"> assays. (</w:t>
      </w:r>
      <w:r w:rsidRPr="00CF664B">
        <w:rPr>
          <w:b/>
          <w:szCs w:val="21"/>
        </w:rPr>
        <w:t>C</w:t>
      </w:r>
      <w:r w:rsidRPr="00CF664B">
        <w:rPr>
          <w:szCs w:val="21"/>
        </w:rPr>
        <w:t xml:space="preserve">) </w:t>
      </w:r>
      <w:r w:rsidRPr="00CF664B">
        <w:rPr>
          <w:i/>
          <w:szCs w:val="21"/>
        </w:rPr>
        <w:t>ATG4B</w:t>
      </w:r>
      <w:r w:rsidRPr="00CF664B">
        <w:rPr>
          <w:i/>
          <w:szCs w:val="21"/>
          <w:vertAlign w:val="superscript"/>
        </w:rPr>
        <w:t>CRISPR</w:t>
      </w:r>
      <w:r w:rsidRPr="00CF664B">
        <w:rPr>
          <w:szCs w:val="21"/>
        </w:rPr>
        <w:t xml:space="preserve"> HepG2 cells were transfected with the indicated expression plasmids. Then the cells were stained with </w:t>
      </w:r>
      <w:proofErr w:type="spellStart"/>
      <w:r w:rsidRPr="00CF664B">
        <w:rPr>
          <w:szCs w:val="21"/>
        </w:rPr>
        <w:t>MitoTracker</w:t>
      </w:r>
      <w:proofErr w:type="spellEnd"/>
      <w:r w:rsidRPr="00CF664B">
        <w:rPr>
          <w:szCs w:val="21"/>
        </w:rPr>
        <w:t xml:space="preserve"> Red (MT-Red) and observed under a fluorescence confocal microscope. The </w:t>
      </w:r>
      <w:proofErr w:type="spellStart"/>
      <w:r w:rsidRPr="00CF664B">
        <w:rPr>
          <w:szCs w:val="21"/>
        </w:rPr>
        <w:t>colocalization</w:t>
      </w:r>
      <w:proofErr w:type="spellEnd"/>
      <w:r w:rsidRPr="00CF664B">
        <w:rPr>
          <w:szCs w:val="21"/>
        </w:rPr>
        <w:t xml:space="preserve"> of GFP-</w:t>
      </w:r>
      <w:proofErr w:type="spellStart"/>
      <w:r w:rsidRPr="00CF664B">
        <w:rPr>
          <w:szCs w:val="21"/>
        </w:rPr>
        <w:t>puncta</w:t>
      </w:r>
      <w:proofErr w:type="spellEnd"/>
      <w:r w:rsidRPr="00CF664B">
        <w:rPr>
          <w:szCs w:val="21"/>
        </w:rPr>
        <w:t xml:space="preserve"> and mitochondria was evaluated. The data in the statistical diagram were from 30 random fields of 3 samples (10 fields per sample). (</w:t>
      </w:r>
      <w:r w:rsidRPr="00CF664B">
        <w:rPr>
          <w:b/>
          <w:szCs w:val="21"/>
        </w:rPr>
        <w:t>D</w:t>
      </w:r>
      <w:r w:rsidRPr="00CF664B">
        <w:rPr>
          <w:szCs w:val="21"/>
        </w:rPr>
        <w:t xml:space="preserve">) </w:t>
      </w:r>
      <w:r w:rsidRPr="00CF664B">
        <w:rPr>
          <w:i/>
          <w:szCs w:val="21"/>
        </w:rPr>
        <w:t>ATG4B</w:t>
      </w:r>
      <w:r w:rsidRPr="00CF664B">
        <w:rPr>
          <w:i/>
          <w:szCs w:val="21"/>
          <w:vertAlign w:val="superscript"/>
        </w:rPr>
        <w:t>CRISPR</w:t>
      </w:r>
      <w:r w:rsidRPr="00CF664B">
        <w:rPr>
          <w:szCs w:val="21"/>
        </w:rPr>
        <w:t xml:space="preserve"> HepG2 cells were transfected with the indicated expression plasmids. Then the mitochondrial and cytosol fractions were obtained for </w:t>
      </w:r>
      <w:proofErr w:type="spellStart"/>
      <w:r w:rsidRPr="00CF664B">
        <w:rPr>
          <w:szCs w:val="21"/>
        </w:rPr>
        <w:t>immunoblotting</w:t>
      </w:r>
      <w:proofErr w:type="spellEnd"/>
      <w:r w:rsidRPr="00CF664B">
        <w:rPr>
          <w:szCs w:val="21"/>
        </w:rPr>
        <w:t xml:space="preserve"> assays. Data are mean</w:t>
      </w:r>
      <w:r w:rsidRPr="00CF664B">
        <w:rPr>
          <w:rFonts w:hint="eastAsia"/>
          <w:szCs w:val="21"/>
        </w:rPr>
        <w:t>±</w:t>
      </w:r>
      <w:r w:rsidRPr="00CF664B">
        <w:rPr>
          <w:szCs w:val="21"/>
        </w:rPr>
        <w:t>SD from 3 independent experiments</w:t>
      </w:r>
      <w:r w:rsidR="00072632">
        <w:rPr>
          <w:rFonts w:hint="eastAsia"/>
          <w:szCs w:val="21"/>
        </w:rPr>
        <w:t>.</w:t>
      </w:r>
      <w:r w:rsidRPr="00CF664B">
        <w:rPr>
          <w:szCs w:val="21"/>
        </w:rPr>
        <w:t xml:space="preserve"> </w:t>
      </w:r>
      <w:proofErr w:type="gramStart"/>
      <w:r w:rsidRPr="00CF664B">
        <w:rPr>
          <w:szCs w:val="21"/>
        </w:rPr>
        <w:t>ns</w:t>
      </w:r>
      <w:proofErr w:type="gramEnd"/>
      <w:r w:rsidRPr="00CF664B">
        <w:rPr>
          <w:szCs w:val="21"/>
        </w:rPr>
        <w:t>, no significance. Mito, mitochondria; GFP-ATG4B</w:t>
      </w:r>
      <w:r w:rsidRPr="00CF664B">
        <w:rPr>
          <w:szCs w:val="21"/>
          <w:vertAlign w:val="superscript"/>
        </w:rPr>
        <w:t>WT</w:t>
      </w:r>
      <w:r w:rsidRPr="00CF664B">
        <w:rPr>
          <w:szCs w:val="21"/>
        </w:rPr>
        <w:t>, 1×GFP-tagged wild-type ATG4B expression plasmid; GFP-ATG4B</w:t>
      </w:r>
      <w:r w:rsidRPr="00CF664B">
        <w:rPr>
          <w:szCs w:val="21"/>
          <w:vertAlign w:val="superscript"/>
        </w:rPr>
        <w:t>S34A</w:t>
      </w:r>
      <w:r w:rsidRPr="00CF664B">
        <w:rPr>
          <w:szCs w:val="21"/>
        </w:rPr>
        <w:t xml:space="preserve">, 1×GFP-tagged mutant ATG4B expression plasmid (in which Ser34 of ATG4B was mutated to </w:t>
      </w:r>
      <w:proofErr w:type="spellStart"/>
      <w:r w:rsidRPr="00CF664B">
        <w:rPr>
          <w:szCs w:val="21"/>
        </w:rPr>
        <w:t>Ala</w:t>
      </w:r>
      <w:proofErr w:type="spellEnd"/>
      <w:r w:rsidRPr="00CF664B">
        <w:rPr>
          <w:szCs w:val="21"/>
        </w:rPr>
        <w:t>); AKT1</w:t>
      </w:r>
      <w:r w:rsidRPr="00CF664B">
        <w:rPr>
          <w:szCs w:val="21"/>
          <w:vertAlign w:val="superscript"/>
        </w:rPr>
        <w:t>WT</w:t>
      </w:r>
      <w:r w:rsidRPr="00CF664B">
        <w:rPr>
          <w:szCs w:val="21"/>
        </w:rPr>
        <w:t>, AKT1</w:t>
      </w:r>
      <w:r w:rsidRPr="00CF664B">
        <w:rPr>
          <w:szCs w:val="21"/>
          <w:vertAlign w:val="superscript"/>
        </w:rPr>
        <w:t>AA</w:t>
      </w:r>
      <w:r w:rsidRPr="00CF664B">
        <w:rPr>
          <w:szCs w:val="21"/>
        </w:rPr>
        <w:t>, ATG4B</w:t>
      </w:r>
      <w:r w:rsidRPr="00CF664B">
        <w:rPr>
          <w:szCs w:val="21"/>
          <w:vertAlign w:val="superscript"/>
        </w:rPr>
        <w:t>WT</w:t>
      </w:r>
      <w:r w:rsidRPr="00CF664B">
        <w:rPr>
          <w:szCs w:val="21"/>
        </w:rPr>
        <w:t xml:space="preserve"> and ATG4B</w:t>
      </w:r>
      <w:r w:rsidRPr="00CF664B">
        <w:rPr>
          <w:szCs w:val="21"/>
          <w:vertAlign w:val="superscript"/>
        </w:rPr>
        <w:t xml:space="preserve">S34A </w:t>
      </w:r>
      <w:r w:rsidRPr="00CF664B">
        <w:rPr>
          <w:szCs w:val="21"/>
        </w:rPr>
        <w:t xml:space="preserve">were the corresponding expression plasmids as described in </w:t>
      </w:r>
      <w:r w:rsidRPr="00CF664B">
        <w:rPr>
          <w:b/>
          <w:szCs w:val="21"/>
        </w:rPr>
        <w:t>Figure S5</w:t>
      </w:r>
      <w:r w:rsidRPr="00CF664B">
        <w:rPr>
          <w:szCs w:val="21"/>
        </w:rPr>
        <w:t xml:space="preserve">. </w:t>
      </w:r>
    </w:p>
    <w:p w:rsidR="00BB7394" w:rsidRPr="00D149A6" w:rsidRDefault="00BB7394" w:rsidP="00810B15">
      <w:pPr>
        <w:spacing w:line="360" w:lineRule="auto"/>
        <w:rPr>
          <w:b/>
          <w:bCs/>
          <w:szCs w:val="21"/>
        </w:rPr>
      </w:pPr>
    </w:p>
    <w:p w:rsidR="00810B15" w:rsidRPr="00D149A6" w:rsidRDefault="00CF664B" w:rsidP="00810B15">
      <w:pPr>
        <w:spacing w:line="360" w:lineRule="auto"/>
        <w:rPr>
          <w:color w:val="000000" w:themeColor="text1"/>
          <w:szCs w:val="21"/>
        </w:rPr>
      </w:pPr>
      <w:r w:rsidRPr="00CF664B">
        <w:rPr>
          <w:b/>
          <w:bCs/>
          <w:szCs w:val="21"/>
        </w:rPr>
        <w:t xml:space="preserve">Figure S7. </w:t>
      </w:r>
      <w:r w:rsidRPr="00CF664B">
        <w:rPr>
          <w:bCs/>
          <w:szCs w:val="21"/>
        </w:rPr>
        <w:t>ATG4B suppresses the activity of F</w:t>
      </w:r>
      <w:r w:rsidRPr="00CF664B">
        <w:rPr>
          <w:bCs/>
          <w:szCs w:val="21"/>
          <w:vertAlign w:val="subscript"/>
        </w:rPr>
        <w:t>1</w:t>
      </w:r>
      <w:r w:rsidRPr="00CF664B">
        <w:rPr>
          <w:bCs/>
          <w:szCs w:val="21"/>
        </w:rPr>
        <w:t>Fo-ATP synthase.</w:t>
      </w:r>
      <w:r w:rsidRPr="00CF664B">
        <w:rPr>
          <w:b/>
          <w:bCs/>
          <w:szCs w:val="21"/>
        </w:rPr>
        <w:t xml:space="preserve"> </w:t>
      </w:r>
      <w:r w:rsidRPr="00CF664B">
        <w:rPr>
          <w:szCs w:val="21"/>
        </w:rPr>
        <w:t>(</w:t>
      </w:r>
      <w:r w:rsidRPr="00CF664B">
        <w:rPr>
          <w:b/>
          <w:szCs w:val="21"/>
        </w:rPr>
        <w:t>A</w:t>
      </w:r>
      <w:r w:rsidRPr="00CF664B">
        <w:rPr>
          <w:szCs w:val="21"/>
        </w:rPr>
        <w:t xml:space="preserve">) HepG2 cells stably expressing GFP-LC3 were transfected with the indicated </w:t>
      </w:r>
      <w:proofErr w:type="spellStart"/>
      <w:r w:rsidRPr="00CF664B">
        <w:rPr>
          <w:szCs w:val="21"/>
        </w:rPr>
        <w:t>siRNAs</w:t>
      </w:r>
      <w:proofErr w:type="spellEnd"/>
      <w:r w:rsidRPr="00CF664B">
        <w:rPr>
          <w:szCs w:val="21"/>
        </w:rPr>
        <w:t xml:space="preserve"> and expression plasmids. Then the cells were stained with </w:t>
      </w:r>
      <w:proofErr w:type="spellStart"/>
      <w:r w:rsidRPr="00CF664B">
        <w:rPr>
          <w:szCs w:val="21"/>
        </w:rPr>
        <w:t>MitoTracker</w:t>
      </w:r>
      <w:proofErr w:type="spellEnd"/>
      <w:r w:rsidRPr="00CF664B">
        <w:rPr>
          <w:szCs w:val="21"/>
        </w:rPr>
        <w:t xml:space="preserve"> Red (MT-Red) and observed under a fluorescence confocal microscope. The average of GFP-LC3 </w:t>
      </w:r>
      <w:proofErr w:type="spellStart"/>
      <w:r w:rsidRPr="00CF664B">
        <w:rPr>
          <w:szCs w:val="21"/>
        </w:rPr>
        <w:t>puncta</w:t>
      </w:r>
      <w:proofErr w:type="spellEnd"/>
      <w:r w:rsidRPr="00CF664B">
        <w:rPr>
          <w:szCs w:val="21"/>
        </w:rPr>
        <w:t xml:space="preserve"> that </w:t>
      </w:r>
      <w:proofErr w:type="spellStart"/>
      <w:r w:rsidRPr="00CF664B">
        <w:rPr>
          <w:szCs w:val="21"/>
        </w:rPr>
        <w:t>colocalized</w:t>
      </w:r>
      <w:proofErr w:type="spellEnd"/>
      <w:r w:rsidRPr="00CF664B">
        <w:rPr>
          <w:szCs w:val="21"/>
        </w:rPr>
        <w:t xml:space="preserve"> with </w:t>
      </w:r>
      <w:proofErr w:type="spellStart"/>
      <w:r w:rsidRPr="00CF664B">
        <w:rPr>
          <w:szCs w:val="21"/>
        </w:rPr>
        <w:t>mitochondira</w:t>
      </w:r>
      <w:proofErr w:type="spellEnd"/>
      <w:r w:rsidRPr="00CF664B">
        <w:rPr>
          <w:szCs w:val="21"/>
        </w:rPr>
        <w:t xml:space="preserve"> per cell was calculated (n=60 cells/sample from 3 independent experiments). (</w:t>
      </w:r>
      <w:r w:rsidRPr="00CF664B">
        <w:rPr>
          <w:b/>
          <w:szCs w:val="21"/>
        </w:rPr>
        <w:t>B</w:t>
      </w:r>
      <w:r w:rsidRPr="00CF664B">
        <w:rPr>
          <w:szCs w:val="21"/>
        </w:rPr>
        <w:t xml:space="preserve">) HepG2 cells were transfected with control </w:t>
      </w:r>
      <w:proofErr w:type="spellStart"/>
      <w:r w:rsidRPr="00CF664B">
        <w:rPr>
          <w:szCs w:val="21"/>
        </w:rPr>
        <w:t>siRNA</w:t>
      </w:r>
      <w:proofErr w:type="spellEnd"/>
      <w:r w:rsidRPr="00CF664B">
        <w:rPr>
          <w:szCs w:val="21"/>
        </w:rPr>
        <w:t xml:space="preserve"> or </w:t>
      </w:r>
      <w:r w:rsidRPr="00CF664B">
        <w:rPr>
          <w:i/>
          <w:szCs w:val="21"/>
        </w:rPr>
        <w:t>ATG7</w:t>
      </w:r>
      <w:r w:rsidRPr="00CF664B">
        <w:rPr>
          <w:szCs w:val="21"/>
        </w:rPr>
        <w:t xml:space="preserve"> </w:t>
      </w:r>
      <w:proofErr w:type="spellStart"/>
      <w:r w:rsidRPr="00CF664B">
        <w:rPr>
          <w:szCs w:val="21"/>
        </w:rPr>
        <w:t>siRNA</w:t>
      </w:r>
      <w:proofErr w:type="spellEnd"/>
      <w:r w:rsidRPr="00CF664B">
        <w:rPr>
          <w:szCs w:val="21"/>
        </w:rPr>
        <w:t xml:space="preserve">, and then the cells were subjected to </w:t>
      </w:r>
      <w:r w:rsidRPr="00CF664B">
        <w:rPr>
          <w:szCs w:val="21"/>
        </w:rPr>
        <w:lastRenderedPageBreak/>
        <w:t xml:space="preserve">immunofluorescence assays with the indicated antibodies. Subsequently, the cells were observed under a fluorescence confocal microscope. Representative images are </w:t>
      </w:r>
      <w:r w:rsidRPr="00CF664B">
        <w:rPr>
          <w:color w:val="000000" w:themeColor="text1"/>
          <w:szCs w:val="21"/>
        </w:rPr>
        <w:t xml:space="preserve">shown (bar: 10 </w:t>
      </w:r>
      <w:proofErr w:type="spellStart"/>
      <w:r w:rsidRPr="00CF664B">
        <w:rPr>
          <w:color w:val="000000" w:themeColor="text1"/>
          <w:szCs w:val="21"/>
        </w:rPr>
        <w:t>μm</w:t>
      </w:r>
      <w:proofErr w:type="spellEnd"/>
      <w:r w:rsidRPr="00CF664B">
        <w:rPr>
          <w:color w:val="000000" w:themeColor="text1"/>
          <w:szCs w:val="21"/>
        </w:rPr>
        <w:t xml:space="preserve">). The statistical diagram represented the percentages of positive cells containing 10 or more red fluorescent </w:t>
      </w:r>
      <w:proofErr w:type="spellStart"/>
      <w:r w:rsidRPr="00CF664B">
        <w:rPr>
          <w:color w:val="000000" w:themeColor="text1"/>
          <w:szCs w:val="21"/>
        </w:rPr>
        <w:t>puncta</w:t>
      </w:r>
      <w:proofErr w:type="spellEnd"/>
      <w:r w:rsidRPr="00CF664B">
        <w:rPr>
          <w:color w:val="000000" w:themeColor="text1"/>
          <w:szCs w:val="21"/>
        </w:rPr>
        <w:t xml:space="preserve"> (50 red fluorescent cells were observed in one field, n=5). (</w:t>
      </w:r>
      <w:r w:rsidRPr="00CF664B">
        <w:rPr>
          <w:b/>
          <w:color w:val="000000" w:themeColor="text1"/>
          <w:szCs w:val="21"/>
        </w:rPr>
        <w:t>C</w:t>
      </w:r>
      <w:r w:rsidRPr="00CF664B">
        <w:rPr>
          <w:color w:val="000000" w:themeColor="text1"/>
          <w:szCs w:val="21"/>
        </w:rPr>
        <w:t xml:space="preserve">) </w:t>
      </w:r>
      <w:r w:rsidRPr="00CF664B">
        <w:rPr>
          <w:i/>
          <w:color w:val="000000" w:themeColor="text1"/>
          <w:szCs w:val="21"/>
        </w:rPr>
        <w:t>ATG4B</w:t>
      </w:r>
      <w:r w:rsidRPr="00CF664B">
        <w:rPr>
          <w:i/>
          <w:color w:val="000000" w:themeColor="text1"/>
          <w:szCs w:val="21"/>
          <w:vertAlign w:val="superscript"/>
        </w:rPr>
        <w:t>CRISPR</w:t>
      </w:r>
      <w:r w:rsidRPr="00CF664B">
        <w:rPr>
          <w:color w:val="000000" w:themeColor="text1"/>
          <w:szCs w:val="21"/>
        </w:rPr>
        <w:t xml:space="preserve"> HepG2 cells were </w:t>
      </w:r>
      <w:proofErr w:type="spellStart"/>
      <w:r w:rsidRPr="00CF664B">
        <w:rPr>
          <w:color w:val="000000" w:themeColor="text1"/>
          <w:szCs w:val="21"/>
        </w:rPr>
        <w:t>cotransfected</w:t>
      </w:r>
      <w:proofErr w:type="spellEnd"/>
      <w:r w:rsidRPr="00CF664B">
        <w:rPr>
          <w:color w:val="000000" w:themeColor="text1"/>
          <w:szCs w:val="21"/>
        </w:rPr>
        <w:t xml:space="preserve"> with the GFP-ATG4B</w:t>
      </w:r>
      <w:r w:rsidRPr="00CF664B">
        <w:rPr>
          <w:color w:val="000000" w:themeColor="text1"/>
          <w:szCs w:val="21"/>
          <w:vertAlign w:val="superscript"/>
        </w:rPr>
        <w:t>WT</w:t>
      </w:r>
      <w:r w:rsidRPr="00CF664B">
        <w:rPr>
          <w:color w:val="000000" w:themeColor="text1"/>
          <w:szCs w:val="21"/>
        </w:rPr>
        <w:t xml:space="preserve"> expression plasmid and </w:t>
      </w:r>
      <w:r w:rsidRPr="00CF664B">
        <w:rPr>
          <w:i/>
          <w:color w:val="000000" w:themeColor="text1"/>
          <w:szCs w:val="21"/>
        </w:rPr>
        <w:t>PTEN</w:t>
      </w:r>
      <w:r w:rsidRPr="00CF664B">
        <w:rPr>
          <w:color w:val="000000" w:themeColor="text1"/>
          <w:szCs w:val="21"/>
        </w:rPr>
        <w:t xml:space="preserve"> </w:t>
      </w:r>
      <w:proofErr w:type="spellStart"/>
      <w:r w:rsidRPr="00CF664B">
        <w:rPr>
          <w:color w:val="000000" w:themeColor="text1"/>
          <w:szCs w:val="21"/>
        </w:rPr>
        <w:t>siRNA</w:t>
      </w:r>
      <w:proofErr w:type="spellEnd"/>
      <w:r w:rsidRPr="00CF664B">
        <w:rPr>
          <w:color w:val="000000" w:themeColor="text1"/>
          <w:szCs w:val="21"/>
        </w:rPr>
        <w:t xml:space="preserve">. Then the cells were subjected to immunofluorescence assays with the indicated antibodies. Subsequently, the cells were observed under a fluorescence confocal microscope and the representative images were shown (bar: 10 </w:t>
      </w:r>
      <w:proofErr w:type="spellStart"/>
      <w:r w:rsidRPr="00CF664B">
        <w:rPr>
          <w:color w:val="000000" w:themeColor="text1"/>
          <w:szCs w:val="21"/>
        </w:rPr>
        <w:t>μm</w:t>
      </w:r>
      <w:proofErr w:type="spellEnd"/>
      <w:r w:rsidRPr="00CF664B">
        <w:rPr>
          <w:color w:val="000000" w:themeColor="text1"/>
          <w:szCs w:val="21"/>
        </w:rPr>
        <w:t xml:space="preserve">). The </w:t>
      </w:r>
      <w:proofErr w:type="spellStart"/>
      <w:r w:rsidRPr="00CF664B">
        <w:rPr>
          <w:color w:val="000000" w:themeColor="text1"/>
          <w:szCs w:val="21"/>
        </w:rPr>
        <w:t>colocalization</w:t>
      </w:r>
      <w:proofErr w:type="spellEnd"/>
      <w:r w:rsidRPr="00CF664B">
        <w:rPr>
          <w:color w:val="000000" w:themeColor="text1"/>
          <w:szCs w:val="21"/>
        </w:rPr>
        <w:t xml:space="preserve"> of GFP-</w:t>
      </w:r>
      <w:proofErr w:type="spellStart"/>
      <w:r w:rsidRPr="00CF664B">
        <w:rPr>
          <w:color w:val="000000" w:themeColor="text1"/>
          <w:szCs w:val="21"/>
        </w:rPr>
        <w:t>puncta</w:t>
      </w:r>
      <w:proofErr w:type="spellEnd"/>
      <w:r w:rsidRPr="00CF664B">
        <w:rPr>
          <w:color w:val="000000" w:themeColor="text1"/>
          <w:szCs w:val="21"/>
        </w:rPr>
        <w:t xml:space="preserve"> and red-fluorescent </w:t>
      </w:r>
      <w:proofErr w:type="spellStart"/>
      <w:r w:rsidRPr="00CF664B">
        <w:rPr>
          <w:color w:val="000000" w:themeColor="text1"/>
          <w:szCs w:val="21"/>
        </w:rPr>
        <w:t>puncta</w:t>
      </w:r>
      <w:proofErr w:type="spellEnd"/>
      <w:r w:rsidRPr="00CF664B">
        <w:rPr>
          <w:color w:val="000000" w:themeColor="text1"/>
          <w:szCs w:val="21"/>
        </w:rPr>
        <w:t xml:space="preserve"> in 30 random fields from 3 samples was evaluated. (</w:t>
      </w:r>
      <w:r w:rsidRPr="00CF664B">
        <w:rPr>
          <w:b/>
          <w:color w:val="000000" w:themeColor="text1"/>
          <w:szCs w:val="21"/>
        </w:rPr>
        <w:t>D</w:t>
      </w:r>
      <w:r w:rsidRPr="00CF664B">
        <w:rPr>
          <w:color w:val="000000" w:themeColor="text1"/>
          <w:szCs w:val="21"/>
        </w:rPr>
        <w:t xml:space="preserve">) The lysates from HepG2 or Hep3B cells were </w:t>
      </w:r>
      <w:r w:rsidR="00D353F3">
        <w:rPr>
          <w:rFonts w:hint="eastAsia"/>
          <w:color w:val="000000" w:themeColor="text1"/>
          <w:szCs w:val="21"/>
        </w:rPr>
        <w:t xml:space="preserve">separately </w:t>
      </w:r>
      <w:r w:rsidRPr="00CF664B">
        <w:rPr>
          <w:color w:val="000000" w:themeColor="text1"/>
          <w:szCs w:val="21"/>
        </w:rPr>
        <w:t xml:space="preserve">subjected to </w:t>
      </w:r>
      <w:proofErr w:type="spellStart"/>
      <w:r w:rsidRPr="00CF664B">
        <w:rPr>
          <w:color w:val="000000" w:themeColor="text1"/>
          <w:szCs w:val="21"/>
        </w:rPr>
        <w:t>immunoprecipitation</w:t>
      </w:r>
      <w:proofErr w:type="spellEnd"/>
      <w:r w:rsidRPr="00CF664B">
        <w:rPr>
          <w:color w:val="000000" w:themeColor="text1"/>
          <w:szCs w:val="21"/>
        </w:rPr>
        <w:t xml:space="preserve"> and </w:t>
      </w:r>
      <w:proofErr w:type="spellStart"/>
      <w:r w:rsidRPr="00CF664B">
        <w:rPr>
          <w:color w:val="000000" w:themeColor="text1"/>
          <w:szCs w:val="21"/>
        </w:rPr>
        <w:t>immunoblotting</w:t>
      </w:r>
      <w:proofErr w:type="spellEnd"/>
      <w:r w:rsidRPr="00CF664B">
        <w:rPr>
          <w:color w:val="000000" w:themeColor="text1"/>
          <w:szCs w:val="21"/>
        </w:rPr>
        <w:t xml:space="preserve"> assays. (</w:t>
      </w:r>
      <w:r w:rsidRPr="00CF664B">
        <w:rPr>
          <w:b/>
          <w:color w:val="000000" w:themeColor="text1"/>
          <w:szCs w:val="21"/>
        </w:rPr>
        <w:t>E</w:t>
      </w:r>
      <w:r w:rsidRPr="00CF664B">
        <w:rPr>
          <w:color w:val="000000" w:themeColor="text1"/>
          <w:szCs w:val="21"/>
        </w:rPr>
        <w:t xml:space="preserve">) </w:t>
      </w:r>
      <w:proofErr w:type="spellStart"/>
      <w:r w:rsidRPr="00CF664B">
        <w:rPr>
          <w:color w:val="000000" w:themeColor="text1"/>
          <w:szCs w:val="21"/>
        </w:rPr>
        <w:t>MgATP</w:t>
      </w:r>
      <w:proofErr w:type="spellEnd"/>
      <w:r w:rsidRPr="00CF664B">
        <w:rPr>
          <w:color w:val="000000" w:themeColor="text1"/>
          <w:szCs w:val="21"/>
        </w:rPr>
        <w:t xml:space="preserve"> </w:t>
      </w:r>
      <w:proofErr w:type="spellStart"/>
      <w:r w:rsidRPr="00CF664B">
        <w:rPr>
          <w:color w:val="000000" w:themeColor="text1"/>
          <w:szCs w:val="21"/>
        </w:rPr>
        <w:t>submitochondrial</w:t>
      </w:r>
      <w:proofErr w:type="spellEnd"/>
      <w:r w:rsidRPr="00CF664B">
        <w:rPr>
          <w:color w:val="000000" w:themeColor="text1"/>
          <w:szCs w:val="21"/>
        </w:rPr>
        <w:t xml:space="preserve"> particles (SMPs) were separated from a patient-derived HCC tissue (#4) and incubated with or without recombinant human ATG4B protein (rhATG4B) or ATG4A protein (rhATG4A). Then the activity of ATP synthase was detected. Data are mean ± SD from 3 independent experiments. </w:t>
      </w:r>
      <w:proofErr w:type="gramStart"/>
      <w:r w:rsidRPr="00CF664B">
        <w:rPr>
          <w:color w:val="000000" w:themeColor="text1"/>
          <w:szCs w:val="21"/>
        </w:rPr>
        <w:t xml:space="preserve">*, </w:t>
      </w:r>
      <w:r w:rsidRPr="00CF664B">
        <w:rPr>
          <w:i/>
          <w:color w:val="000000" w:themeColor="text1"/>
          <w:szCs w:val="21"/>
        </w:rPr>
        <w:t xml:space="preserve">P </w:t>
      </w:r>
      <w:r w:rsidRPr="00CF664B">
        <w:rPr>
          <w:color w:val="000000" w:themeColor="text1"/>
          <w:szCs w:val="21"/>
        </w:rPr>
        <w:t xml:space="preserve">&lt; 0.05; **, </w:t>
      </w:r>
      <w:r w:rsidRPr="00CF664B">
        <w:rPr>
          <w:i/>
          <w:color w:val="000000" w:themeColor="text1"/>
          <w:szCs w:val="21"/>
        </w:rPr>
        <w:t>P</w:t>
      </w:r>
      <w:r w:rsidRPr="00CF664B">
        <w:rPr>
          <w:color w:val="000000" w:themeColor="text1"/>
          <w:szCs w:val="21"/>
        </w:rPr>
        <w:t xml:space="preserve"> &lt; 0.01; ns, no significance.</w:t>
      </w:r>
      <w:proofErr w:type="gramEnd"/>
      <w:r w:rsidRPr="00CF664B">
        <w:rPr>
          <w:color w:val="000000" w:themeColor="text1"/>
          <w:szCs w:val="21"/>
        </w:rPr>
        <w:t xml:space="preserve"> </w:t>
      </w:r>
      <w:r w:rsidRPr="00CF664B">
        <w:rPr>
          <w:szCs w:val="21"/>
        </w:rPr>
        <w:t>ATG4B</w:t>
      </w:r>
      <w:r w:rsidRPr="00CF664B">
        <w:rPr>
          <w:szCs w:val="21"/>
          <w:vertAlign w:val="superscript"/>
        </w:rPr>
        <w:t>WT</w:t>
      </w:r>
      <w:r w:rsidRPr="00CF664B">
        <w:rPr>
          <w:szCs w:val="21"/>
        </w:rPr>
        <w:t>, ATG4B</w:t>
      </w:r>
      <w:r w:rsidRPr="00CF664B">
        <w:rPr>
          <w:szCs w:val="21"/>
          <w:vertAlign w:val="superscript"/>
        </w:rPr>
        <w:t xml:space="preserve">S34A </w:t>
      </w:r>
      <w:r w:rsidRPr="00CF664B">
        <w:rPr>
          <w:szCs w:val="21"/>
        </w:rPr>
        <w:t>and GFP-ATG4B</w:t>
      </w:r>
      <w:r w:rsidRPr="00CF664B">
        <w:rPr>
          <w:szCs w:val="21"/>
          <w:vertAlign w:val="superscript"/>
        </w:rPr>
        <w:t>WT</w:t>
      </w:r>
      <w:r w:rsidRPr="00CF664B">
        <w:rPr>
          <w:szCs w:val="21"/>
        </w:rPr>
        <w:t xml:space="preserve"> were the corresponding</w:t>
      </w:r>
      <w:r w:rsidRPr="00CF664B">
        <w:rPr>
          <w:color w:val="000000" w:themeColor="text1"/>
          <w:szCs w:val="21"/>
        </w:rPr>
        <w:t xml:space="preserve"> expression plasmids as described in </w:t>
      </w:r>
      <w:bookmarkStart w:id="0" w:name="_GoBack"/>
      <w:bookmarkEnd w:id="0"/>
    </w:p>
    <w:p w:rsidR="00A16E63" w:rsidRPr="00D149A6" w:rsidRDefault="00A16E63" w:rsidP="00810B15">
      <w:pPr>
        <w:rPr>
          <w:color w:val="000000" w:themeColor="text1"/>
          <w:szCs w:val="21"/>
        </w:rPr>
      </w:pPr>
    </w:p>
    <w:sectPr w:rsidR="00A16E63" w:rsidRPr="00D149A6" w:rsidSect="00C518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694" w:rsidRDefault="00645694" w:rsidP="00810B15">
      <w:r>
        <w:separator/>
      </w:r>
    </w:p>
  </w:endnote>
  <w:endnote w:type="continuationSeparator" w:id="0">
    <w:p w:rsidR="00645694" w:rsidRDefault="00645694" w:rsidP="00810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694" w:rsidRDefault="00645694" w:rsidP="00810B15">
      <w:r>
        <w:separator/>
      </w:r>
    </w:p>
  </w:footnote>
  <w:footnote w:type="continuationSeparator" w:id="0">
    <w:p w:rsidR="00645694" w:rsidRDefault="00645694" w:rsidP="00810B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3F656"/>
    <w:multiLevelType w:val="singleLevel"/>
    <w:tmpl w:val="5643F656"/>
    <w:lvl w:ilvl="0">
      <w:start w:val="1"/>
      <w:numFmt w:val="upp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12C"/>
    <w:rsid w:val="00000603"/>
    <w:rsid w:val="00007EF0"/>
    <w:rsid w:val="00011AC0"/>
    <w:rsid w:val="00021C50"/>
    <w:rsid w:val="0002679B"/>
    <w:rsid w:val="0003239B"/>
    <w:rsid w:val="00035957"/>
    <w:rsid w:val="00053A45"/>
    <w:rsid w:val="00072632"/>
    <w:rsid w:val="000764BC"/>
    <w:rsid w:val="00081B38"/>
    <w:rsid w:val="000B003E"/>
    <w:rsid w:val="000C73D1"/>
    <w:rsid w:val="000D3162"/>
    <w:rsid w:val="000D72EC"/>
    <w:rsid w:val="000E38C5"/>
    <w:rsid w:val="000F783D"/>
    <w:rsid w:val="001044BF"/>
    <w:rsid w:val="00123370"/>
    <w:rsid w:val="00130C53"/>
    <w:rsid w:val="00132A07"/>
    <w:rsid w:val="00134D0E"/>
    <w:rsid w:val="00134D10"/>
    <w:rsid w:val="00142411"/>
    <w:rsid w:val="00144A9C"/>
    <w:rsid w:val="001452F2"/>
    <w:rsid w:val="0015087A"/>
    <w:rsid w:val="00152F10"/>
    <w:rsid w:val="001539AE"/>
    <w:rsid w:val="00161592"/>
    <w:rsid w:val="001649F4"/>
    <w:rsid w:val="00164B9E"/>
    <w:rsid w:val="00165611"/>
    <w:rsid w:val="001703CC"/>
    <w:rsid w:val="00170FA3"/>
    <w:rsid w:val="00173D1B"/>
    <w:rsid w:val="00182DD7"/>
    <w:rsid w:val="00196892"/>
    <w:rsid w:val="00197567"/>
    <w:rsid w:val="001B2A75"/>
    <w:rsid w:val="001C1B34"/>
    <w:rsid w:val="001D29A9"/>
    <w:rsid w:val="001D5C67"/>
    <w:rsid w:val="001E1F70"/>
    <w:rsid w:val="002149BC"/>
    <w:rsid w:val="00263894"/>
    <w:rsid w:val="0026624D"/>
    <w:rsid w:val="00270063"/>
    <w:rsid w:val="00275DA2"/>
    <w:rsid w:val="002825BF"/>
    <w:rsid w:val="002A1766"/>
    <w:rsid w:val="002B0A6D"/>
    <w:rsid w:val="002D7D31"/>
    <w:rsid w:val="002E7153"/>
    <w:rsid w:val="002F26BC"/>
    <w:rsid w:val="00315421"/>
    <w:rsid w:val="00333327"/>
    <w:rsid w:val="00340DF1"/>
    <w:rsid w:val="0034247A"/>
    <w:rsid w:val="00352F05"/>
    <w:rsid w:val="00357D8E"/>
    <w:rsid w:val="00364B9B"/>
    <w:rsid w:val="00370279"/>
    <w:rsid w:val="00370F80"/>
    <w:rsid w:val="00383A8A"/>
    <w:rsid w:val="00393AA6"/>
    <w:rsid w:val="003952D5"/>
    <w:rsid w:val="003C2E43"/>
    <w:rsid w:val="003C356A"/>
    <w:rsid w:val="003C6A47"/>
    <w:rsid w:val="003D0C51"/>
    <w:rsid w:val="003D2EB5"/>
    <w:rsid w:val="003F50EE"/>
    <w:rsid w:val="00402495"/>
    <w:rsid w:val="00414A75"/>
    <w:rsid w:val="00416712"/>
    <w:rsid w:val="00444782"/>
    <w:rsid w:val="00447C7D"/>
    <w:rsid w:val="00455E89"/>
    <w:rsid w:val="00457876"/>
    <w:rsid w:val="00464931"/>
    <w:rsid w:val="004838E1"/>
    <w:rsid w:val="00491CB7"/>
    <w:rsid w:val="004A0E0E"/>
    <w:rsid w:val="004B0708"/>
    <w:rsid w:val="004B4AF2"/>
    <w:rsid w:val="00502D84"/>
    <w:rsid w:val="00504C6B"/>
    <w:rsid w:val="005174C2"/>
    <w:rsid w:val="00526A72"/>
    <w:rsid w:val="005345D7"/>
    <w:rsid w:val="005356AA"/>
    <w:rsid w:val="005515E8"/>
    <w:rsid w:val="00562D1B"/>
    <w:rsid w:val="00576FF1"/>
    <w:rsid w:val="005770A3"/>
    <w:rsid w:val="00582391"/>
    <w:rsid w:val="0058269D"/>
    <w:rsid w:val="005939D5"/>
    <w:rsid w:val="0059564C"/>
    <w:rsid w:val="00595A6A"/>
    <w:rsid w:val="005A000D"/>
    <w:rsid w:val="005A1686"/>
    <w:rsid w:val="005C1FBA"/>
    <w:rsid w:val="005C3E0D"/>
    <w:rsid w:val="005C3EBA"/>
    <w:rsid w:val="005C4E25"/>
    <w:rsid w:val="005C6958"/>
    <w:rsid w:val="005C799B"/>
    <w:rsid w:val="005D159A"/>
    <w:rsid w:val="005D15FE"/>
    <w:rsid w:val="005D4ECB"/>
    <w:rsid w:val="005E1640"/>
    <w:rsid w:val="0061373C"/>
    <w:rsid w:val="00615768"/>
    <w:rsid w:val="00622306"/>
    <w:rsid w:val="00627DC4"/>
    <w:rsid w:val="00634F47"/>
    <w:rsid w:val="0063681C"/>
    <w:rsid w:val="006402F3"/>
    <w:rsid w:val="00640D0B"/>
    <w:rsid w:val="00645694"/>
    <w:rsid w:val="006617EA"/>
    <w:rsid w:val="006660EB"/>
    <w:rsid w:val="006800DF"/>
    <w:rsid w:val="0068112A"/>
    <w:rsid w:val="00681843"/>
    <w:rsid w:val="006B06B5"/>
    <w:rsid w:val="006B3471"/>
    <w:rsid w:val="006B418D"/>
    <w:rsid w:val="006F1FCF"/>
    <w:rsid w:val="006F4C19"/>
    <w:rsid w:val="006F52C2"/>
    <w:rsid w:val="006F59BF"/>
    <w:rsid w:val="006F7E89"/>
    <w:rsid w:val="00701D02"/>
    <w:rsid w:val="00704D07"/>
    <w:rsid w:val="007128F5"/>
    <w:rsid w:val="007133B4"/>
    <w:rsid w:val="00726D70"/>
    <w:rsid w:val="00747C84"/>
    <w:rsid w:val="00753EF0"/>
    <w:rsid w:val="00761A56"/>
    <w:rsid w:val="00763087"/>
    <w:rsid w:val="00767273"/>
    <w:rsid w:val="00791068"/>
    <w:rsid w:val="007A6FF1"/>
    <w:rsid w:val="007B0910"/>
    <w:rsid w:val="007C4636"/>
    <w:rsid w:val="007C73FF"/>
    <w:rsid w:val="007D353D"/>
    <w:rsid w:val="007D539A"/>
    <w:rsid w:val="007D67A7"/>
    <w:rsid w:val="007E160B"/>
    <w:rsid w:val="00810B15"/>
    <w:rsid w:val="0083381A"/>
    <w:rsid w:val="00842459"/>
    <w:rsid w:val="008546EB"/>
    <w:rsid w:val="008642C8"/>
    <w:rsid w:val="00864CEB"/>
    <w:rsid w:val="00866160"/>
    <w:rsid w:val="00873748"/>
    <w:rsid w:val="00874675"/>
    <w:rsid w:val="00877D39"/>
    <w:rsid w:val="00882E47"/>
    <w:rsid w:val="008853A8"/>
    <w:rsid w:val="008968D7"/>
    <w:rsid w:val="008A7379"/>
    <w:rsid w:val="008B2556"/>
    <w:rsid w:val="008B5FAA"/>
    <w:rsid w:val="008B5FFE"/>
    <w:rsid w:val="008C6FF0"/>
    <w:rsid w:val="008E3745"/>
    <w:rsid w:val="00905EAC"/>
    <w:rsid w:val="00915148"/>
    <w:rsid w:val="00915D42"/>
    <w:rsid w:val="0092215E"/>
    <w:rsid w:val="00922EF5"/>
    <w:rsid w:val="00927007"/>
    <w:rsid w:val="009426B8"/>
    <w:rsid w:val="00946716"/>
    <w:rsid w:val="009707B3"/>
    <w:rsid w:val="00972053"/>
    <w:rsid w:val="009738DB"/>
    <w:rsid w:val="009773E4"/>
    <w:rsid w:val="009775A6"/>
    <w:rsid w:val="009871D1"/>
    <w:rsid w:val="00994474"/>
    <w:rsid w:val="0099518E"/>
    <w:rsid w:val="009B5571"/>
    <w:rsid w:val="009B782F"/>
    <w:rsid w:val="009C0257"/>
    <w:rsid w:val="009E6AD8"/>
    <w:rsid w:val="009E709D"/>
    <w:rsid w:val="009F00F2"/>
    <w:rsid w:val="009F7EBE"/>
    <w:rsid w:val="00A00C55"/>
    <w:rsid w:val="00A01126"/>
    <w:rsid w:val="00A129F6"/>
    <w:rsid w:val="00A16E63"/>
    <w:rsid w:val="00A224E4"/>
    <w:rsid w:val="00A25F4F"/>
    <w:rsid w:val="00A304CD"/>
    <w:rsid w:val="00A3595D"/>
    <w:rsid w:val="00A461F6"/>
    <w:rsid w:val="00A50487"/>
    <w:rsid w:val="00A50CF5"/>
    <w:rsid w:val="00A54C96"/>
    <w:rsid w:val="00A5561F"/>
    <w:rsid w:val="00A55C9F"/>
    <w:rsid w:val="00A661C0"/>
    <w:rsid w:val="00A666A9"/>
    <w:rsid w:val="00A84882"/>
    <w:rsid w:val="00A87279"/>
    <w:rsid w:val="00A945E3"/>
    <w:rsid w:val="00A94BCE"/>
    <w:rsid w:val="00A94F10"/>
    <w:rsid w:val="00AA0343"/>
    <w:rsid w:val="00AB61AB"/>
    <w:rsid w:val="00AC4A3F"/>
    <w:rsid w:val="00AD4D33"/>
    <w:rsid w:val="00AE1DCC"/>
    <w:rsid w:val="00B265F5"/>
    <w:rsid w:val="00B337AD"/>
    <w:rsid w:val="00B46B4D"/>
    <w:rsid w:val="00B6299C"/>
    <w:rsid w:val="00B64115"/>
    <w:rsid w:val="00B8427E"/>
    <w:rsid w:val="00B86150"/>
    <w:rsid w:val="00BA07D7"/>
    <w:rsid w:val="00BB7394"/>
    <w:rsid w:val="00BC7775"/>
    <w:rsid w:val="00BD0999"/>
    <w:rsid w:val="00BD2436"/>
    <w:rsid w:val="00C101ED"/>
    <w:rsid w:val="00C10684"/>
    <w:rsid w:val="00C22B62"/>
    <w:rsid w:val="00C41A6F"/>
    <w:rsid w:val="00C43689"/>
    <w:rsid w:val="00C51845"/>
    <w:rsid w:val="00C52E53"/>
    <w:rsid w:val="00C64E05"/>
    <w:rsid w:val="00CA25E5"/>
    <w:rsid w:val="00CD2FF8"/>
    <w:rsid w:val="00CD4923"/>
    <w:rsid w:val="00CD788D"/>
    <w:rsid w:val="00CE6B7B"/>
    <w:rsid w:val="00CF5148"/>
    <w:rsid w:val="00CF664B"/>
    <w:rsid w:val="00CF7874"/>
    <w:rsid w:val="00D0503F"/>
    <w:rsid w:val="00D149A6"/>
    <w:rsid w:val="00D14B2B"/>
    <w:rsid w:val="00D219B8"/>
    <w:rsid w:val="00D24F1F"/>
    <w:rsid w:val="00D353F3"/>
    <w:rsid w:val="00D43D66"/>
    <w:rsid w:val="00D45563"/>
    <w:rsid w:val="00D5010F"/>
    <w:rsid w:val="00D53270"/>
    <w:rsid w:val="00D55147"/>
    <w:rsid w:val="00D70906"/>
    <w:rsid w:val="00DA112C"/>
    <w:rsid w:val="00DB1CB4"/>
    <w:rsid w:val="00DB4269"/>
    <w:rsid w:val="00DB6244"/>
    <w:rsid w:val="00DC5F97"/>
    <w:rsid w:val="00DC7BDF"/>
    <w:rsid w:val="00DD651D"/>
    <w:rsid w:val="00DF01FB"/>
    <w:rsid w:val="00E012C0"/>
    <w:rsid w:val="00E0659E"/>
    <w:rsid w:val="00E1042C"/>
    <w:rsid w:val="00E21195"/>
    <w:rsid w:val="00E35214"/>
    <w:rsid w:val="00E371EA"/>
    <w:rsid w:val="00E5201F"/>
    <w:rsid w:val="00E65627"/>
    <w:rsid w:val="00E8170D"/>
    <w:rsid w:val="00E82BD1"/>
    <w:rsid w:val="00E915B9"/>
    <w:rsid w:val="00E963A8"/>
    <w:rsid w:val="00E96AFF"/>
    <w:rsid w:val="00EA13F4"/>
    <w:rsid w:val="00EA1E80"/>
    <w:rsid w:val="00EB539C"/>
    <w:rsid w:val="00EC0178"/>
    <w:rsid w:val="00ED49CF"/>
    <w:rsid w:val="00ED6D7E"/>
    <w:rsid w:val="00EE19AE"/>
    <w:rsid w:val="00EE20C9"/>
    <w:rsid w:val="00EF6FA2"/>
    <w:rsid w:val="00F07031"/>
    <w:rsid w:val="00F13C8F"/>
    <w:rsid w:val="00F13E6C"/>
    <w:rsid w:val="00F167D2"/>
    <w:rsid w:val="00F24CD4"/>
    <w:rsid w:val="00F27A78"/>
    <w:rsid w:val="00F330DF"/>
    <w:rsid w:val="00F35002"/>
    <w:rsid w:val="00F36B0D"/>
    <w:rsid w:val="00F4055A"/>
    <w:rsid w:val="00F5796A"/>
    <w:rsid w:val="00F64DB1"/>
    <w:rsid w:val="00F71ACB"/>
    <w:rsid w:val="00F737AF"/>
    <w:rsid w:val="00F83B21"/>
    <w:rsid w:val="00F85DB5"/>
    <w:rsid w:val="00F97541"/>
    <w:rsid w:val="00FA4000"/>
    <w:rsid w:val="00FB4893"/>
    <w:rsid w:val="00FB4A0E"/>
    <w:rsid w:val="00FB7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12C"/>
    <w:pPr>
      <w:widowControl w:val="0"/>
      <w:jc w:val="both"/>
    </w:pPr>
    <w:rPr>
      <w:rFonts w:ascii="Times New Roman" w:eastAsia="SimSu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681C"/>
    <w:rPr>
      <w:color w:val="0000CC"/>
      <w:u w:val="single"/>
    </w:rPr>
  </w:style>
  <w:style w:type="character" w:customStyle="1" w:styleId="opdicttext2">
    <w:name w:val="op_dict_text2"/>
    <w:basedOn w:val="DefaultParagraphFont"/>
    <w:rsid w:val="0063681C"/>
  </w:style>
  <w:style w:type="paragraph" w:styleId="Header">
    <w:name w:val="header"/>
    <w:basedOn w:val="Normal"/>
    <w:link w:val="HeaderChar"/>
    <w:uiPriority w:val="99"/>
    <w:semiHidden/>
    <w:unhideWhenUsed/>
    <w:rsid w:val="00810B1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810B15"/>
    <w:rPr>
      <w:rFonts w:ascii="Times New Roman" w:eastAsia="SimSun" w:hAnsi="Times New Roman" w:cs="Times New Roman"/>
      <w:sz w:val="18"/>
      <w:szCs w:val="18"/>
    </w:rPr>
  </w:style>
  <w:style w:type="paragraph" w:styleId="Footer">
    <w:name w:val="footer"/>
    <w:basedOn w:val="Normal"/>
    <w:link w:val="FooterChar"/>
    <w:uiPriority w:val="99"/>
    <w:semiHidden/>
    <w:unhideWhenUsed/>
    <w:rsid w:val="00810B1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810B15"/>
    <w:rPr>
      <w:rFonts w:ascii="Times New Roman" w:eastAsia="SimSun" w:hAnsi="Times New Roman" w:cs="Times New Roman"/>
      <w:sz w:val="18"/>
      <w:szCs w:val="18"/>
    </w:rPr>
  </w:style>
  <w:style w:type="paragraph" w:styleId="BalloonText">
    <w:name w:val="Balloon Text"/>
    <w:basedOn w:val="Normal"/>
    <w:link w:val="BalloonTextChar"/>
    <w:uiPriority w:val="99"/>
    <w:semiHidden/>
    <w:unhideWhenUsed/>
    <w:rsid w:val="00000603"/>
    <w:rPr>
      <w:sz w:val="18"/>
      <w:szCs w:val="18"/>
    </w:rPr>
  </w:style>
  <w:style w:type="character" w:customStyle="1" w:styleId="BalloonTextChar">
    <w:name w:val="Balloon Text Char"/>
    <w:basedOn w:val="DefaultParagraphFont"/>
    <w:link w:val="BalloonText"/>
    <w:uiPriority w:val="99"/>
    <w:semiHidden/>
    <w:rsid w:val="00000603"/>
    <w:rPr>
      <w:rFonts w:ascii="Times New Roman" w:eastAsia="SimSun" w:hAnsi="Times New Roman" w:cs="Times New Roman"/>
      <w:sz w:val="18"/>
      <w:szCs w:val="18"/>
    </w:rPr>
  </w:style>
  <w:style w:type="character" w:styleId="Strong">
    <w:name w:val="Strong"/>
    <w:basedOn w:val="DefaultParagraphFont"/>
    <w:uiPriority w:val="22"/>
    <w:qFormat/>
    <w:rsid w:val="00E520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12C"/>
    <w:pPr>
      <w:widowControl w:val="0"/>
      <w:jc w:val="both"/>
    </w:pPr>
    <w:rPr>
      <w:rFonts w:ascii="Times New Roman" w:eastAsia="SimSu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681C"/>
    <w:rPr>
      <w:color w:val="0000CC"/>
      <w:u w:val="single"/>
    </w:rPr>
  </w:style>
  <w:style w:type="character" w:customStyle="1" w:styleId="opdicttext2">
    <w:name w:val="op_dict_text2"/>
    <w:basedOn w:val="DefaultParagraphFont"/>
    <w:rsid w:val="0063681C"/>
  </w:style>
  <w:style w:type="paragraph" w:styleId="Header">
    <w:name w:val="header"/>
    <w:basedOn w:val="Normal"/>
    <w:link w:val="HeaderChar"/>
    <w:uiPriority w:val="99"/>
    <w:semiHidden/>
    <w:unhideWhenUsed/>
    <w:rsid w:val="00810B1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810B15"/>
    <w:rPr>
      <w:rFonts w:ascii="Times New Roman" w:eastAsia="SimSun" w:hAnsi="Times New Roman" w:cs="Times New Roman"/>
      <w:sz w:val="18"/>
      <w:szCs w:val="18"/>
    </w:rPr>
  </w:style>
  <w:style w:type="paragraph" w:styleId="Footer">
    <w:name w:val="footer"/>
    <w:basedOn w:val="Normal"/>
    <w:link w:val="FooterChar"/>
    <w:uiPriority w:val="99"/>
    <w:semiHidden/>
    <w:unhideWhenUsed/>
    <w:rsid w:val="00810B1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810B15"/>
    <w:rPr>
      <w:rFonts w:ascii="Times New Roman" w:eastAsia="SimSun" w:hAnsi="Times New Roman" w:cs="Times New Roman"/>
      <w:sz w:val="18"/>
      <w:szCs w:val="18"/>
    </w:rPr>
  </w:style>
  <w:style w:type="paragraph" w:styleId="BalloonText">
    <w:name w:val="Balloon Text"/>
    <w:basedOn w:val="Normal"/>
    <w:link w:val="BalloonTextChar"/>
    <w:uiPriority w:val="99"/>
    <w:semiHidden/>
    <w:unhideWhenUsed/>
    <w:rsid w:val="00000603"/>
    <w:rPr>
      <w:sz w:val="18"/>
      <w:szCs w:val="18"/>
    </w:rPr>
  </w:style>
  <w:style w:type="character" w:customStyle="1" w:styleId="BalloonTextChar">
    <w:name w:val="Balloon Text Char"/>
    <w:basedOn w:val="DefaultParagraphFont"/>
    <w:link w:val="BalloonText"/>
    <w:uiPriority w:val="99"/>
    <w:semiHidden/>
    <w:rsid w:val="00000603"/>
    <w:rPr>
      <w:rFonts w:ascii="Times New Roman" w:eastAsia="SimSun" w:hAnsi="Times New Roman" w:cs="Times New Roman"/>
      <w:sz w:val="18"/>
      <w:szCs w:val="18"/>
    </w:rPr>
  </w:style>
  <w:style w:type="character" w:styleId="Strong">
    <w:name w:val="Strong"/>
    <w:basedOn w:val="DefaultParagraphFont"/>
    <w:uiPriority w:val="22"/>
    <w:qFormat/>
    <w:rsid w:val="00E520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78382">
      <w:bodyDiv w:val="1"/>
      <w:marLeft w:val="0"/>
      <w:marRight w:val="0"/>
      <w:marTop w:val="0"/>
      <w:marBottom w:val="0"/>
      <w:divBdr>
        <w:top w:val="none" w:sz="0" w:space="0" w:color="auto"/>
        <w:left w:val="none" w:sz="0" w:space="0" w:color="auto"/>
        <w:bottom w:val="none" w:sz="0" w:space="0" w:color="auto"/>
        <w:right w:val="none" w:sz="0" w:space="0" w:color="auto"/>
      </w:divBdr>
      <w:divsChild>
        <w:div w:id="1787384591">
          <w:marLeft w:val="0"/>
          <w:marRight w:val="0"/>
          <w:marTop w:val="0"/>
          <w:marBottom w:val="0"/>
          <w:divBdr>
            <w:top w:val="none" w:sz="0" w:space="0" w:color="auto"/>
            <w:left w:val="none" w:sz="0" w:space="0" w:color="auto"/>
            <w:bottom w:val="none" w:sz="0" w:space="0" w:color="auto"/>
            <w:right w:val="none" w:sz="0" w:space="0" w:color="auto"/>
          </w:divBdr>
          <w:divsChild>
            <w:div w:id="822745189">
              <w:marLeft w:val="0"/>
              <w:marRight w:val="0"/>
              <w:marTop w:val="0"/>
              <w:marBottom w:val="0"/>
              <w:divBdr>
                <w:top w:val="none" w:sz="0" w:space="0" w:color="auto"/>
                <w:left w:val="none" w:sz="0" w:space="0" w:color="auto"/>
                <w:bottom w:val="none" w:sz="0" w:space="0" w:color="auto"/>
                <w:right w:val="none" w:sz="0" w:space="0" w:color="auto"/>
              </w:divBdr>
              <w:divsChild>
                <w:div w:id="31806187">
                  <w:marLeft w:val="0"/>
                  <w:marRight w:val="0"/>
                  <w:marTop w:val="0"/>
                  <w:marBottom w:val="0"/>
                  <w:divBdr>
                    <w:top w:val="none" w:sz="0" w:space="0" w:color="auto"/>
                    <w:left w:val="none" w:sz="0" w:space="0" w:color="auto"/>
                    <w:bottom w:val="none" w:sz="0" w:space="0" w:color="auto"/>
                    <w:right w:val="none" w:sz="0" w:space="0" w:color="auto"/>
                  </w:divBdr>
                  <w:divsChild>
                    <w:div w:id="414666010">
                      <w:marLeft w:val="0"/>
                      <w:marRight w:val="0"/>
                      <w:marTop w:val="0"/>
                      <w:marBottom w:val="0"/>
                      <w:divBdr>
                        <w:top w:val="none" w:sz="0" w:space="0" w:color="auto"/>
                        <w:left w:val="none" w:sz="0" w:space="0" w:color="auto"/>
                        <w:bottom w:val="none" w:sz="0" w:space="0" w:color="auto"/>
                        <w:right w:val="none" w:sz="0" w:space="0" w:color="auto"/>
                      </w:divBdr>
                      <w:divsChild>
                        <w:div w:id="1809472772">
                          <w:marLeft w:val="0"/>
                          <w:marRight w:val="0"/>
                          <w:marTop w:val="0"/>
                          <w:marBottom w:val="210"/>
                          <w:divBdr>
                            <w:top w:val="none" w:sz="0" w:space="0" w:color="auto"/>
                            <w:left w:val="none" w:sz="0" w:space="0" w:color="auto"/>
                            <w:bottom w:val="none" w:sz="0" w:space="0" w:color="auto"/>
                            <w:right w:val="none" w:sz="0" w:space="0" w:color="auto"/>
                          </w:divBdr>
                          <w:divsChild>
                            <w:div w:id="1761179602">
                              <w:marLeft w:val="0"/>
                              <w:marRight w:val="0"/>
                              <w:marTop w:val="0"/>
                              <w:marBottom w:val="0"/>
                              <w:divBdr>
                                <w:top w:val="single" w:sz="6" w:space="7" w:color="E3E3E3"/>
                                <w:left w:val="single" w:sz="6" w:space="7" w:color="E3E3E3"/>
                                <w:bottom w:val="single" w:sz="6" w:space="7" w:color="E0E0E0"/>
                                <w:right w:val="single" w:sz="6" w:space="7" w:color="ECECEC"/>
                              </w:divBdr>
                              <w:divsChild>
                                <w:div w:id="138144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322775">
      <w:bodyDiv w:val="1"/>
      <w:marLeft w:val="0"/>
      <w:marRight w:val="0"/>
      <w:marTop w:val="0"/>
      <w:marBottom w:val="0"/>
      <w:divBdr>
        <w:top w:val="none" w:sz="0" w:space="0" w:color="auto"/>
        <w:left w:val="none" w:sz="0" w:space="0" w:color="auto"/>
        <w:bottom w:val="none" w:sz="0" w:space="0" w:color="auto"/>
        <w:right w:val="none" w:sz="0" w:space="0" w:color="auto"/>
      </w:divBdr>
      <w:divsChild>
        <w:div w:id="1917477852">
          <w:marLeft w:val="0"/>
          <w:marRight w:val="0"/>
          <w:marTop w:val="0"/>
          <w:marBottom w:val="0"/>
          <w:divBdr>
            <w:top w:val="none" w:sz="0" w:space="0" w:color="auto"/>
            <w:left w:val="none" w:sz="0" w:space="0" w:color="auto"/>
            <w:bottom w:val="none" w:sz="0" w:space="0" w:color="auto"/>
            <w:right w:val="none" w:sz="0" w:space="0" w:color="auto"/>
          </w:divBdr>
          <w:divsChild>
            <w:div w:id="1122576520">
              <w:marLeft w:val="0"/>
              <w:marRight w:val="0"/>
              <w:marTop w:val="0"/>
              <w:marBottom w:val="0"/>
              <w:divBdr>
                <w:top w:val="none" w:sz="0" w:space="0" w:color="auto"/>
                <w:left w:val="none" w:sz="0" w:space="0" w:color="auto"/>
                <w:bottom w:val="none" w:sz="0" w:space="0" w:color="auto"/>
                <w:right w:val="none" w:sz="0" w:space="0" w:color="auto"/>
              </w:divBdr>
              <w:divsChild>
                <w:div w:id="1072659209">
                  <w:marLeft w:val="0"/>
                  <w:marRight w:val="0"/>
                  <w:marTop w:val="0"/>
                  <w:marBottom w:val="0"/>
                  <w:divBdr>
                    <w:top w:val="none" w:sz="0" w:space="0" w:color="auto"/>
                    <w:left w:val="none" w:sz="0" w:space="0" w:color="auto"/>
                    <w:bottom w:val="none" w:sz="0" w:space="0" w:color="auto"/>
                    <w:right w:val="none" w:sz="0" w:space="0" w:color="auto"/>
                  </w:divBdr>
                  <w:divsChild>
                    <w:div w:id="1511531377">
                      <w:marLeft w:val="0"/>
                      <w:marRight w:val="0"/>
                      <w:marTop w:val="0"/>
                      <w:marBottom w:val="0"/>
                      <w:divBdr>
                        <w:top w:val="none" w:sz="0" w:space="0" w:color="auto"/>
                        <w:left w:val="none" w:sz="0" w:space="0" w:color="auto"/>
                        <w:bottom w:val="none" w:sz="0" w:space="0" w:color="auto"/>
                        <w:right w:val="none" w:sz="0" w:space="0" w:color="auto"/>
                      </w:divBdr>
                      <w:divsChild>
                        <w:div w:id="1241019439">
                          <w:marLeft w:val="0"/>
                          <w:marRight w:val="0"/>
                          <w:marTop w:val="0"/>
                          <w:marBottom w:val="150"/>
                          <w:divBdr>
                            <w:top w:val="none" w:sz="0" w:space="0" w:color="auto"/>
                            <w:left w:val="none" w:sz="0" w:space="0" w:color="auto"/>
                            <w:bottom w:val="none" w:sz="0" w:space="0" w:color="auto"/>
                            <w:right w:val="none" w:sz="0" w:space="0" w:color="auto"/>
                          </w:divBdr>
                          <w:divsChild>
                            <w:div w:id="1691754400">
                              <w:marLeft w:val="0"/>
                              <w:marRight w:val="0"/>
                              <w:marTop w:val="0"/>
                              <w:marBottom w:val="0"/>
                              <w:divBdr>
                                <w:top w:val="single" w:sz="4" w:space="5" w:color="E3E3E3"/>
                                <w:left w:val="single" w:sz="4" w:space="5" w:color="E3E3E3"/>
                                <w:bottom w:val="single" w:sz="4" w:space="5" w:color="E0E0E0"/>
                                <w:right w:val="single" w:sz="4" w:space="5" w:color="ECECEC"/>
                              </w:divBdr>
                              <w:divsChild>
                                <w:div w:id="16678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284571">
      <w:bodyDiv w:val="1"/>
      <w:marLeft w:val="0"/>
      <w:marRight w:val="0"/>
      <w:marTop w:val="0"/>
      <w:marBottom w:val="0"/>
      <w:divBdr>
        <w:top w:val="none" w:sz="0" w:space="0" w:color="auto"/>
        <w:left w:val="none" w:sz="0" w:space="0" w:color="auto"/>
        <w:bottom w:val="none" w:sz="0" w:space="0" w:color="auto"/>
        <w:right w:val="none" w:sz="0" w:space="0" w:color="auto"/>
      </w:divBdr>
      <w:divsChild>
        <w:div w:id="558445656">
          <w:marLeft w:val="0"/>
          <w:marRight w:val="0"/>
          <w:marTop w:val="44"/>
          <w:marBottom w:val="0"/>
          <w:divBdr>
            <w:top w:val="none" w:sz="0" w:space="0" w:color="auto"/>
            <w:left w:val="none" w:sz="0" w:space="0" w:color="auto"/>
            <w:bottom w:val="none" w:sz="0" w:space="0" w:color="auto"/>
            <w:right w:val="none" w:sz="0" w:space="0" w:color="auto"/>
          </w:divBdr>
        </w:div>
      </w:divsChild>
    </w:div>
    <w:div w:id="743798018">
      <w:bodyDiv w:val="1"/>
      <w:marLeft w:val="0"/>
      <w:marRight w:val="0"/>
      <w:marTop w:val="0"/>
      <w:marBottom w:val="0"/>
      <w:divBdr>
        <w:top w:val="none" w:sz="0" w:space="0" w:color="auto"/>
        <w:left w:val="none" w:sz="0" w:space="0" w:color="auto"/>
        <w:bottom w:val="none" w:sz="0" w:space="0" w:color="auto"/>
        <w:right w:val="none" w:sz="0" w:space="0" w:color="auto"/>
      </w:divBdr>
      <w:divsChild>
        <w:div w:id="389572633">
          <w:marLeft w:val="0"/>
          <w:marRight w:val="0"/>
          <w:marTop w:val="0"/>
          <w:marBottom w:val="0"/>
          <w:divBdr>
            <w:top w:val="none" w:sz="0" w:space="0" w:color="auto"/>
            <w:left w:val="none" w:sz="0" w:space="0" w:color="auto"/>
            <w:bottom w:val="none" w:sz="0" w:space="0" w:color="auto"/>
            <w:right w:val="none" w:sz="0" w:space="0" w:color="auto"/>
          </w:divBdr>
          <w:divsChild>
            <w:div w:id="1188564046">
              <w:marLeft w:val="0"/>
              <w:marRight w:val="0"/>
              <w:marTop w:val="0"/>
              <w:marBottom w:val="0"/>
              <w:divBdr>
                <w:top w:val="none" w:sz="0" w:space="0" w:color="auto"/>
                <w:left w:val="none" w:sz="0" w:space="0" w:color="auto"/>
                <w:bottom w:val="none" w:sz="0" w:space="0" w:color="auto"/>
                <w:right w:val="none" w:sz="0" w:space="0" w:color="auto"/>
              </w:divBdr>
              <w:divsChild>
                <w:div w:id="1891304080">
                  <w:marLeft w:val="0"/>
                  <w:marRight w:val="0"/>
                  <w:marTop w:val="0"/>
                  <w:marBottom w:val="0"/>
                  <w:divBdr>
                    <w:top w:val="none" w:sz="0" w:space="0" w:color="auto"/>
                    <w:left w:val="none" w:sz="0" w:space="0" w:color="auto"/>
                    <w:bottom w:val="none" w:sz="0" w:space="0" w:color="auto"/>
                    <w:right w:val="none" w:sz="0" w:space="0" w:color="auto"/>
                  </w:divBdr>
                  <w:divsChild>
                    <w:div w:id="1714888465">
                      <w:marLeft w:val="0"/>
                      <w:marRight w:val="0"/>
                      <w:marTop w:val="0"/>
                      <w:marBottom w:val="0"/>
                      <w:divBdr>
                        <w:top w:val="none" w:sz="0" w:space="0" w:color="auto"/>
                        <w:left w:val="none" w:sz="0" w:space="0" w:color="auto"/>
                        <w:bottom w:val="none" w:sz="0" w:space="0" w:color="auto"/>
                        <w:right w:val="none" w:sz="0" w:space="0" w:color="auto"/>
                      </w:divBdr>
                      <w:divsChild>
                        <w:div w:id="699670259">
                          <w:marLeft w:val="0"/>
                          <w:marRight w:val="0"/>
                          <w:marTop w:val="0"/>
                          <w:marBottom w:val="150"/>
                          <w:divBdr>
                            <w:top w:val="none" w:sz="0" w:space="0" w:color="auto"/>
                            <w:left w:val="none" w:sz="0" w:space="0" w:color="auto"/>
                            <w:bottom w:val="none" w:sz="0" w:space="0" w:color="auto"/>
                            <w:right w:val="none" w:sz="0" w:space="0" w:color="auto"/>
                          </w:divBdr>
                          <w:divsChild>
                            <w:div w:id="1713655377">
                              <w:marLeft w:val="0"/>
                              <w:marRight w:val="0"/>
                              <w:marTop w:val="0"/>
                              <w:marBottom w:val="0"/>
                              <w:divBdr>
                                <w:top w:val="single" w:sz="4" w:space="5" w:color="E3E3E3"/>
                                <w:left w:val="single" w:sz="4" w:space="5" w:color="E3E3E3"/>
                                <w:bottom w:val="single" w:sz="4" w:space="5" w:color="E0E0E0"/>
                                <w:right w:val="single" w:sz="4" w:space="5" w:color="ECECEC"/>
                              </w:divBdr>
                              <w:divsChild>
                                <w:div w:id="1051002860">
                                  <w:marLeft w:val="0"/>
                                  <w:marRight w:val="0"/>
                                  <w:marTop w:val="0"/>
                                  <w:marBottom w:val="0"/>
                                  <w:divBdr>
                                    <w:top w:val="none" w:sz="0" w:space="0" w:color="auto"/>
                                    <w:left w:val="none" w:sz="0" w:space="0" w:color="auto"/>
                                    <w:bottom w:val="none" w:sz="0" w:space="0" w:color="auto"/>
                                    <w:right w:val="none" w:sz="0" w:space="0" w:color="auto"/>
                                  </w:divBdr>
                                  <w:divsChild>
                                    <w:div w:id="2095122958">
                                      <w:marLeft w:val="0"/>
                                      <w:marRight w:val="0"/>
                                      <w:marTop w:val="0"/>
                                      <w:marBottom w:val="0"/>
                                      <w:divBdr>
                                        <w:top w:val="none" w:sz="0" w:space="0" w:color="auto"/>
                                        <w:left w:val="none" w:sz="0" w:space="0" w:color="auto"/>
                                        <w:bottom w:val="none" w:sz="0" w:space="0" w:color="auto"/>
                                        <w:right w:val="none" w:sz="0" w:space="0" w:color="auto"/>
                                      </w:divBdr>
                                      <w:divsChild>
                                        <w:div w:id="551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5029240">
      <w:bodyDiv w:val="1"/>
      <w:marLeft w:val="0"/>
      <w:marRight w:val="0"/>
      <w:marTop w:val="0"/>
      <w:marBottom w:val="0"/>
      <w:divBdr>
        <w:top w:val="none" w:sz="0" w:space="0" w:color="auto"/>
        <w:left w:val="none" w:sz="0" w:space="0" w:color="auto"/>
        <w:bottom w:val="none" w:sz="0" w:space="0" w:color="auto"/>
        <w:right w:val="none" w:sz="0" w:space="0" w:color="auto"/>
      </w:divBdr>
      <w:divsChild>
        <w:div w:id="1910309786">
          <w:marLeft w:val="0"/>
          <w:marRight w:val="0"/>
          <w:marTop w:val="0"/>
          <w:marBottom w:val="0"/>
          <w:divBdr>
            <w:top w:val="none" w:sz="0" w:space="0" w:color="auto"/>
            <w:left w:val="none" w:sz="0" w:space="0" w:color="auto"/>
            <w:bottom w:val="none" w:sz="0" w:space="0" w:color="auto"/>
            <w:right w:val="none" w:sz="0" w:space="0" w:color="auto"/>
          </w:divBdr>
          <w:divsChild>
            <w:div w:id="830565627">
              <w:marLeft w:val="0"/>
              <w:marRight w:val="0"/>
              <w:marTop w:val="0"/>
              <w:marBottom w:val="0"/>
              <w:divBdr>
                <w:top w:val="none" w:sz="0" w:space="0" w:color="auto"/>
                <w:left w:val="none" w:sz="0" w:space="0" w:color="auto"/>
                <w:bottom w:val="none" w:sz="0" w:space="0" w:color="auto"/>
                <w:right w:val="none" w:sz="0" w:space="0" w:color="auto"/>
              </w:divBdr>
              <w:divsChild>
                <w:div w:id="1179077942">
                  <w:marLeft w:val="0"/>
                  <w:marRight w:val="0"/>
                  <w:marTop w:val="0"/>
                  <w:marBottom w:val="0"/>
                  <w:divBdr>
                    <w:top w:val="none" w:sz="0" w:space="0" w:color="auto"/>
                    <w:left w:val="none" w:sz="0" w:space="0" w:color="auto"/>
                    <w:bottom w:val="none" w:sz="0" w:space="0" w:color="auto"/>
                    <w:right w:val="none" w:sz="0" w:space="0" w:color="auto"/>
                  </w:divBdr>
                  <w:divsChild>
                    <w:div w:id="920019213">
                      <w:marLeft w:val="0"/>
                      <w:marRight w:val="0"/>
                      <w:marTop w:val="0"/>
                      <w:marBottom w:val="0"/>
                      <w:divBdr>
                        <w:top w:val="none" w:sz="0" w:space="0" w:color="auto"/>
                        <w:left w:val="none" w:sz="0" w:space="0" w:color="auto"/>
                        <w:bottom w:val="none" w:sz="0" w:space="0" w:color="auto"/>
                        <w:right w:val="none" w:sz="0" w:space="0" w:color="auto"/>
                      </w:divBdr>
                      <w:divsChild>
                        <w:div w:id="2032368280">
                          <w:marLeft w:val="0"/>
                          <w:marRight w:val="0"/>
                          <w:marTop w:val="0"/>
                          <w:marBottom w:val="150"/>
                          <w:divBdr>
                            <w:top w:val="none" w:sz="0" w:space="0" w:color="auto"/>
                            <w:left w:val="none" w:sz="0" w:space="0" w:color="auto"/>
                            <w:bottom w:val="none" w:sz="0" w:space="0" w:color="auto"/>
                            <w:right w:val="none" w:sz="0" w:space="0" w:color="auto"/>
                          </w:divBdr>
                          <w:divsChild>
                            <w:div w:id="1613707241">
                              <w:marLeft w:val="0"/>
                              <w:marRight w:val="0"/>
                              <w:marTop w:val="0"/>
                              <w:marBottom w:val="0"/>
                              <w:divBdr>
                                <w:top w:val="single" w:sz="4" w:space="5" w:color="E3E3E3"/>
                                <w:left w:val="single" w:sz="4" w:space="5" w:color="E3E3E3"/>
                                <w:bottom w:val="single" w:sz="4" w:space="5" w:color="E0E0E0"/>
                                <w:right w:val="single" w:sz="4" w:space="5" w:color="ECECEC"/>
                              </w:divBdr>
                              <w:divsChild>
                                <w:div w:id="32952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243431">
      <w:bodyDiv w:val="1"/>
      <w:marLeft w:val="0"/>
      <w:marRight w:val="0"/>
      <w:marTop w:val="0"/>
      <w:marBottom w:val="0"/>
      <w:divBdr>
        <w:top w:val="none" w:sz="0" w:space="0" w:color="auto"/>
        <w:left w:val="none" w:sz="0" w:space="0" w:color="auto"/>
        <w:bottom w:val="none" w:sz="0" w:space="0" w:color="auto"/>
        <w:right w:val="none" w:sz="0" w:space="0" w:color="auto"/>
      </w:divBdr>
      <w:divsChild>
        <w:div w:id="1611742427">
          <w:marLeft w:val="0"/>
          <w:marRight w:val="0"/>
          <w:marTop w:val="44"/>
          <w:marBottom w:val="0"/>
          <w:divBdr>
            <w:top w:val="none" w:sz="0" w:space="0" w:color="auto"/>
            <w:left w:val="none" w:sz="0" w:space="0" w:color="auto"/>
            <w:bottom w:val="none" w:sz="0" w:space="0" w:color="auto"/>
            <w:right w:val="none" w:sz="0" w:space="0" w:color="auto"/>
          </w:divBdr>
        </w:div>
      </w:divsChild>
    </w:div>
    <w:div w:id="1291865659">
      <w:bodyDiv w:val="1"/>
      <w:marLeft w:val="0"/>
      <w:marRight w:val="0"/>
      <w:marTop w:val="0"/>
      <w:marBottom w:val="0"/>
      <w:divBdr>
        <w:top w:val="none" w:sz="0" w:space="0" w:color="auto"/>
        <w:left w:val="none" w:sz="0" w:space="0" w:color="auto"/>
        <w:bottom w:val="none" w:sz="0" w:space="0" w:color="auto"/>
        <w:right w:val="none" w:sz="0" w:space="0" w:color="auto"/>
      </w:divBdr>
      <w:divsChild>
        <w:div w:id="626740942">
          <w:marLeft w:val="0"/>
          <w:marRight w:val="0"/>
          <w:marTop w:val="0"/>
          <w:marBottom w:val="0"/>
          <w:divBdr>
            <w:top w:val="none" w:sz="0" w:space="0" w:color="auto"/>
            <w:left w:val="none" w:sz="0" w:space="0" w:color="auto"/>
            <w:bottom w:val="none" w:sz="0" w:space="0" w:color="auto"/>
            <w:right w:val="none" w:sz="0" w:space="0" w:color="auto"/>
          </w:divBdr>
          <w:divsChild>
            <w:div w:id="997416664">
              <w:marLeft w:val="0"/>
              <w:marRight w:val="0"/>
              <w:marTop w:val="0"/>
              <w:marBottom w:val="0"/>
              <w:divBdr>
                <w:top w:val="none" w:sz="0" w:space="0" w:color="auto"/>
                <w:left w:val="none" w:sz="0" w:space="0" w:color="auto"/>
                <w:bottom w:val="none" w:sz="0" w:space="0" w:color="auto"/>
                <w:right w:val="none" w:sz="0" w:space="0" w:color="auto"/>
              </w:divBdr>
              <w:divsChild>
                <w:div w:id="660088739">
                  <w:marLeft w:val="0"/>
                  <w:marRight w:val="0"/>
                  <w:marTop w:val="0"/>
                  <w:marBottom w:val="0"/>
                  <w:divBdr>
                    <w:top w:val="none" w:sz="0" w:space="0" w:color="auto"/>
                    <w:left w:val="none" w:sz="0" w:space="0" w:color="auto"/>
                    <w:bottom w:val="none" w:sz="0" w:space="0" w:color="auto"/>
                    <w:right w:val="none" w:sz="0" w:space="0" w:color="auto"/>
                  </w:divBdr>
                  <w:divsChild>
                    <w:div w:id="934628321">
                      <w:marLeft w:val="0"/>
                      <w:marRight w:val="0"/>
                      <w:marTop w:val="0"/>
                      <w:marBottom w:val="0"/>
                      <w:divBdr>
                        <w:top w:val="none" w:sz="0" w:space="0" w:color="auto"/>
                        <w:left w:val="none" w:sz="0" w:space="0" w:color="auto"/>
                        <w:bottom w:val="none" w:sz="0" w:space="0" w:color="auto"/>
                        <w:right w:val="none" w:sz="0" w:space="0" w:color="auto"/>
                      </w:divBdr>
                      <w:divsChild>
                        <w:div w:id="1784615432">
                          <w:marLeft w:val="0"/>
                          <w:marRight w:val="0"/>
                          <w:marTop w:val="0"/>
                          <w:marBottom w:val="150"/>
                          <w:divBdr>
                            <w:top w:val="none" w:sz="0" w:space="0" w:color="auto"/>
                            <w:left w:val="none" w:sz="0" w:space="0" w:color="auto"/>
                            <w:bottom w:val="none" w:sz="0" w:space="0" w:color="auto"/>
                            <w:right w:val="none" w:sz="0" w:space="0" w:color="auto"/>
                          </w:divBdr>
                          <w:divsChild>
                            <w:div w:id="1093815564">
                              <w:marLeft w:val="0"/>
                              <w:marRight w:val="0"/>
                              <w:marTop w:val="0"/>
                              <w:marBottom w:val="0"/>
                              <w:divBdr>
                                <w:top w:val="single" w:sz="4" w:space="5" w:color="E3E3E3"/>
                                <w:left w:val="single" w:sz="4" w:space="5" w:color="E3E3E3"/>
                                <w:bottom w:val="single" w:sz="4" w:space="5" w:color="E0E0E0"/>
                                <w:right w:val="single" w:sz="4" w:space="5" w:color="ECECEC"/>
                              </w:divBdr>
                              <w:divsChild>
                                <w:div w:id="21439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116641">
      <w:bodyDiv w:val="1"/>
      <w:marLeft w:val="0"/>
      <w:marRight w:val="0"/>
      <w:marTop w:val="0"/>
      <w:marBottom w:val="0"/>
      <w:divBdr>
        <w:top w:val="none" w:sz="0" w:space="0" w:color="auto"/>
        <w:left w:val="none" w:sz="0" w:space="0" w:color="auto"/>
        <w:bottom w:val="none" w:sz="0" w:space="0" w:color="auto"/>
        <w:right w:val="none" w:sz="0" w:space="0" w:color="auto"/>
      </w:divBdr>
      <w:divsChild>
        <w:div w:id="1771393085">
          <w:marLeft w:val="0"/>
          <w:marRight w:val="0"/>
          <w:marTop w:val="0"/>
          <w:marBottom w:val="0"/>
          <w:divBdr>
            <w:top w:val="none" w:sz="0" w:space="0" w:color="auto"/>
            <w:left w:val="none" w:sz="0" w:space="0" w:color="auto"/>
            <w:bottom w:val="none" w:sz="0" w:space="0" w:color="auto"/>
            <w:right w:val="none" w:sz="0" w:space="0" w:color="auto"/>
          </w:divBdr>
          <w:divsChild>
            <w:div w:id="104934883">
              <w:marLeft w:val="0"/>
              <w:marRight w:val="0"/>
              <w:marTop w:val="0"/>
              <w:marBottom w:val="0"/>
              <w:divBdr>
                <w:top w:val="none" w:sz="0" w:space="0" w:color="auto"/>
                <w:left w:val="none" w:sz="0" w:space="0" w:color="auto"/>
                <w:bottom w:val="none" w:sz="0" w:space="0" w:color="auto"/>
                <w:right w:val="none" w:sz="0" w:space="0" w:color="auto"/>
              </w:divBdr>
              <w:divsChild>
                <w:div w:id="1901558092">
                  <w:marLeft w:val="0"/>
                  <w:marRight w:val="0"/>
                  <w:marTop w:val="0"/>
                  <w:marBottom w:val="0"/>
                  <w:divBdr>
                    <w:top w:val="none" w:sz="0" w:space="0" w:color="auto"/>
                    <w:left w:val="none" w:sz="0" w:space="0" w:color="auto"/>
                    <w:bottom w:val="none" w:sz="0" w:space="0" w:color="auto"/>
                    <w:right w:val="none" w:sz="0" w:space="0" w:color="auto"/>
                  </w:divBdr>
                  <w:divsChild>
                    <w:div w:id="1737321215">
                      <w:marLeft w:val="0"/>
                      <w:marRight w:val="0"/>
                      <w:marTop w:val="0"/>
                      <w:marBottom w:val="0"/>
                      <w:divBdr>
                        <w:top w:val="none" w:sz="0" w:space="0" w:color="auto"/>
                        <w:left w:val="none" w:sz="0" w:space="0" w:color="auto"/>
                        <w:bottom w:val="none" w:sz="0" w:space="0" w:color="auto"/>
                        <w:right w:val="none" w:sz="0" w:space="0" w:color="auto"/>
                      </w:divBdr>
                      <w:divsChild>
                        <w:div w:id="1523974560">
                          <w:marLeft w:val="0"/>
                          <w:marRight w:val="0"/>
                          <w:marTop w:val="0"/>
                          <w:marBottom w:val="150"/>
                          <w:divBdr>
                            <w:top w:val="none" w:sz="0" w:space="0" w:color="auto"/>
                            <w:left w:val="none" w:sz="0" w:space="0" w:color="auto"/>
                            <w:bottom w:val="none" w:sz="0" w:space="0" w:color="auto"/>
                            <w:right w:val="none" w:sz="0" w:space="0" w:color="auto"/>
                          </w:divBdr>
                          <w:divsChild>
                            <w:div w:id="1126587991">
                              <w:marLeft w:val="0"/>
                              <w:marRight w:val="0"/>
                              <w:marTop w:val="0"/>
                              <w:marBottom w:val="0"/>
                              <w:divBdr>
                                <w:top w:val="single" w:sz="4" w:space="5" w:color="E3E3E3"/>
                                <w:left w:val="single" w:sz="4" w:space="5" w:color="E3E3E3"/>
                                <w:bottom w:val="single" w:sz="4" w:space="5" w:color="E0E0E0"/>
                                <w:right w:val="single" w:sz="4" w:space="5" w:color="ECECEC"/>
                              </w:divBdr>
                              <w:divsChild>
                                <w:div w:id="70321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032297">
      <w:bodyDiv w:val="1"/>
      <w:marLeft w:val="0"/>
      <w:marRight w:val="0"/>
      <w:marTop w:val="0"/>
      <w:marBottom w:val="0"/>
      <w:divBdr>
        <w:top w:val="none" w:sz="0" w:space="0" w:color="auto"/>
        <w:left w:val="none" w:sz="0" w:space="0" w:color="auto"/>
        <w:bottom w:val="none" w:sz="0" w:space="0" w:color="auto"/>
        <w:right w:val="none" w:sz="0" w:space="0" w:color="auto"/>
      </w:divBdr>
      <w:divsChild>
        <w:div w:id="2086485739">
          <w:marLeft w:val="0"/>
          <w:marRight w:val="0"/>
          <w:marTop w:val="44"/>
          <w:marBottom w:val="0"/>
          <w:divBdr>
            <w:top w:val="none" w:sz="0" w:space="0" w:color="auto"/>
            <w:left w:val="none" w:sz="0" w:space="0" w:color="auto"/>
            <w:bottom w:val="none" w:sz="0" w:space="0" w:color="auto"/>
            <w:right w:val="none" w:sz="0" w:space="0" w:color="auto"/>
          </w:divBdr>
        </w:div>
      </w:divsChild>
    </w:div>
    <w:div w:id="1998799639">
      <w:bodyDiv w:val="1"/>
      <w:marLeft w:val="0"/>
      <w:marRight w:val="0"/>
      <w:marTop w:val="0"/>
      <w:marBottom w:val="0"/>
      <w:divBdr>
        <w:top w:val="none" w:sz="0" w:space="0" w:color="auto"/>
        <w:left w:val="none" w:sz="0" w:space="0" w:color="auto"/>
        <w:bottom w:val="none" w:sz="0" w:space="0" w:color="auto"/>
        <w:right w:val="none" w:sz="0" w:space="0" w:color="auto"/>
      </w:divBdr>
      <w:divsChild>
        <w:div w:id="445349002">
          <w:marLeft w:val="0"/>
          <w:marRight w:val="0"/>
          <w:marTop w:val="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Avinash Dhar</cp:lastModifiedBy>
  <cp:revision>2</cp:revision>
  <cp:lastPrinted>2017-08-20T14:40:00Z</cp:lastPrinted>
  <dcterms:created xsi:type="dcterms:W3CDTF">2017-12-21T16:21:00Z</dcterms:created>
  <dcterms:modified xsi:type="dcterms:W3CDTF">2017-12-21T16:21:00Z</dcterms:modified>
</cp:coreProperties>
</file>