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B7E" w:rsidRPr="00F54F9F" w:rsidRDefault="00AD6B7E" w:rsidP="00AD6B7E">
      <w:pPr>
        <w:rPr>
          <w:rFonts w:cs="Arial"/>
          <w:b/>
        </w:rPr>
      </w:pPr>
    </w:p>
    <w:tbl>
      <w:tblPr>
        <w:tblStyle w:val="LightShading1"/>
        <w:tblW w:w="9470" w:type="dxa"/>
        <w:tblLayout w:type="fixed"/>
        <w:tblLook w:val="04A0"/>
      </w:tblPr>
      <w:tblGrid>
        <w:gridCol w:w="1660"/>
        <w:gridCol w:w="986"/>
        <w:gridCol w:w="1692"/>
        <w:gridCol w:w="773"/>
        <w:gridCol w:w="1565"/>
        <w:gridCol w:w="812"/>
        <w:gridCol w:w="1982"/>
      </w:tblGrid>
      <w:tr w:rsidR="00AD6B7E" w:rsidRPr="00F54F9F">
        <w:trPr>
          <w:cnfStyle w:val="100000000000"/>
          <w:trHeight w:val="285"/>
        </w:trPr>
        <w:tc>
          <w:tcPr>
            <w:cnfStyle w:val="001000000000"/>
            <w:tcW w:w="166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Variable</w:t>
            </w:r>
          </w:p>
        </w:tc>
        <w:tc>
          <w:tcPr>
            <w:tcW w:w="2678" w:type="dxa"/>
            <w:gridSpan w:val="2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1000000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Amboseli</w:t>
            </w:r>
          </w:p>
        </w:tc>
        <w:tc>
          <w:tcPr>
            <w:tcW w:w="2338" w:type="dxa"/>
            <w:gridSpan w:val="2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1000000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Samburu</w:t>
            </w:r>
          </w:p>
        </w:tc>
        <w:tc>
          <w:tcPr>
            <w:tcW w:w="2794" w:type="dxa"/>
            <w:gridSpan w:val="2"/>
            <w:shd w:val="clear" w:color="auto" w:fill="auto"/>
          </w:tcPr>
          <w:p w:rsidR="00AD6B7E" w:rsidRPr="00F54F9F" w:rsidRDefault="00AD6B7E" w:rsidP="00412650">
            <w:pPr>
              <w:jc w:val="center"/>
              <w:cnfStyle w:val="1000000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Combined</w:t>
            </w:r>
          </w:p>
        </w:tc>
      </w:tr>
      <w:tr w:rsidR="00AD6B7E" w:rsidRPr="00F54F9F">
        <w:trPr>
          <w:cnfStyle w:val="000000100000"/>
          <w:trHeight w:val="285"/>
        </w:trPr>
        <w:tc>
          <w:tcPr>
            <w:cnfStyle w:val="001000000000"/>
            <w:tcW w:w="1660" w:type="dxa"/>
            <w:shd w:val="clear" w:color="auto" w:fill="auto"/>
            <w:noWrap/>
          </w:tcPr>
          <w:p w:rsidR="00AD6B7E" w:rsidRPr="00F54F9F" w:rsidRDefault="00AD6B7E" w:rsidP="00412650">
            <w:pPr>
              <w:rPr>
                <w:rFonts w:eastAsia="Times New Roman" w:cs="Arial"/>
                <w:color w:val="000000"/>
              </w:rPr>
            </w:pPr>
          </w:p>
        </w:tc>
        <w:tc>
          <w:tcPr>
            <w:tcW w:w="986" w:type="dxa"/>
            <w:shd w:val="clear" w:color="auto" w:fill="auto"/>
            <w:noWrap/>
          </w:tcPr>
          <w:p w:rsidR="00AD6B7E" w:rsidRPr="00F54F9F" w:rsidRDefault="00AD6B7E" w:rsidP="00412650">
            <w:pPr>
              <w:cnfStyle w:val="0000001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Mean</w:t>
            </w:r>
          </w:p>
        </w:tc>
        <w:tc>
          <w:tcPr>
            <w:tcW w:w="1692" w:type="dxa"/>
            <w:shd w:val="clear" w:color="auto" w:fill="auto"/>
            <w:noWrap/>
          </w:tcPr>
          <w:p w:rsidR="00AD6B7E" w:rsidRPr="00F54F9F" w:rsidRDefault="00AD6B7E" w:rsidP="00412650">
            <w:pPr>
              <w:cnfStyle w:val="0000001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95% Credible intervals</w:t>
            </w:r>
          </w:p>
        </w:tc>
        <w:tc>
          <w:tcPr>
            <w:tcW w:w="773" w:type="dxa"/>
            <w:shd w:val="clear" w:color="auto" w:fill="auto"/>
            <w:noWrap/>
          </w:tcPr>
          <w:p w:rsidR="00AD6B7E" w:rsidRPr="00F54F9F" w:rsidRDefault="00AD6B7E" w:rsidP="00412650">
            <w:pPr>
              <w:cnfStyle w:val="0000001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Mean</w:t>
            </w:r>
          </w:p>
        </w:tc>
        <w:tc>
          <w:tcPr>
            <w:tcW w:w="1565" w:type="dxa"/>
            <w:shd w:val="clear" w:color="auto" w:fill="auto"/>
            <w:noWrap/>
          </w:tcPr>
          <w:p w:rsidR="00AD6B7E" w:rsidRPr="00F54F9F" w:rsidRDefault="00AD6B7E" w:rsidP="00412650">
            <w:pPr>
              <w:cnfStyle w:val="0000001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95% Credible intervals</w:t>
            </w:r>
          </w:p>
        </w:tc>
        <w:tc>
          <w:tcPr>
            <w:tcW w:w="812" w:type="dxa"/>
            <w:shd w:val="clear" w:color="auto" w:fill="auto"/>
          </w:tcPr>
          <w:p w:rsidR="00AD6B7E" w:rsidRPr="00F54F9F" w:rsidRDefault="00AD6B7E" w:rsidP="00412650">
            <w:pPr>
              <w:cnfStyle w:val="0000001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Mean</w:t>
            </w:r>
          </w:p>
        </w:tc>
        <w:tc>
          <w:tcPr>
            <w:tcW w:w="1982" w:type="dxa"/>
            <w:shd w:val="clear" w:color="auto" w:fill="auto"/>
          </w:tcPr>
          <w:p w:rsidR="00AD6B7E" w:rsidRPr="00F54F9F" w:rsidRDefault="00AD6B7E" w:rsidP="00412650">
            <w:pPr>
              <w:cnfStyle w:val="0000001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95% credible intervals</w:t>
            </w:r>
          </w:p>
        </w:tc>
      </w:tr>
      <w:tr w:rsidR="00AD6B7E" w:rsidRPr="00F54F9F">
        <w:trPr>
          <w:trHeight w:val="285"/>
        </w:trPr>
        <w:tc>
          <w:tcPr>
            <w:cnfStyle w:val="001000000000"/>
            <w:tcW w:w="1660" w:type="dxa"/>
            <w:shd w:val="clear" w:color="auto" w:fill="auto"/>
            <w:noWrap/>
          </w:tcPr>
          <w:p w:rsidR="00AD6B7E" w:rsidRPr="00F54F9F" w:rsidRDefault="00AD6B7E" w:rsidP="00412650">
            <w:pPr>
              <w:rPr>
                <w:rFonts w:eastAsia="Times New Roman" w:cs="Arial"/>
                <w:b w:val="0"/>
                <w:color w:val="000000"/>
              </w:rPr>
            </w:pPr>
            <w:r w:rsidRPr="00F54F9F">
              <w:rPr>
                <w:rFonts w:eastAsia="Times New Roman" w:cs="Arial"/>
                <w:b w:val="0"/>
                <w:color w:val="000000"/>
              </w:rPr>
              <w:t>Mutation events (</w:t>
            </w:r>
            <w:r w:rsidRPr="00F54F9F">
              <w:rPr>
                <w:rFonts w:cs="Arial"/>
                <w:b w:val="0"/>
              </w:rPr>
              <w:t>θ)</w:t>
            </w:r>
          </w:p>
        </w:tc>
        <w:tc>
          <w:tcPr>
            <w:tcW w:w="986" w:type="dxa"/>
            <w:shd w:val="clear" w:color="auto" w:fill="auto"/>
            <w:noWrap/>
          </w:tcPr>
          <w:p w:rsidR="00AD6B7E" w:rsidRPr="00F54F9F" w:rsidRDefault="00AD6B7E" w:rsidP="00412650">
            <w:pPr>
              <w:cnfStyle w:val="0000000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27</w:t>
            </w:r>
          </w:p>
        </w:tc>
        <w:tc>
          <w:tcPr>
            <w:tcW w:w="1692" w:type="dxa"/>
            <w:shd w:val="clear" w:color="auto" w:fill="auto"/>
            <w:noWrap/>
          </w:tcPr>
          <w:p w:rsidR="00AD6B7E" w:rsidRPr="00F54F9F" w:rsidRDefault="00AD6B7E" w:rsidP="00412650">
            <w:pPr>
              <w:cnfStyle w:val="0000000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11 – 45</w:t>
            </w:r>
          </w:p>
        </w:tc>
        <w:tc>
          <w:tcPr>
            <w:tcW w:w="773" w:type="dxa"/>
            <w:shd w:val="clear" w:color="auto" w:fill="auto"/>
            <w:noWrap/>
          </w:tcPr>
          <w:p w:rsidR="00AD6B7E" w:rsidRPr="00F54F9F" w:rsidRDefault="00AD6B7E" w:rsidP="00412650">
            <w:pPr>
              <w:cnfStyle w:val="0000000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41</w:t>
            </w:r>
          </w:p>
        </w:tc>
        <w:tc>
          <w:tcPr>
            <w:tcW w:w="1565" w:type="dxa"/>
            <w:shd w:val="clear" w:color="auto" w:fill="auto"/>
            <w:noWrap/>
          </w:tcPr>
          <w:p w:rsidR="00AD6B7E" w:rsidRPr="00F54F9F" w:rsidRDefault="00AD6B7E" w:rsidP="00412650">
            <w:pPr>
              <w:cnfStyle w:val="0000000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23 – 63</w:t>
            </w:r>
          </w:p>
        </w:tc>
        <w:tc>
          <w:tcPr>
            <w:tcW w:w="812" w:type="dxa"/>
            <w:shd w:val="clear" w:color="auto" w:fill="auto"/>
          </w:tcPr>
          <w:p w:rsidR="00AD6B7E" w:rsidRPr="00F54F9F" w:rsidRDefault="00AD6B7E" w:rsidP="00412650">
            <w:pPr>
              <w:cnfStyle w:val="0000000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53</w:t>
            </w:r>
          </w:p>
        </w:tc>
        <w:tc>
          <w:tcPr>
            <w:tcW w:w="1982" w:type="dxa"/>
            <w:shd w:val="clear" w:color="auto" w:fill="auto"/>
          </w:tcPr>
          <w:p w:rsidR="00AD6B7E" w:rsidRPr="00F54F9F" w:rsidRDefault="00AD6B7E" w:rsidP="00412650">
            <w:pPr>
              <w:cnfStyle w:val="0000000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34 – 74</w:t>
            </w:r>
          </w:p>
        </w:tc>
      </w:tr>
      <w:tr w:rsidR="00AD6B7E" w:rsidRPr="00F54F9F">
        <w:trPr>
          <w:cnfStyle w:val="000000100000"/>
          <w:trHeight w:val="285"/>
        </w:trPr>
        <w:tc>
          <w:tcPr>
            <w:cnfStyle w:val="001000000000"/>
            <w:tcW w:w="1660" w:type="dxa"/>
            <w:shd w:val="clear" w:color="auto" w:fill="auto"/>
            <w:noWrap/>
          </w:tcPr>
          <w:p w:rsidR="00AD6B7E" w:rsidRPr="00F54F9F" w:rsidRDefault="00AD6B7E" w:rsidP="00412650">
            <w:pPr>
              <w:rPr>
                <w:rFonts w:eastAsia="Times New Roman" w:cs="Arial"/>
                <w:b w:val="0"/>
                <w:color w:val="000000"/>
              </w:rPr>
            </w:pPr>
            <w:r w:rsidRPr="00F54F9F">
              <w:rPr>
                <w:rFonts w:eastAsia="Times New Roman" w:cs="Arial"/>
                <w:b w:val="0"/>
                <w:color w:val="000000"/>
              </w:rPr>
              <w:t>Recombination events</w:t>
            </w:r>
          </w:p>
        </w:tc>
        <w:tc>
          <w:tcPr>
            <w:tcW w:w="986" w:type="dxa"/>
            <w:shd w:val="clear" w:color="auto" w:fill="auto"/>
            <w:noWrap/>
          </w:tcPr>
          <w:p w:rsidR="00AD6B7E" w:rsidRPr="00F54F9F" w:rsidRDefault="00AD6B7E" w:rsidP="00412650">
            <w:pPr>
              <w:cnfStyle w:val="0000001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57</w:t>
            </w:r>
          </w:p>
        </w:tc>
        <w:tc>
          <w:tcPr>
            <w:tcW w:w="1692" w:type="dxa"/>
            <w:shd w:val="clear" w:color="auto" w:fill="auto"/>
            <w:noWrap/>
          </w:tcPr>
          <w:p w:rsidR="00AD6B7E" w:rsidRPr="00F54F9F" w:rsidRDefault="00AD6B7E" w:rsidP="00412650">
            <w:pPr>
              <w:cnfStyle w:val="0000001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38 – 80</w:t>
            </w:r>
          </w:p>
        </w:tc>
        <w:tc>
          <w:tcPr>
            <w:tcW w:w="773" w:type="dxa"/>
            <w:shd w:val="clear" w:color="auto" w:fill="auto"/>
            <w:noWrap/>
          </w:tcPr>
          <w:p w:rsidR="00AD6B7E" w:rsidRPr="00F54F9F" w:rsidRDefault="00AD6B7E" w:rsidP="00412650">
            <w:pPr>
              <w:cnfStyle w:val="0000001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41</w:t>
            </w:r>
          </w:p>
        </w:tc>
        <w:tc>
          <w:tcPr>
            <w:tcW w:w="1565" w:type="dxa"/>
            <w:shd w:val="clear" w:color="auto" w:fill="auto"/>
            <w:noWrap/>
          </w:tcPr>
          <w:p w:rsidR="00AD6B7E" w:rsidRPr="00F54F9F" w:rsidRDefault="00AD6B7E" w:rsidP="00412650">
            <w:pPr>
              <w:cnfStyle w:val="0000001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29 – 57</w:t>
            </w:r>
          </w:p>
        </w:tc>
        <w:tc>
          <w:tcPr>
            <w:tcW w:w="812" w:type="dxa"/>
            <w:shd w:val="clear" w:color="auto" w:fill="auto"/>
          </w:tcPr>
          <w:p w:rsidR="00AD6B7E" w:rsidRPr="00F54F9F" w:rsidRDefault="00AD6B7E" w:rsidP="00412650">
            <w:pPr>
              <w:cnfStyle w:val="0000001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86</w:t>
            </w:r>
          </w:p>
        </w:tc>
        <w:tc>
          <w:tcPr>
            <w:tcW w:w="1982" w:type="dxa"/>
            <w:shd w:val="clear" w:color="auto" w:fill="auto"/>
          </w:tcPr>
          <w:p w:rsidR="00AD6B7E" w:rsidRPr="00F54F9F" w:rsidRDefault="00AD6B7E" w:rsidP="00412650">
            <w:pPr>
              <w:cnfStyle w:val="0000001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66 – 108</w:t>
            </w:r>
          </w:p>
        </w:tc>
      </w:tr>
      <w:tr w:rsidR="00AD6B7E" w:rsidRPr="00F54F9F">
        <w:trPr>
          <w:trHeight w:val="285"/>
        </w:trPr>
        <w:tc>
          <w:tcPr>
            <w:cnfStyle w:val="001000000000"/>
            <w:tcW w:w="1660" w:type="dxa"/>
            <w:shd w:val="clear" w:color="auto" w:fill="auto"/>
            <w:noWrap/>
          </w:tcPr>
          <w:p w:rsidR="00AD6B7E" w:rsidRPr="00F54F9F" w:rsidRDefault="00AD6B7E" w:rsidP="00412650">
            <w:pPr>
              <w:rPr>
                <w:rFonts w:eastAsia="Times New Roman" w:cs="Arial"/>
                <w:b w:val="0"/>
                <w:color w:val="000000"/>
              </w:rPr>
            </w:pPr>
            <w:r w:rsidRPr="00F54F9F">
              <w:rPr>
                <w:rFonts w:eastAsia="Times New Roman" w:cs="Arial"/>
                <w:b w:val="0"/>
                <w:color w:val="000000"/>
              </w:rPr>
              <w:t>Mean tract Length (</w:t>
            </w:r>
            <w:r w:rsidRPr="00F54F9F">
              <w:rPr>
                <w:rFonts w:cs="Arial"/>
                <w:b w:val="0"/>
              </w:rPr>
              <w:t>δ</w:t>
            </w:r>
            <w:r w:rsidRPr="00F54F9F">
              <w:rPr>
                <w:rFonts w:eastAsia="Times New Roman" w:cs="Arial"/>
                <w:b w:val="0"/>
                <w:color w:val="000000"/>
              </w:rPr>
              <w:t>)</w:t>
            </w:r>
          </w:p>
        </w:tc>
        <w:tc>
          <w:tcPr>
            <w:tcW w:w="986" w:type="dxa"/>
            <w:shd w:val="clear" w:color="auto" w:fill="auto"/>
            <w:noWrap/>
          </w:tcPr>
          <w:p w:rsidR="00AD6B7E" w:rsidRPr="00F54F9F" w:rsidRDefault="00AD6B7E" w:rsidP="00412650">
            <w:pPr>
              <w:cnfStyle w:val="0000000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232</w:t>
            </w:r>
          </w:p>
        </w:tc>
        <w:tc>
          <w:tcPr>
            <w:tcW w:w="1692" w:type="dxa"/>
            <w:shd w:val="clear" w:color="auto" w:fill="auto"/>
            <w:noWrap/>
          </w:tcPr>
          <w:p w:rsidR="00AD6B7E" w:rsidRPr="00F54F9F" w:rsidRDefault="00AD6B7E" w:rsidP="00412650">
            <w:pPr>
              <w:cnfStyle w:val="0000000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157 – 328</w:t>
            </w:r>
          </w:p>
        </w:tc>
        <w:tc>
          <w:tcPr>
            <w:tcW w:w="773" w:type="dxa"/>
            <w:shd w:val="clear" w:color="auto" w:fill="auto"/>
            <w:noWrap/>
          </w:tcPr>
          <w:p w:rsidR="00AD6B7E" w:rsidRPr="00F54F9F" w:rsidRDefault="00AD6B7E" w:rsidP="00412650">
            <w:pPr>
              <w:cnfStyle w:val="0000000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201</w:t>
            </w:r>
          </w:p>
        </w:tc>
        <w:tc>
          <w:tcPr>
            <w:tcW w:w="1565" w:type="dxa"/>
            <w:shd w:val="clear" w:color="auto" w:fill="auto"/>
            <w:noWrap/>
          </w:tcPr>
          <w:p w:rsidR="00AD6B7E" w:rsidRPr="00F54F9F" w:rsidRDefault="00AD6B7E" w:rsidP="00412650">
            <w:pPr>
              <w:cnfStyle w:val="0000000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133 – 294</w:t>
            </w:r>
          </w:p>
        </w:tc>
        <w:tc>
          <w:tcPr>
            <w:tcW w:w="812" w:type="dxa"/>
            <w:shd w:val="clear" w:color="auto" w:fill="auto"/>
          </w:tcPr>
          <w:p w:rsidR="00AD6B7E" w:rsidRPr="00F54F9F" w:rsidRDefault="00AD6B7E" w:rsidP="00412650">
            <w:pPr>
              <w:cnfStyle w:val="0000000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196</w:t>
            </w:r>
          </w:p>
        </w:tc>
        <w:tc>
          <w:tcPr>
            <w:tcW w:w="1982" w:type="dxa"/>
            <w:shd w:val="clear" w:color="auto" w:fill="auto"/>
          </w:tcPr>
          <w:p w:rsidR="00AD6B7E" w:rsidRPr="00F54F9F" w:rsidRDefault="00AD6B7E" w:rsidP="00412650">
            <w:pPr>
              <w:cnfStyle w:val="0000000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147 – 257</w:t>
            </w:r>
          </w:p>
        </w:tc>
        <w:bookmarkStart w:id="0" w:name="_GoBack"/>
        <w:bookmarkEnd w:id="0"/>
      </w:tr>
      <w:tr w:rsidR="00AD6B7E" w:rsidRPr="00F54F9F">
        <w:trPr>
          <w:cnfStyle w:val="000000100000"/>
          <w:trHeight w:val="285"/>
        </w:trPr>
        <w:tc>
          <w:tcPr>
            <w:cnfStyle w:val="001000000000"/>
            <w:tcW w:w="1660" w:type="dxa"/>
            <w:shd w:val="clear" w:color="auto" w:fill="auto"/>
            <w:noWrap/>
          </w:tcPr>
          <w:p w:rsidR="00AD6B7E" w:rsidRPr="00F54F9F" w:rsidRDefault="00AD6B7E" w:rsidP="00412650">
            <w:pPr>
              <w:rPr>
                <w:rFonts w:eastAsia="Times New Roman" w:cs="Arial"/>
                <w:b w:val="0"/>
                <w:color w:val="000000"/>
              </w:rPr>
            </w:pPr>
            <w:r w:rsidRPr="00F54F9F">
              <w:rPr>
                <w:rFonts w:eastAsia="Times New Roman" w:cs="Arial"/>
                <w:b w:val="0"/>
                <w:color w:val="000000"/>
              </w:rPr>
              <w:t>R/M</w:t>
            </w:r>
          </w:p>
        </w:tc>
        <w:tc>
          <w:tcPr>
            <w:tcW w:w="986" w:type="dxa"/>
            <w:shd w:val="clear" w:color="auto" w:fill="auto"/>
            <w:noWrap/>
          </w:tcPr>
          <w:p w:rsidR="00AD6B7E" w:rsidRPr="00F54F9F" w:rsidRDefault="00AD6B7E" w:rsidP="00412650">
            <w:pPr>
              <w:cnfStyle w:val="0000001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4.478</w:t>
            </w:r>
          </w:p>
        </w:tc>
        <w:tc>
          <w:tcPr>
            <w:tcW w:w="1692" w:type="dxa"/>
            <w:shd w:val="clear" w:color="auto" w:fill="auto"/>
            <w:noWrap/>
          </w:tcPr>
          <w:p w:rsidR="00AD6B7E" w:rsidRPr="00F54F9F" w:rsidRDefault="00AD6B7E" w:rsidP="00412650">
            <w:pPr>
              <w:cnfStyle w:val="0000001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2.451 – 8.833</w:t>
            </w:r>
          </w:p>
        </w:tc>
        <w:tc>
          <w:tcPr>
            <w:tcW w:w="773" w:type="dxa"/>
            <w:shd w:val="clear" w:color="auto" w:fill="auto"/>
            <w:noWrap/>
          </w:tcPr>
          <w:p w:rsidR="00AD6B7E" w:rsidRPr="00F54F9F" w:rsidRDefault="00AD6B7E" w:rsidP="00412650">
            <w:pPr>
              <w:cnfStyle w:val="0000001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2.650</w:t>
            </w:r>
          </w:p>
        </w:tc>
        <w:tc>
          <w:tcPr>
            <w:tcW w:w="1565" w:type="dxa"/>
            <w:shd w:val="clear" w:color="auto" w:fill="auto"/>
            <w:noWrap/>
          </w:tcPr>
          <w:p w:rsidR="00AD6B7E" w:rsidRPr="00F54F9F" w:rsidRDefault="00AD6B7E" w:rsidP="00412650">
            <w:pPr>
              <w:cnfStyle w:val="0000001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1.450 – 4.414</w:t>
            </w:r>
          </w:p>
        </w:tc>
        <w:tc>
          <w:tcPr>
            <w:tcW w:w="812" w:type="dxa"/>
            <w:shd w:val="clear" w:color="auto" w:fill="auto"/>
          </w:tcPr>
          <w:p w:rsidR="00AD6B7E" w:rsidRPr="00F54F9F" w:rsidRDefault="00AD6B7E" w:rsidP="00412650">
            <w:pPr>
              <w:cnfStyle w:val="0000001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3.331</w:t>
            </w:r>
          </w:p>
        </w:tc>
        <w:tc>
          <w:tcPr>
            <w:tcW w:w="1982" w:type="dxa"/>
            <w:shd w:val="clear" w:color="auto" w:fill="auto"/>
          </w:tcPr>
          <w:p w:rsidR="00AD6B7E" w:rsidRPr="00F54F9F" w:rsidRDefault="00AD6B7E" w:rsidP="00412650">
            <w:pPr>
              <w:cnfStyle w:val="0000001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2.063 – 5.251</w:t>
            </w:r>
          </w:p>
        </w:tc>
      </w:tr>
      <w:tr w:rsidR="00AD6B7E" w:rsidRPr="00F54F9F">
        <w:trPr>
          <w:trHeight w:val="285"/>
        </w:trPr>
        <w:tc>
          <w:tcPr>
            <w:cnfStyle w:val="001000000000"/>
            <w:tcW w:w="1660" w:type="dxa"/>
            <w:shd w:val="clear" w:color="auto" w:fill="auto"/>
            <w:noWrap/>
          </w:tcPr>
          <w:p w:rsidR="00AD6B7E" w:rsidRPr="00F54F9F" w:rsidRDefault="00AD6B7E" w:rsidP="00412650">
            <w:pPr>
              <w:rPr>
                <w:rFonts w:eastAsia="Times New Roman" w:cs="Arial"/>
                <w:b w:val="0"/>
                <w:color w:val="000000"/>
              </w:rPr>
            </w:pPr>
            <w:r w:rsidRPr="00F54F9F">
              <w:rPr>
                <w:rFonts w:cs="Arial"/>
                <w:b w:val="0"/>
              </w:rPr>
              <w:t>ρ/θ</w:t>
            </w:r>
          </w:p>
        </w:tc>
        <w:tc>
          <w:tcPr>
            <w:tcW w:w="986" w:type="dxa"/>
            <w:shd w:val="clear" w:color="auto" w:fill="auto"/>
            <w:noWrap/>
          </w:tcPr>
          <w:p w:rsidR="00AD6B7E" w:rsidRPr="00F54F9F" w:rsidRDefault="00AD6B7E" w:rsidP="00412650">
            <w:pPr>
              <w:cnfStyle w:val="0000000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2.324</w:t>
            </w:r>
          </w:p>
        </w:tc>
        <w:tc>
          <w:tcPr>
            <w:tcW w:w="1692" w:type="dxa"/>
            <w:shd w:val="clear" w:color="auto" w:fill="auto"/>
            <w:noWrap/>
          </w:tcPr>
          <w:p w:rsidR="00AD6B7E" w:rsidRPr="00F54F9F" w:rsidRDefault="00AD6B7E" w:rsidP="00412650">
            <w:pPr>
              <w:cnfStyle w:val="0000000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1.112 – 4.960</w:t>
            </w:r>
          </w:p>
        </w:tc>
        <w:tc>
          <w:tcPr>
            <w:tcW w:w="773" w:type="dxa"/>
            <w:shd w:val="clear" w:color="auto" w:fill="auto"/>
            <w:noWrap/>
          </w:tcPr>
          <w:p w:rsidR="00AD6B7E" w:rsidRPr="00F54F9F" w:rsidRDefault="00AD6B7E" w:rsidP="00412650">
            <w:pPr>
              <w:cnfStyle w:val="0000000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1.073</w:t>
            </w:r>
          </w:p>
        </w:tc>
        <w:tc>
          <w:tcPr>
            <w:tcW w:w="1565" w:type="dxa"/>
            <w:shd w:val="clear" w:color="auto" w:fill="auto"/>
            <w:noWrap/>
          </w:tcPr>
          <w:p w:rsidR="00AD6B7E" w:rsidRPr="00F54F9F" w:rsidRDefault="00AD6B7E" w:rsidP="00412650">
            <w:pPr>
              <w:cnfStyle w:val="0000000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0.541 – 1.986</w:t>
            </w:r>
          </w:p>
        </w:tc>
        <w:tc>
          <w:tcPr>
            <w:tcW w:w="812" w:type="dxa"/>
            <w:shd w:val="clear" w:color="auto" w:fill="auto"/>
          </w:tcPr>
          <w:p w:rsidR="00AD6B7E" w:rsidRPr="00F54F9F" w:rsidRDefault="00AD6B7E" w:rsidP="00412650">
            <w:pPr>
              <w:cnfStyle w:val="0000000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1.702</w:t>
            </w:r>
          </w:p>
        </w:tc>
        <w:tc>
          <w:tcPr>
            <w:tcW w:w="1982" w:type="dxa"/>
            <w:shd w:val="clear" w:color="auto" w:fill="auto"/>
          </w:tcPr>
          <w:p w:rsidR="00AD6B7E" w:rsidRPr="00F54F9F" w:rsidRDefault="00AD6B7E" w:rsidP="00412650">
            <w:pPr>
              <w:cnfStyle w:val="0000000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0.995 – 2.863</w:t>
            </w:r>
          </w:p>
        </w:tc>
      </w:tr>
      <w:tr w:rsidR="00AD6B7E" w:rsidRPr="00F54F9F">
        <w:trPr>
          <w:cnfStyle w:val="000000100000"/>
          <w:trHeight w:val="285"/>
        </w:trPr>
        <w:tc>
          <w:tcPr>
            <w:cnfStyle w:val="001000000000"/>
            <w:tcW w:w="1660" w:type="dxa"/>
            <w:shd w:val="clear" w:color="auto" w:fill="auto"/>
            <w:noWrap/>
          </w:tcPr>
          <w:p w:rsidR="00AD6B7E" w:rsidRPr="00F54F9F" w:rsidRDefault="00AD6B7E" w:rsidP="00412650">
            <w:pPr>
              <w:rPr>
                <w:rFonts w:eastAsia="Times New Roman" w:cs="Arial"/>
                <w:b w:val="0"/>
                <w:color w:val="000000"/>
              </w:rPr>
            </w:pPr>
            <w:r w:rsidRPr="00F54F9F">
              <w:rPr>
                <w:rFonts w:eastAsia="Times New Roman" w:cs="Arial"/>
                <w:b w:val="0"/>
                <w:color w:val="000000"/>
              </w:rPr>
              <w:t>TMRCA</w:t>
            </w:r>
          </w:p>
        </w:tc>
        <w:tc>
          <w:tcPr>
            <w:tcW w:w="986" w:type="dxa"/>
            <w:shd w:val="clear" w:color="auto" w:fill="auto"/>
            <w:noWrap/>
          </w:tcPr>
          <w:p w:rsidR="00AD6B7E" w:rsidRPr="00F54F9F" w:rsidRDefault="00AD6B7E" w:rsidP="00412650">
            <w:pPr>
              <w:cnfStyle w:val="0000001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0.616</w:t>
            </w:r>
          </w:p>
        </w:tc>
        <w:tc>
          <w:tcPr>
            <w:tcW w:w="1692" w:type="dxa"/>
            <w:shd w:val="clear" w:color="auto" w:fill="auto"/>
            <w:noWrap/>
          </w:tcPr>
          <w:p w:rsidR="00AD6B7E" w:rsidRPr="00F54F9F" w:rsidRDefault="00AD6B7E" w:rsidP="00412650">
            <w:pPr>
              <w:cnfStyle w:val="0000001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0.3650 –1.132</w:t>
            </w:r>
          </w:p>
        </w:tc>
        <w:tc>
          <w:tcPr>
            <w:tcW w:w="773" w:type="dxa"/>
            <w:shd w:val="clear" w:color="auto" w:fill="auto"/>
            <w:noWrap/>
          </w:tcPr>
          <w:p w:rsidR="00AD6B7E" w:rsidRPr="00F54F9F" w:rsidRDefault="00AD6B7E" w:rsidP="00412650">
            <w:pPr>
              <w:cnfStyle w:val="0000001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0.516</w:t>
            </w:r>
          </w:p>
        </w:tc>
        <w:tc>
          <w:tcPr>
            <w:tcW w:w="1565" w:type="dxa"/>
            <w:shd w:val="clear" w:color="auto" w:fill="auto"/>
            <w:noWrap/>
          </w:tcPr>
          <w:p w:rsidR="00AD6B7E" w:rsidRPr="00F54F9F" w:rsidRDefault="00AD6B7E" w:rsidP="00412650">
            <w:pPr>
              <w:cnfStyle w:val="0000001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0.357 – 0.782</w:t>
            </w:r>
          </w:p>
        </w:tc>
        <w:tc>
          <w:tcPr>
            <w:tcW w:w="812" w:type="dxa"/>
            <w:shd w:val="clear" w:color="auto" w:fill="auto"/>
          </w:tcPr>
          <w:p w:rsidR="00AD6B7E" w:rsidRPr="00F54F9F" w:rsidRDefault="00AD6B7E" w:rsidP="00412650">
            <w:pPr>
              <w:cnfStyle w:val="0000001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0.393</w:t>
            </w:r>
          </w:p>
        </w:tc>
        <w:tc>
          <w:tcPr>
            <w:tcW w:w="1982" w:type="dxa"/>
            <w:shd w:val="clear" w:color="auto" w:fill="auto"/>
          </w:tcPr>
          <w:p w:rsidR="00AD6B7E" w:rsidRPr="00F54F9F" w:rsidRDefault="00AD6B7E" w:rsidP="00412650">
            <w:pPr>
              <w:cnfStyle w:val="000000100000"/>
              <w:rPr>
                <w:rFonts w:eastAsia="Times New Roman" w:cs="Arial"/>
                <w:color w:val="000000"/>
              </w:rPr>
            </w:pPr>
            <w:r w:rsidRPr="00F54F9F">
              <w:rPr>
                <w:rFonts w:eastAsia="Times New Roman" w:cs="Arial"/>
                <w:color w:val="000000"/>
              </w:rPr>
              <w:t>0.272 – 0.538</w:t>
            </w:r>
          </w:p>
        </w:tc>
      </w:tr>
    </w:tbl>
    <w:p w:rsidR="00B84262" w:rsidRPr="00AD6B7E" w:rsidRDefault="00B84262" w:rsidP="00AD6B7E"/>
    <w:sectPr w:rsidR="00B84262" w:rsidRPr="00AD6B7E" w:rsidSect="00115D8F">
      <w:headerReference w:type="default" r:id="rId6"/>
      <w:pgSz w:w="12240" w:h="15840"/>
      <w:pgMar w:top="1440" w:right="1440" w:bottom="1440" w:left="144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58F" w:rsidRDefault="00AD6B7E">
      <w:r>
        <w:separator/>
      </w:r>
    </w:p>
  </w:endnote>
  <w:endnote w:type="continuationSeparator" w:id="0">
    <w:p w:rsidR="0043158F" w:rsidRDefault="00AD6B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58F" w:rsidRDefault="00AD6B7E">
      <w:r>
        <w:separator/>
      </w:r>
    </w:p>
  </w:footnote>
  <w:footnote w:type="continuationSeparator" w:id="0">
    <w:p w:rsidR="0043158F" w:rsidRDefault="00AD6B7E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13A" w:rsidRPr="00A44FB4" w:rsidRDefault="00115D8F">
    <w:pPr>
      <w:pStyle w:val="Header"/>
    </w:pP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115D8F"/>
    <w:rsid w:val="00092760"/>
    <w:rsid w:val="001149E8"/>
    <w:rsid w:val="00115D8F"/>
    <w:rsid w:val="00220709"/>
    <w:rsid w:val="00391799"/>
    <w:rsid w:val="0043158F"/>
    <w:rsid w:val="005A4219"/>
    <w:rsid w:val="00665F18"/>
    <w:rsid w:val="00773013"/>
    <w:rsid w:val="00A216E7"/>
    <w:rsid w:val="00A95421"/>
    <w:rsid w:val="00AD6B7E"/>
    <w:rsid w:val="00B84262"/>
    <w:rsid w:val="00C71ADA"/>
    <w:rsid w:val="00DB219B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B7E"/>
    <w:rPr>
      <w:rFonts w:ascii="Arial" w:hAnsi="Arial"/>
      <w:sz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15D8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115D8F"/>
    <w:rPr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115D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5D8F"/>
    <w:rPr>
      <w:rFonts w:ascii="Arial" w:hAnsi="Arial"/>
      <w:sz w:val="22"/>
    </w:rPr>
  </w:style>
  <w:style w:type="paragraph" w:styleId="ListParagraph">
    <w:name w:val="List Paragraph"/>
    <w:basedOn w:val="Normal"/>
    <w:uiPriority w:val="34"/>
    <w:qFormat/>
    <w:rsid w:val="00115D8F"/>
    <w:pPr>
      <w:ind w:left="720"/>
      <w:contextualSpacing/>
    </w:pPr>
  </w:style>
  <w:style w:type="table" w:styleId="LightShading">
    <w:name w:val="Light Shading"/>
    <w:basedOn w:val="TableNormal"/>
    <w:rsid w:val="00115D8F"/>
    <w:rPr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115D8F"/>
  </w:style>
  <w:style w:type="paragraph" w:styleId="Footer">
    <w:name w:val="footer"/>
    <w:basedOn w:val="Normal"/>
    <w:link w:val="FooterChar"/>
    <w:uiPriority w:val="99"/>
    <w:semiHidden/>
    <w:unhideWhenUsed/>
    <w:rsid w:val="00665F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65F18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B7E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D8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115D8F"/>
    <w:rPr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115D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5D8F"/>
    <w:rPr>
      <w:rFonts w:ascii="Arial" w:hAnsi="Arial"/>
      <w:sz w:val="22"/>
    </w:rPr>
  </w:style>
  <w:style w:type="paragraph" w:styleId="ListParagraph">
    <w:name w:val="List Paragraph"/>
    <w:basedOn w:val="Normal"/>
    <w:uiPriority w:val="34"/>
    <w:qFormat/>
    <w:rsid w:val="00115D8F"/>
    <w:pPr>
      <w:ind w:left="720"/>
      <w:contextualSpacing/>
    </w:pPr>
  </w:style>
  <w:style w:type="table" w:styleId="LightShading">
    <w:name w:val="Light Shading"/>
    <w:basedOn w:val="TableNormal"/>
    <w:rsid w:val="00115D8F"/>
    <w:rPr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115D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409</Characters>
  <Application>Microsoft Macintosh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Archie</dc:creator>
  <cp:keywords/>
  <dc:description/>
  <cp:lastModifiedBy>Elizabeth Archie</cp:lastModifiedBy>
  <cp:revision>4</cp:revision>
  <dcterms:created xsi:type="dcterms:W3CDTF">2014-03-08T08:43:00Z</dcterms:created>
  <dcterms:modified xsi:type="dcterms:W3CDTF">2014-03-08T08:46:00Z</dcterms:modified>
</cp:coreProperties>
</file>