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421" w:rsidRDefault="00FA491C" w:rsidP="00D35421">
      <w:pPr>
        <w:pStyle w:val="tables2"/>
      </w:pPr>
      <w:r>
        <w:t>S2 Table</w:t>
      </w:r>
      <w:bookmarkStart w:id="0" w:name="_GoBack"/>
      <w:bookmarkEnd w:id="0"/>
      <w:r w:rsidR="00D35421">
        <w:t>:</w:t>
      </w:r>
      <w:r w:rsidR="00D35421" w:rsidRPr="00177E4B">
        <w:t xml:space="preserve"> </w:t>
      </w:r>
      <w:r w:rsidR="00D35421">
        <w:t>Sensitivity analysis of d</w:t>
      </w:r>
      <w:r w:rsidR="00D35421" w:rsidRPr="00177E4B">
        <w:t xml:space="preserve">irect cost </w:t>
      </w:r>
      <w:r w:rsidR="00D35421">
        <w:t xml:space="preserve">estimate (2014 USD) </w:t>
      </w:r>
      <w:r w:rsidR="00D35421" w:rsidRPr="00177E4B">
        <w:t>of the</w:t>
      </w:r>
      <w:r w:rsidR="00D35421">
        <w:t xml:space="preserve"> acute phase of</w:t>
      </w:r>
      <w:r w:rsidR="00D35421" w:rsidRPr="00177E4B">
        <w:t xml:space="preserve"> </w:t>
      </w:r>
      <w:r w:rsidR="00D35421">
        <w:t xml:space="preserve">the </w:t>
      </w:r>
      <w:r w:rsidR="00D35421" w:rsidRPr="00177E4B">
        <w:t>CHIKV outbreak in the USVI</w:t>
      </w:r>
      <w:r w:rsidR="00D35421">
        <w:t xml:space="preserve"> where acute phase costs on St. Croix </w:t>
      </w:r>
      <w:proofErr w:type="gramStart"/>
      <w:r w:rsidR="00D35421">
        <w:t>are adjusted</w:t>
      </w:r>
      <w:proofErr w:type="gramEnd"/>
      <w:r w:rsidR="00D35421">
        <w:t xml:space="preserve"> by the relative costs of an average outpatient visits on St. Thomas and St. John.</w:t>
      </w:r>
    </w:p>
    <w:tbl>
      <w:tblPr>
        <w:tblStyle w:val="LightShading"/>
        <w:tblW w:w="14213" w:type="dxa"/>
        <w:jc w:val="center"/>
        <w:tblLayout w:type="fixed"/>
        <w:tblLook w:val="04A0" w:firstRow="1" w:lastRow="0" w:firstColumn="1" w:lastColumn="0" w:noHBand="0" w:noVBand="1"/>
      </w:tblPr>
      <w:tblGrid>
        <w:gridCol w:w="6743"/>
        <w:gridCol w:w="1260"/>
        <w:gridCol w:w="1350"/>
        <w:gridCol w:w="1080"/>
        <w:gridCol w:w="1260"/>
        <w:gridCol w:w="1350"/>
        <w:gridCol w:w="1170"/>
      </w:tblGrid>
      <w:tr w:rsidR="00D35421" w:rsidRPr="00A94730" w:rsidTr="002C7B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43" w:type="dxa"/>
            <w:tcBorders>
              <w:top w:val="single" w:sz="4" w:space="0" w:color="auto"/>
              <w:left w:val="single" w:sz="4" w:space="0" w:color="auto"/>
            </w:tcBorders>
            <w:noWrap/>
            <w:hideMark/>
          </w:tcPr>
          <w:p w:rsidR="00D35421" w:rsidRPr="00A94730" w:rsidRDefault="00D35421" w:rsidP="002C7B8E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auto"/>
            </w:tcBorders>
            <w:noWrap/>
            <w:vAlign w:val="center"/>
            <w:hideMark/>
          </w:tcPr>
          <w:p w:rsidR="00D35421" w:rsidRPr="00A94730" w:rsidRDefault="00D35421" w:rsidP="002C7B8E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A94730">
              <w:rPr>
                <w:rFonts w:ascii="Times New Roman" w:hAnsi="Times New Roman"/>
                <w:sz w:val="24"/>
              </w:rPr>
              <w:t>Outpatient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5421" w:rsidRPr="00A94730" w:rsidRDefault="00D35421" w:rsidP="002C7B8E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A94730">
              <w:rPr>
                <w:rFonts w:ascii="Times New Roman" w:hAnsi="Times New Roman"/>
                <w:sz w:val="24"/>
              </w:rPr>
              <w:t>Inpatient</w:t>
            </w:r>
          </w:p>
        </w:tc>
      </w:tr>
      <w:tr w:rsidR="00D35421" w:rsidRPr="00A94730" w:rsidTr="002C7B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4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D35421" w:rsidRPr="00A94730" w:rsidRDefault="00D35421" w:rsidP="002C7B8E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</w:tcBorders>
            <w:noWrap/>
            <w:vAlign w:val="center"/>
            <w:hideMark/>
          </w:tcPr>
          <w:p w:rsidR="00D35421" w:rsidRPr="00A94730" w:rsidRDefault="00D35421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A94730">
              <w:rPr>
                <w:rFonts w:ascii="Times New Roman" w:hAnsi="Times New Roman"/>
                <w:sz w:val="24"/>
              </w:rPr>
              <w:t>St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A94730">
              <w:rPr>
                <w:rFonts w:ascii="Times New Roman" w:hAnsi="Times New Roman"/>
                <w:sz w:val="24"/>
              </w:rPr>
              <w:t xml:space="preserve"> Croix</w:t>
            </w: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D35421" w:rsidRPr="00A94730" w:rsidRDefault="00D35421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A94730">
              <w:rPr>
                <w:rFonts w:ascii="Times New Roman" w:hAnsi="Times New Roman"/>
                <w:sz w:val="24"/>
              </w:rPr>
              <w:t>St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A94730">
              <w:rPr>
                <w:rFonts w:ascii="Times New Roman" w:hAnsi="Times New Roman"/>
                <w:sz w:val="24"/>
              </w:rPr>
              <w:t xml:space="preserve"> Thomas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5421" w:rsidRPr="00A94730" w:rsidRDefault="00D35421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A94730">
              <w:rPr>
                <w:rFonts w:ascii="Times New Roman" w:hAnsi="Times New Roman"/>
                <w:sz w:val="24"/>
              </w:rPr>
              <w:t>St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A94730">
              <w:rPr>
                <w:rFonts w:ascii="Times New Roman" w:hAnsi="Times New Roman"/>
                <w:sz w:val="24"/>
              </w:rPr>
              <w:t xml:space="preserve"> John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</w:tcBorders>
            <w:noWrap/>
            <w:vAlign w:val="center"/>
            <w:hideMark/>
          </w:tcPr>
          <w:p w:rsidR="00D35421" w:rsidRPr="00A94730" w:rsidRDefault="00D35421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A94730">
              <w:rPr>
                <w:rFonts w:ascii="Times New Roman" w:hAnsi="Times New Roman"/>
                <w:sz w:val="24"/>
              </w:rPr>
              <w:t>St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A94730">
              <w:rPr>
                <w:rFonts w:ascii="Times New Roman" w:hAnsi="Times New Roman"/>
                <w:sz w:val="24"/>
              </w:rPr>
              <w:t xml:space="preserve"> Croix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D35421" w:rsidRPr="00A94730" w:rsidRDefault="00D35421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A94730">
              <w:rPr>
                <w:rFonts w:ascii="Times New Roman" w:hAnsi="Times New Roman"/>
                <w:sz w:val="24"/>
              </w:rPr>
              <w:t>St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A94730">
              <w:rPr>
                <w:rFonts w:ascii="Times New Roman" w:hAnsi="Times New Roman"/>
                <w:sz w:val="24"/>
              </w:rPr>
              <w:t xml:space="preserve"> Thomas</w:t>
            </w:r>
          </w:p>
        </w:tc>
        <w:tc>
          <w:tcPr>
            <w:tcW w:w="1170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5421" w:rsidRPr="00A94730" w:rsidRDefault="00D35421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A94730">
              <w:rPr>
                <w:rFonts w:ascii="Times New Roman" w:hAnsi="Times New Roman"/>
                <w:sz w:val="24"/>
              </w:rPr>
              <w:t>St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A94730">
              <w:rPr>
                <w:rFonts w:ascii="Times New Roman" w:hAnsi="Times New Roman"/>
                <w:sz w:val="24"/>
              </w:rPr>
              <w:t xml:space="preserve"> John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</w:tr>
      <w:tr w:rsidR="00D35421" w:rsidRPr="00A94730" w:rsidTr="002C7B8E">
        <w:trPr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4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5421" w:rsidRPr="001B59E8" w:rsidRDefault="00D35421" w:rsidP="002C7B8E">
            <w:pPr>
              <w:spacing w:line="240" w:lineRule="auto"/>
              <w:rPr>
                <w:rFonts w:ascii="Times New Roman" w:hAnsi="Times New Roman"/>
                <w:b w:val="0"/>
                <w:sz w:val="24"/>
              </w:rPr>
            </w:pPr>
            <w:r w:rsidRPr="001B59E8">
              <w:rPr>
                <w:rFonts w:ascii="Times New Roman" w:hAnsi="Times New Roman"/>
                <w:b w:val="0"/>
                <w:sz w:val="24"/>
              </w:rPr>
              <w:t>Mean cost of an outpatient healthcare visit ($)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D35421" w:rsidRPr="00A94730" w:rsidRDefault="00D35421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A94730">
              <w:rPr>
                <w:rFonts w:ascii="Times New Roman" w:hAnsi="Times New Roman"/>
                <w:sz w:val="24"/>
              </w:rPr>
              <w:t>1,526.21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D35421" w:rsidRPr="00A94730" w:rsidRDefault="00D35421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A94730">
              <w:rPr>
                <w:rFonts w:ascii="Times New Roman" w:hAnsi="Times New Roman"/>
                <w:sz w:val="24"/>
              </w:rPr>
              <w:t>763.11</w:t>
            </w:r>
          </w:p>
        </w:tc>
        <w:tc>
          <w:tcPr>
            <w:tcW w:w="1080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5421" w:rsidRPr="00A94730" w:rsidRDefault="00D35421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A94730">
              <w:rPr>
                <w:rFonts w:ascii="Times New Roman" w:hAnsi="Times New Roman"/>
                <w:sz w:val="24"/>
              </w:rPr>
              <w:t>595.22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D35421" w:rsidRPr="00A94730" w:rsidRDefault="00D35421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A94730">
              <w:rPr>
                <w:rFonts w:ascii="Times New Roman" w:hAnsi="Times New Roman"/>
                <w:sz w:val="24"/>
              </w:rPr>
              <w:t>16,982.73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:rsidR="00D35421" w:rsidRPr="00A94730" w:rsidRDefault="00D35421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A94730"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,</w:t>
            </w:r>
            <w:r w:rsidRPr="00A94730">
              <w:rPr>
                <w:rFonts w:ascii="Times New Roman" w:hAnsi="Times New Roman"/>
                <w:sz w:val="24"/>
              </w:rPr>
              <w:t>491.37</w:t>
            </w:r>
          </w:p>
        </w:tc>
        <w:tc>
          <w:tcPr>
            <w:tcW w:w="1170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5421" w:rsidRPr="00A94730" w:rsidRDefault="00D35421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A94730">
              <w:rPr>
                <w:rFonts w:ascii="Times New Roman" w:hAnsi="Times New Roman"/>
                <w:sz w:val="24"/>
              </w:rPr>
              <w:t>-</w:t>
            </w:r>
          </w:p>
        </w:tc>
      </w:tr>
      <w:tr w:rsidR="00D35421" w:rsidRPr="00A94730" w:rsidTr="002C7B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4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5421" w:rsidRPr="001B59E8" w:rsidRDefault="00D35421" w:rsidP="002C7B8E">
            <w:pPr>
              <w:spacing w:line="240" w:lineRule="auto"/>
              <w:rPr>
                <w:rFonts w:ascii="Times New Roman" w:hAnsi="Times New Roman"/>
                <w:b w:val="0"/>
                <w:sz w:val="24"/>
              </w:rPr>
            </w:pPr>
            <w:r w:rsidRPr="001B59E8">
              <w:rPr>
                <w:rFonts w:ascii="Times New Roman" w:hAnsi="Times New Roman"/>
                <w:b w:val="0"/>
                <w:sz w:val="24"/>
              </w:rPr>
              <w:t xml:space="preserve">Total number of outpatient </w:t>
            </w:r>
            <w:r>
              <w:rPr>
                <w:rFonts w:ascii="Times New Roman" w:hAnsi="Times New Roman"/>
                <w:b w:val="0"/>
                <w:sz w:val="24"/>
              </w:rPr>
              <w:t>reported suspected</w:t>
            </w:r>
            <w:r w:rsidRPr="001B59E8">
              <w:rPr>
                <w:rFonts w:ascii="Times New Roman" w:hAnsi="Times New Roman"/>
                <w:b w:val="0"/>
                <w:sz w:val="24"/>
              </w:rPr>
              <w:t xml:space="preserve"> cases</w:t>
            </w:r>
            <w:r>
              <w:rPr>
                <w:rFonts w:ascii="Times New Roman" w:hAnsi="Times New Roman"/>
                <w:b w:val="0"/>
                <w:sz w:val="24"/>
              </w:rPr>
              <w:t xml:space="preserve"> </w:t>
            </w:r>
            <w:r w:rsidRPr="00F743D1">
              <w:rPr>
                <w:rFonts w:ascii="Times New Roman" w:hAnsi="Times New Roman"/>
                <w:b w:val="0"/>
                <w:bCs w:val="0"/>
                <w:sz w:val="24"/>
              </w:rPr>
              <w:t>* 70% of suspected not-tested cases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D35421" w:rsidRPr="00A94730" w:rsidRDefault="00D35421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498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D35421" w:rsidRPr="00A94730" w:rsidRDefault="00D35421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757</w:t>
            </w:r>
          </w:p>
        </w:tc>
        <w:tc>
          <w:tcPr>
            <w:tcW w:w="1080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5421" w:rsidRPr="00A94730" w:rsidRDefault="00D35421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D35421" w:rsidRPr="00A94730" w:rsidRDefault="00D35421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D35421" w:rsidRPr="00A94730" w:rsidRDefault="00D35421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170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5421" w:rsidRPr="00A94730" w:rsidRDefault="00D35421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A94730">
              <w:rPr>
                <w:rFonts w:ascii="Times New Roman" w:hAnsi="Times New Roman"/>
                <w:sz w:val="24"/>
              </w:rPr>
              <w:t>0</w:t>
            </w:r>
          </w:p>
        </w:tc>
      </w:tr>
      <w:tr w:rsidR="00D35421" w:rsidRPr="00A94730" w:rsidTr="002C7B8E">
        <w:trPr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4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5421" w:rsidRPr="001B59E8" w:rsidRDefault="00D35421" w:rsidP="002C7B8E">
            <w:pPr>
              <w:spacing w:line="240" w:lineRule="auto"/>
              <w:rPr>
                <w:rFonts w:ascii="Times New Roman" w:hAnsi="Times New Roman"/>
                <w:b w:val="0"/>
                <w:sz w:val="24"/>
              </w:rPr>
            </w:pPr>
            <w:r w:rsidRPr="001B59E8">
              <w:rPr>
                <w:rFonts w:ascii="Times New Roman" w:hAnsi="Times New Roman"/>
                <w:b w:val="0"/>
                <w:sz w:val="24"/>
              </w:rPr>
              <w:t>Total cost of outpatient visits related to CHIKV ($)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</w:tcBorders>
            <w:noWrap/>
            <w:vAlign w:val="center"/>
            <w:hideMark/>
          </w:tcPr>
          <w:p w:rsidR="00D35421" w:rsidRPr="00A94730" w:rsidRDefault="00D35421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760,053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D35421" w:rsidRPr="00A94730" w:rsidRDefault="00D35421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577,674</w:t>
            </w:r>
          </w:p>
        </w:tc>
        <w:tc>
          <w:tcPr>
            <w:tcW w:w="1080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5421" w:rsidRPr="00A94730" w:rsidRDefault="00D35421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23,809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D35421" w:rsidRPr="00A94730" w:rsidRDefault="00D35421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577,413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:rsidR="00D35421" w:rsidRPr="00A94730" w:rsidRDefault="00D35421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178,319</w:t>
            </w:r>
          </w:p>
        </w:tc>
        <w:tc>
          <w:tcPr>
            <w:tcW w:w="1170" w:type="dxa"/>
            <w:tcBorders>
              <w:top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35421" w:rsidRPr="00A94730" w:rsidRDefault="00D35421" w:rsidP="002C7B8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A94730">
              <w:rPr>
                <w:rFonts w:ascii="Times New Roman" w:hAnsi="Times New Roman"/>
                <w:sz w:val="24"/>
              </w:rPr>
              <w:t>0</w:t>
            </w:r>
          </w:p>
        </w:tc>
      </w:tr>
      <w:tr w:rsidR="00D35421" w:rsidRPr="00A94730" w:rsidTr="002C7B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421" w:rsidRPr="001B59E8" w:rsidRDefault="00D35421" w:rsidP="002C7B8E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1B59E8">
              <w:rPr>
                <w:rFonts w:ascii="Times New Roman" w:hAnsi="Times New Roman"/>
                <w:sz w:val="24"/>
              </w:rPr>
              <w:t>Total cost of outpatient &amp; inpatient visits related to CHIKV ($)</w:t>
            </w:r>
          </w:p>
        </w:tc>
        <w:tc>
          <w:tcPr>
            <w:tcW w:w="74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5421" w:rsidRPr="00A94730" w:rsidRDefault="00D35421" w:rsidP="002C7B8E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2,117,300</w:t>
            </w:r>
          </w:p>
        </w:tc>
      </w:tr>
    </w:tbl>
    <w:p w:rsidR="00D35421" w:rsidRDefault="00D35421" w:rsidP="00D35421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</w:t>
      </w:r>
      <w:r w:rsidRPr="006F2040">
        <w:rPr>
          <w:rFonts w:ascii="Times New Roman" w:hAnsi="Times New Roman" w:cs="Times New Roman"/>
          <w:sz w:val="24"/>
          <w:szCs w:val="24"/>
        </w:rPr>
        <w:t xml:space="preserve"> </w:t>
      </w:r>
      <w:r w:rsidRPr="008A225B">
        <w:rPr>
          <w:rFonts w:ascii="Times New Roman" w:hAnsi="Times New Roman" w:cs="Times New Roman"/>
          <w:sz w:val="24"/>
          <w:szCs w:val="24"/>
        </w:rPr>
        <w:t xml:space="preserve">Myra Keating Community Health Center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/>
          <w:sz w:val="24"/>
        </w:rPr>
        <w:t xml:space="preserve">MKCHC) does not have inpatient facilities. All individuals needing inpatient services </w:t>
      </w:r>
      <w:proofErr w:type="gramStart"/>
      <w:r>
        <w:rPr>
          <w:rFonts w:ascii="Times New Roman" w:hAnsi="Times New Roman"/>
          <w:sz w:val="24"/>
        </w:rPr>
        <w:t>were transported</w:t>
      </w:r>
      <w:proofErr w:type="gramEnd"/>
      <w:r>
        <w:rPr>
          <w:rFonts w:ascii="Times New Roman" w:hAnsi="Times New Roman"/>
          <w:sz w:val="24"/>
        </w:rPr>
        <w:t xml:space="preserve"> to Schneider Regional Medical Center (</w:t>
      </w:r>
      <w:r w:rsidRPr="008A225B">
        <w:rPr>
          <w:rFonts w:ascii="Times New Roman" w:hAnsi="Times New Roman" w:cs="Times New Roman"/>
          <w:sz w:val="24"/>
          <w:szCs w:val="24"/>
          <w:shd w:val="clear" w:color="auto" w:fill="FFFFFF"/>
        </w:rPr>
        <w:t>SMRC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>
        <w:rPr>
          <w:rFonts w:ascii="Times New Roman" w:hAnsi="Times New Roman"/>
          <w:sz w:val="24"/>
        </w:rPr>
        <w:t xml:space="preserve"> on St. Thomas.</w:t>
      </w:r>
    </w:p>
    <w:p w:rsidR="00D35421" w:rsidRPr="00EF3066" w:rsidRDefault="00D35421" w:rsidP="00D35421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Note: Total cost estimate </w:t>
      </w:r>
      <w:proofErr w:type="gramStart"/>
      <w:r>
        <w:rPr>
          <w:rFonts w:ascii="Times New Roman" w:hAnsi="Times New Roman"/>
          <w:sz w:val="24"/>
        </w:rPr>
        <w:t>was rounded</w:t>
      </w:r>
      <w:proofErr w:type="gramEnd"/>
      <w:r>
        <w:rPr>
          <w:rFonts w:ascii="Times New Roman" w:hAnsi="Times New Roman"/>
          <w:sz w:val="24"/>
        </w:rPr>
        <w:t xml:space="preserve"> to the nearest hundred.</w:t>
      </w:r>
    </w:p>
    <w:p w:rsidR="00FC70C6" w:rsidRDefault="00FC70C6"/>
    <w:sectPr w:rsidR="00FC70C6" w:rsidSect="00D35421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421"/>
    <w:rsid w:val="00D26908"/>
    <w:rsid w:val="00D35421"/>
    <w:rsid w:val="00FA491C"/>
    <w:rsid w:val="00FC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95936"/>
  <w15:chartTrackingRefBased/>
  <w15:docId w15:val="{2ADD4DC9-EB19-45E9-AC54-84B436E47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421"/>
    <w:pPr>
      <w:spacing w:line="480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D35421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tables2">
    <w:name w:val="tables2"/>
    <w:basedOn w:val="Normal"/>
    <w:link w:val="tables2Char"/>
    <w:qFormat/>
    <w:rsid w:val="00D3542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ables2Char">
    <w:name w:val="tables2 Char"/>
    <w:basedOn w:val="DefaultParagraphFont"/>
    <w:link w:val="tables2"/>
    <w:rsid w:val="00D35421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Feldstein, Leora (CDC/DDPHSIS/CGH/GID)</dc:creator>
  <cp:keywords/>
  <dc:description/>
  <cp:lastModifiedBy>Feldstein, Leora (CDC/DDID/NCIRD/ID)</cp:lastModifiedBy>
  <cp:revision>2</cp:revision>
  <dcterms:created xsi:type="dcterms:W3CDTF">2019-06-25T23:28:00Z</dcterms:created>
  <dcterms:modified xsi:type="dcterms:W3CDTF">2019-07-03T18:22:00Z</dcterms:modified>
</cp:coreProperties>
</file>