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521" w:rsidRDefault="00971521" w:rsidP="00971521">
      <w:pPr>
        <w:spacing w:after="0" w:line="240" w:lineRule="auto"/>
        <w:rPr>
          <w:rFonts w:ascii="Times New Roman" w:hAnsi="Times New Roman"/>
          <w:b/>
          <w:sz w:val="24"/>
          <w:szCs w:val="24"/>
          <w:lang w:val="en-US"/>
        </w:rPr>
      </w:pPr>
      <w:r>
        <w:rPr>
          <w:rFonts w:ascii="Times New Roman" w:hAnsi="Times New Roman"/>
          <w:b/>
          <w:sz w:val="24"/>
          <w:szCs w:val="24"/>
          <w:lang w:val="en-US"/>
        </w:rPr>
        <w:t>Appendix S2:</w:t>
      </w:r>
      <w:r w:rsidRPr="005D0B5D">
        <w:rPr>
          <w:rFonts w:ascii="Times New Roman" w:hAnsi="Times New Roman"/>
          <w:b/>
          <w:sz w:val="24"/>
          <w:szCs w:val="24"/>
          <w:lang w:val="en-US"/>
        </w:rPr>
        <w:t xml:space="preserve"> </w:t>
      </w:r>
      <w:r>
        <w:rPr>
          <w:rFonts w:ascii="Times New Roman" w:hAnsi="Times New Roman"/>
          <w:b/>
          <w:sz w:val="24"/>
          <w:szCs w:val="24"/>
          <w:lang w:val="en-US"/>
        </w:rPr>
        <w:t>Model selection of age classes, cohort effects, seasonal effects and sex effects</w:t>
      </w:r>
    </w:p>
    <w:p w:rsidR="00971521" w:rsidRDefault="00971521" w:rsidP="00971521">
      <w:pPr>
        <w:spacing w:after="0" w:line="240" w:lineRule="auto"/>
        <w:rPr>
          <w:rFonts w:ascii="Times New Roman" w:hAnsi="Times New Roman"/>
          <w:b/>
          <w:sz w:val="24"/>
          <w:szCs w:val="24"/>
          <w:lang w:val="en-US"/>
        </w:rPr>
      </w:pPr>
    </w:p>
    <w:p w:rsidR="00971521" w:rsidRDefault="00971521" w:rsidP="00971521">
      <w:pPr>
        <w:spacing w:line="480" w:lineRule="auto"/>
        <w:rPr>
          <w:rFonts w:ascii="Times New Roman" w:hAnsi="Times New Roman"/>
          <w:sz w:val="24"/>
          <w:szCs w:val="24"/>
          <w:lang w:val="en-US"/>
        </w:rPr>
      </w:pPr>
      <w:r>
        <w:rPr>
          <w:rFonts w:ascii="Times New Roman" w:hAnsi="Times New Roman"/>
          <w:sz w:val="24"/>
          <w:szCs w:val="24"/>
          <w:lang w:val="en-US"/>
        </w:rPr>
        <w:t>The optimal age classes were to combine the first 4 seasons after fledging for survival (first two years of age, hereafter referred to as juveniles) and to separate the first season (post-fledging dispersal) from subsequent seasons (adult movement) for movement probability  and movement destination probability (model 4; Table S3). A model without a cohort effect for post-fledging dispersal (model 10;</w:t>
      </w:r>
      <w:r w:rsidRPr="005C194F">
        <w:rPr>
          <w:rFonts w:ascii="Times New Roman" w:hAnsi="Times New Roman"/>
          <w:sz w:val="24"/>
          <w:szCs w:val="24"/>
          <w:lang w:val="en-US"/>
        </w:rPr>
        <w:t xml:space="preserve"> </w:t>
      </w:r>
      <w:r>
        <w:rPr>
          <w:rFonts w:ascii="Times New Roman" w:hAnsi="Times New Roman"/>
          <w:sz w:val="24"/>
          <w:szCs w:val="24"/>
          <w:lang w:val="en-US"/>
        </w:rPr>
        <w:t xml:space="preserve">Table S3) was better supported than a model with a cohort effect for post-fledging dispersal (model 4;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=4.58;</w:t>
      </w:r>
      <w:r w:rsidRPr="005C194F">
        <w:rPr>
          <w:rFonts w:ascii="Times New Roman" w:hAnsi="Times New Roman"/>
          <w:sz w:val="24"/>
          <w:szCs w:val="24"/>
          <w:lang w:val="en-US"/>
        </w:rPr>
        <w:t xml:space="preserve"> </w:t>
      </w:r>
      <w:r>
        <w:rPr>
          <w:rFonts w:ascii="Times New Roman" w:hAnsi="Times New Roman"/>
          <w:sz w:val="24"/>
          <w:szCs w:val="24"/>
          <w:lang w:val="en-US"/>
        </w:rPr>
        <w:t>Table S3). In addition a model without a seasonal effect (winter/summer) for adult movement destination (model 8;</w:t>
      </w:r>
      <w:r w:rsidRPr="005C194F">
        <w:rPr>
          <w:rFonts w:ascii="Times New Roman" w:hAnsi="Times New Roman"/>
          <w:sz w:val="24"/>
          <w:szCs w:val="24"/>
          <w:lang w:val="en-US"/>
        </w:rPr>
        <w:t xml:space="preserve"> </w:t>
      </w:r>
      <w:r>
        <w:rPr>
          <w:rFonts w:ascii="Times New Roman" w:hAnsi="Times New Roman"/>
          <w:sz w:val="24"/>
          <w:szCs w:val="24"/>
          <w:lang w:val="en-US"/>
        </w:rPr>
        <w:t xml:space="preserve">Table S3) was better supported than a model with this effect (model 4;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=2.96;</w:t>
      </w:r>
      <w:r w:rsidRPr="005C194F">
        <w:rPr>
          <w:rFonts w:ascii="Times New Roman" w:hAnsi="Times New Roman"/>
          <w:sz w:val="24"/>
          <w:szCs w:val="24"/>
          <w:lang w:val="en-US"/>
        </w:rPr>
        <w:t xml:space="preserve"> </w:t>
      </w:r>
      <w:r>
        <w:rPr>
          <w:rFonts w:ascii="Times New Roman" w:hAnsi="Times New Roman"/>
          <w:sz w:val="24"/>
          <w:szCs w:val="24"/>
          <w:lang w:val="en-US"/>
        </w:rPr>
        <w:t>Table S3). Therefore a model without the cohort effect for juvenile survival and seasonal effect for movement destination (model 13;</w:t>
      </w:r>
      <w:r w:rsidRPr="005C194F">
        <w:rPr>
          <w:rFonts w:ascii="Times New Roman" w:hAnsi="Times New Roman"/>
          <w:sz w:val="24"/>
          <w:szCs w:val="24"/>
          <w:lang w:val="en-US"/>
        </w:rPr>
        <w:t xml:space="preserve"> </w:t>
      </w:r>
      <w:r>
        <w:rPr>
          <w:rFonts w:ascii="Times New Roman" w:hAnsi="Times New Roman"/>
          <w:sz w:val="24"/>
          <w:szCs w:val="24"/>
          <w:lang w:val="en-US"/>
        </w:rPr>
        <w:t xml:space="preserve">Table S3) had a lower </w:t>
      </w:r>
      <w:proofErr w:type="spellStart"/>
      <w:r>
        <w:rPr>
          <w:rFonts w:ascii="Times New Roman" w:hAnsi="Times New Roman"/>
          <w:sz w:val="24"/>
          <w:szCs w:val="24"/>
          <w:lang w:val="en-US"/>
        </w:rPr>
        <w:t>QAICc</w:t>
      </w:r>
      <w:proofErr w:type="spellEnd"/>
      <w:r>
        <w:rPr>
          <w:rFonts w:ascii="Times New Roman" w:hAnsi="Times New Roman"/>
          <w:sz w:val="24"/>
          <w:szCs w:val="24"/>
          <w:lang w:val="en-US"/>
        </w:rPr>
        <w:t xml:space="preserve"> than a model with both of these effects (model 4;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=7.51; Table S3). A model which tested for sex dependent post-fledging dispersal (models 14;</w:t>
      </w:r>
      <w:r w:rsidRPr="005C194F">
        <w:rPr>
          <w:rFonts w:ascii="Times New Roman" w:hAnsi="Times New Roman"/>
          <w:sz w:val="24"/>
          <w:szCs w:val="24"/>
          <w:lang w:val="en-US"/>
        </w:rPr>
        <w:t xml:space="preserve"> </w:t>
      </w:r>
      <w:r>
        <w:rPr>
          <w:rFonts w:ascii="Times New Roman" w:hAnsi="Times New Roman"/>
          <w:sz w:val="24"/>
          <w:szCs w:val="24"/>
          <w:lang w:val="en-US"/>
        </w:rPr>
        <w:t xml:space="preserve">Table S3) was equivalent to a model without a sex effect </w:t>
      </w:r>
      <w:r>
        <w:rPr>
          <w:rFonts w:ascii="Times New Roman" w:hAnsi="Times New Roman"/>
          <w:sz w:val="24"/>
          <w:szCs w:val="24"/>
          <w:lang w:val="en-GB"/>
        </w:rPr>
        <w:t>(</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=-0.88).</w:t>
      </w:r>
    </w:p>
    <w:p w:rsidR="00971521" w:rsidRPr="00EE7691" w:rsidRDefault="00971521" w:rsidP="00971521">
      <w:pPr>
        <w:spacing w:line="480" w:lineRule="auto"/>
        <w:ind w:firstLine="720"/>
        <w:rPr>
          <w:rFonts w:ascii="Times New Roman" w:hAnsi="Times New Roman"/>
          <w:sz w:val="24"/>
          <w:szCs w:val="24"/>
          <w:lang w:val="en-GB"/>
        </w:rPr>
      </w:pPr>
      <w:r w:rsidRPr="00C21082">
        <w:rPr>
          <w:rFonts w:ascii="Times New Roman" w:hAnsi="Times New Roman"/>
          <w:sz w:val="24"/>
          <w:szCs w:val="24"/>
        </w:rPr>
        <w:t>Sanz-</w:t>
      </w:r>
      <w:proofErr w:type="spellStart"/>
      <w:r w:rsidRPr="00C21082">
        <w:rPr>
          <w:rFonts w:ascii="Times New Roman" w:hAnsi="Times New Roman"/>
          <w:sz w:val="24"/>
          <w:szCs w:val="24"/>
        </w:rPr>
        <w:t>Aguilar</w:t>
      </w:r>
      <w:proofErr w:type="spellEnd"/>
      <w:r w:rsidRPr="00C21082">
        <w:rPr>
          <w:rFonts w:ascii="Times New Roman" w:hAnsi="Times New Roman"/>
          <w:sz w:val="24"/>
          <w:szCs w:val="24"/>
        </w:rPr>
        <w:t xml:space="preserve"> </w:t>
      </w:r>
      <w:r w:rsidRPr="00C21082">
        <w:rPr>
          <w:rFonts w:ascii="Times New Roman" w:hAnsi="Times New Roman"/>
          <w:i/>
          <w:iCs/>
          <w:sz w:val="24"/>
          <w:szCs w:val="24"/>
        </w:rPr>
        <w:t xml:space="preserve">et al. </w:t>
      </w:r>
      <w:r>
        <w:rPr>
          <w:rFonts w:ascii="Times New Roman" w:hAnsi="Times New Roman"/>
          <w:sz w:val="24"/>
          <w:szCs w:val="24"/>
          <w:lang w:val="en-US"/>
        </w:rPr>
        <w:fldChar w:fldCharType="begin"/>
      </w:r>
      <w:r w:rsidRPr="00C21082">
        <w:rPr>
          <w:rFonts w:ascii="Times New Roman" w:hAnsi="Times New Roman"/>
          <w:sz w:val="24"/>
          <w:szCs w:val="24"/>
        </w:rPr>
        <w:instrText xml:space="preserve"> ADDIN ZOTERO_ITEM CSL_CITATION {"citationID":"Lw2bzBDH","properties":{"formattedCitation":"(2012)","plainCitation":"(2012)"},"citationItems":[{"id":672,"uris":["http://zotero.org/users/1341740/items/VMJKTTBF"],"uri":["http://zotero.org/users/1341740/items/VMJKTTBF"],"itemData":{"id":672,"type":"article-journal","title":"To leave or not to leave: survival trade-offs between different migratory strategies in the greater flamingo","container-title":"Journal of Animal Ecology","page":"1171–1182","volume":"81","issue":"6","source":"Wiley Online Library","abstract":"1. The balance between costs and benefits of migration under different environmental, density-dependent and individual conditions may promote a broad range of migratory behaviours. We studied the factors influencing first-year migration and subsequent fidelity or dispersal among wintering areas, and the survival costs of different wintering behaviours in the greater flamingo (Phoenicopterus roseus).2. We analysed by multievent capture–recapture modelling among-site dispersal/fidelity and site-dependent survival probabilities from 22 671 flamingos ringed in the Camargue (France) between 1977 and 2010 and resighted subsequently in their wintering grounds classified as France, Iberian Peninsula, Italy and North Africa.3. We found that first- and second-year birds either resident or wintering at medium distances from their birth place, survived better than those wintering further afield. However, under severe winter conditions (extremely cold winter 1984–1985), individuals with the sedentary strategy suffered the highest levels of mortality. From the third winter onwards, the pattern of survival reversed: the long-distance wintering individuals (i.e. North Africa) survived better.4. The proportion of first-year birds migrating for wint</w:instrText>
      </w:r>
      <w:r w:rsidRPr="00971521">
        <w:rPr>
          <w:rFonts w:ascii="Times New Roman" w:hAnsi="Times New Roman"/>
          <w:sz w:val="24"/>
          <w:szCs w:val="24"/>
        </w:rPr>
        <w:instrText xml:space="preserve">ering was highly variable among cohorts and increased with favourable environmental conditions (wet years). After the first winter, birds showed high fidelity (&gt;90%) to their previous wintering area and wintered preferably near their natal colony when they became adults (&gt;2 years).5. Survival estimates suggest that long-distance migration was costly for young and inexperienced individuals. Nonetheless, for adults, the most southern wintering areas seem to offer the most favourable local conditions for overwinter survival.6. The higher availability of intermediate stopover sites during wet years may facilitate first-year migration. Then, once they have some wintering experience, flamingos appear to favour the known wintering grounds. As they grow older, dispersing towards the vicinity of the natal colony may provide higher breeding prospects for individuals wintering closer to this high-quality and saturated breeding ground, as predicted by the arrival-time hypothesis.","DOI":"10.1111/j.1365-2656.2012.01997.x","ISSN":"1365-2656","shortTitle":"To leave or not to leave","language":"en","author":[{"family":"Sanz-Aguilar","given":"Ana"},{"family":"Béchet","given":"Arnaud"},{"family":"Germain","given":"Christophe"},{"family":"Johnson","given":"Alan R."},{"family":"Pradel","given":"Roger"}],"issued":{"date-parts":[["2012"]]},"accessed":{"date-parts":[["2013",3,20]]}},"suppress-author":true}],"schema":"https://github.com/citation-style-language/schema/raw/master/csl-citation.json"} </w:instrText>
      </w:r>
      <w:r>
        <w:rPr>
          <w:rFonts w:ascii="Times New Roman" w:hAnsi="Times New Roman"/>
          <w:sz w:val="24"/>
          <w:szCs w:val="24"/>
          <w:lang w:val="en-US"/>
        </w:rPr>
        <w:fldChar w:fldCharType="separate"/>
      </w:r>
      <w:r w:rsidRPr="00971521">
        <w:rPr>
          <w:rFonts w:ascii="Times New Roman" w:hAnsi="Times New Roman"/>
          <w:sz w:val="24"/>
        </w:rPr>
        <w:t>(2012)</w:t>
      </w:r>
      <w:r>
        <w:rPr>
          <w:rFonts w:ascii="Times New Roman" w:hAnsi="Times New Roman"/>
          <w:sz w:val="24"/>
          <w:szCs w:val="24"/>
          <w:lang w:val="en-US"/>
        </w:rPr>
        <w:fldChar w:fldCharType="end"/>
      </w:r>
      <w:r w:rsidRPr="00971521">
        <w:rPr>
          <w:rFonts w:ascii="Times New Roman" w:hAnsi="Times New Roman"/>
          <w:sz w:val="24"/>
          <w:szCs w:val="24"/>
        </w:rPr>
        <w:t xml:space="preserve"> </w:t>
      </w:r>
      <w:proofErr w:type="spellStart"/>
      <w:r w:rsidRPr="00971521">
        <w:rPr>
          <w:rFonts w:ascii="Times New Roman" w:hAnsi="Times New Roman"/>
          <w:sz w:val="24"/>
          <w:szCs w:val="24"/>
        </w:rPr>
        <w:t>found</w:t>
      </w:r>
      <w:proofErr w:type="spellEnd"/>
      <w:r w:rsidRPr="00971521">
        <w:rPr>
          <w:rFonts w:ascii="Times New Roman" w:hAnsi="Times New Roman"/>
          <w:sz w:val="24"/>
          <w:szCs w:val="24"/>
        </w:rPr>
        <w:t xml:space="preserve"> </w:t>
      </w:r>
      <w:proofErr w:type="spellStart"/>
      <w:r w:rsidRPr="00971521">
        <w:rPr>
          <w:rFonts w:ascii="Times New Roman" w:hAnsi="Times New Roman"/>
          <w:sz w:val="24"/>
          <w:szCs w:val="24"/>
        </w:rPr>
        <w:t>that</w:t>
      </w:r>
      <w:proofErr w:type="spellEnd"/>
      <w:r w:rsidRPr="00971521">
        <w:rPr>
          <w:rFonts w:ascii="Times New Roman" w:hAnsi="Times New Roman"/>
          <w:sz w:val="24"/>
          <w:szCs w:val="24"/>
        </w:rPr>
        <w:t xml:space="preserve"> </w:t>
      </w:r>
      <w:proofErr w:type="spellStart"/>
      <w:r w:rsidRPr="00971521">
        <w:rPr>
          <w:rFonts w:ascii="Times New Roman" w:hAnsi="Times New Roman"/>
          <w:sz w:val="24"/>
          <w:szCs w:val="24"/>
        </w:rPr>
        <w:t>juvenile</w:t>
      </w:r>
      <w:proofErr w:type="spellEnd"/>
      <w:r w:rsidRPr="00971521">
        <w:rPr>
          <w:rFonts w:ascii="Times New Roman" w:hAnsi="Times New Roman"/>
          <w:sz w:val="24"/>
          <w:szCs w:val="24"/>
        </w:rPr>
        <w:t xml:space="preserve"> long-distance </w:t>
      </w:r>
      <w:proofErr w:type="spellStart"/>
      <w:r w:rsidRPr="00971521">
        <w:rPr>
          <w:rFonts w:ascii="Times New Roman" w:hAnsi="Times New Roman"/>
          <w:sz w:val="24"/>
          <w:szCs w:val="24"/>
        </w:rPr>
        <w:t>dispersers</w:t>
      </w:r>
      <w:proofErr w:type="spellEnd"/>
      <w:r w:rsidRPr="00971521">
        <w:rPr>
          <w:rFonts w:ascii="Times New Roman" w:hAnsi="Times New Roman"/>
          <w:sz w:val="24"/>
          <w:szCs w:val="24"/>
        </w:rPr>
        <w:t xml:space="preserve"> (AF) </w:t>
      </w:r>
      <w:proofErr w:type="spellStart"/>
      <w:r w:rsidRPr="00971521">
        <w:rPr>
          <w:rFonts w:ascii="Times New Roman" w:hAnsi="Times New Roman"/>
          <w:sz w:val="24"/>
          <w:szCs w:val="24"/>
        </w:rPr>
        <w:t>had</w:t>
      </w:r>
      <w:proofErr w:type="spellEnd"/>
      <w:r w:rsidRPr="00971521">
        <w:rPr>
          <w:rFonts w:ascii="Times New Roman" w:hAnsi="Times New Roman"/>
          <w:sz w:val="24"/>
          <w:szCs w:val="24"/>
        </w:rPr>
        <w:t xml:space="preserve"> </w:t>
      </w:r>
      <w:proofErr w:type="spellStart"/>
      <w:r w:rsidRPr="00971521">
        <w:rPr>
          <w:rFonts w:ascii="Times New Roman" w:hAnsi="Times New Roman"/>
          <w:sz w:val="24"/>
          <w:szCs w:val="24"/>
        </w:rPr>
        <w:t>lower</w:t>
      </w:r>
      <w:proofErr w:type="spellEnd"/>
      <w:r w:rsidRPr="00971521">
        <w:rPr>
          <w:rFonts w:ascii="Times New Roman" w:hAnsi="Times New Roman"/>
          <w:sz w:val="24"/>
          <w:szCs w:val="24"/>
        </w:rPr>
        <w:t xml:space="preserve"> </w:t>
      </w:r>
      <w:proofErr w:type="spellStart"/>
      <w:r w:rsidRPr="00971521">
        <w:rPr>
          <w:rFonts w:ascii="Times New Roman" w:hAnsi="Times New Roman"/>
          <w:sz w:val="24"/>
          <w:szCs w:val="24"/>
        </w:rPr>
        <w:t>survival</w:t>
      </w:r>
      <w:proofErr w:type="spellEnd"/>
      <w:r w:rsidRPr="00971521">
        <w:rPr>
          <w:rFonts w:ascii="Times New Roman" w:hAnsi="Times New Roman"/>
          <w:sz w:val="24"/>
          <w:szCs w:val="24"/>
        </w:rPr>
        <w:t xml:space="preserve"> </w:t>
      </w:r>
      <w:proofErr w:type="spellStart"/>
      <w:r w:rsidRPr="00971521">
        <w:rPr>
          <w:rFonts w:ascii="Times New Roman" w:hAnsi="Times New Roman"/>
          <w:sz w:val="24"/>
          <w:szCs w:val="24"/>
        </w:rPr>
        <w:t>than</w:t>
      </w:r>
      <w:proofErr w:type="spellEnd"/>
      <w:r w:rsidRPr="00971521">
        <w:rPr>
          <w:rFonts w:ascii="Times New Roman" w:hAnsi="Times New Roman"/>
          <w:sz w:val="24"/>
          <w:szCs w:val="24"/>
        </w:rPr>
        <w:t xml:space="preserve"> non-</w:t>
      </w:r>
      <w:proofErr w:type="spellStart"/>
      <w:r w:rsidRPr="00971521">
        <w:rPr>
          <w:rFonts w:ascii="Times New Roman" w:hAnsi="Times New Roman"/>
          <w:sz w:val="24"/>
          <w:szCs w:val="24"/>
        </w:rPr>
        <w:t>dispersers</w:t>
      </w:r>
      <w:proofErr w:type="spellEnd"/>
      <w:r w:rsidRPr="00971521">
        <w:rPr>
          <w:rFonts w:ascii="Times New Roman" w:hAnsi="Times New Roman"/>
          <w:sz w:val="24"/>
          <w:szCs w:val="24"/>
        </w:rPr>
        <w:t xml:space="preserve"> (FR) and </w:t>
      </w:r>
      <w:proofErr w:type="spellStart"/>
      <w:r w:rsidRPr="00971521">
        <w:rPr>
          <w:rFonts w:ascii="Times New Roman" w:hAnsi="Times New Roman"/>
          <w:sz w:val="24"/>
          <w:szCs w:val="24"/>
        </w:rPr>
        <w:t>intermediate</w:t>
      </w:r>
      <w:proofErr w:type="spellEnd"/>
      <w:r w:rsidRPr="00971521">
        <w:rPr>
          <w:rFonts w:ascii="Times New Roman" w:hAnsi="Times New Roman"/>
          <w:sz w:val="24"/>
          <w:szCs w:val="24"/>
        </w:rPr>
        <w:t xml:space="preserve">-distance </w:t>
      </w:r>
      <w:proofErr w:type="spellStart"/>
      <w:r w:rsidRPr="00971521">
        <w:rPr>
          <w:rFonts w:ascii="Times New Roman" w:hAnsi="Times New Roman"/>
          <w:sz w:val="24"/>
          <w:szCs w:val="24"/>
        </w:rPr>
        <w:t>dispersers</w:t>
      </w:r>
      <w:proofErr w:type="spellEnd"/>
      <w:r w:rsidRPr="00971521">
        <w:rPr>
          <w:rFonts w:ascii="Times New Roman" w:hAnsi="Times New Roman"/>
          <w:sz w:val="24"/>
          <w:szCs w:val="24"/>
        </w:rPr>
        <w:t xml:space="preserve"> (IB and IT). </w:t>
      </w:r>
      <w:r w:rsidRPr="005901A3">
        <w:rPr>
          <w:rFonts w:ascii="Times New Roman" w:hAnsi="Times New Roman"/>
          <w:sz w:val="24"/>
          <w:szCs w:val="24"/>
          <w:lang w:val="en-GB"/>
        </w:rPr>
        <w:t>In our study we found l</w:t>
      </w:r>
      <w:r>
        <w:rPr>
          <w:rFonts w:ascii="Times New Roman" w:hAnsi="Times New Roman"/>
          <w:sz w:val="24"/>
          <w:szCs w:val="24"/>
          <w:lang w:val="en-GB"/>
        </w:rPr>
        <w:t>ow support</w:t>
      </w:r>
      <w:r w:rsidRPr="005901A3">
        <w:rPr>
          <w:rFonts w:ascii="Times New Roman" w:hAnsi="Times New Roman"/>
          <w:sz w:val="24"/>
          <w:szCs w:val="24"/>
          <w:lang w:val="en-GB"/>
        </w:rPr>
        <w:t xml:space="preserve"> </w:t>
      </w:r>
      <w:r w:rsidRPr="004A4FB9">
        <w:rPr>
          <w:rFonts w:ascii="Times New Roman" w:hAnsi="Times New Roman"/>
          <w:sz w:val="24"/>
          <w:szCs w:val="24"/>
          <w:lang w:val="en-GB"/>
        </w:rPr>
        <w:t>for differential juvenile survival between long-distance dispersers (</w:t>
      </w:r>
      <w:r>
        <w:rPr>
          <w:rFonts w:ascii="Times New Roman" w:hAnsi="Times New Roman"/>
          <w:sz w:val="24"/>
          <w:szCs w:val="24"/>
          <w:lang w:val="en-GB"/>
        </w:rPr>
        <w:t>AF) and the rest (FR, IT and IB;</w:t>
      </w:r>
      <w:r w:rsidRPr="00EE7691">
        <w:rPr>
          <w:rFonts w:ascii="Times New Roman" w:hAnsi="Times New Roman"/>
          <w:sz w:val="24"/>
          <w:szCs w:val="24"/>
          <w:lang w:val="en-US"/>
        </w:rPr>
        <w:t xml:space="preserve"> </w:t>
      </w:r>
      <w:r>
        <w:rPr>
          <w:rFonts w:ascii="Times New Roman" w:hAnsi="Times New Roman"/>
          <w:sz w:val="24"/>
          <w:szCs w:val="24"/>
          <w:lang w:val="en-US"/>
        </w:rPr>
        <w:t>model 16;</w:t>
      </w:r>
      <w:r w:rsidRPr="005C194F">
        <w:rPr>
          <w:rFonts w:ascii="Times New Roman" w:hAnsi="Times New Roman"/>
          <w:sz w:val="24"/>
          <w:szCs w:val="24"/>
          <w:lang w:val="en-US"/>
        </w:rPr>
        <w:t xml:space="preserve"> </w:t>
      </w:r>
      <w:r>
        <w:rPr>
          <w:rFonts w:ascii="Times New Roman" w:hAnsi="Times New Roman"/>
          <w:sz w:val="24"/>
          <w:szCs w:val="24"/>
          <w:lang w:val="en-US"/>
        </w:rPr>
        <w:t>Table S3</w:t>
      </w:r>
      <w:r>
        <w:rPr>
          <w:rFonts w:ascii="Times New Roman" w:hAnsi="Times New Roman"/>
          <w:sz w:val="24"/>
          <w:szCs w:val="24"/>
          <w:lang w:val="en-GB"/>
        </w:rPr>
        <w:t xml:space="preserve">), </w:t>
      </w:r>
      <w:r w:rsidRPr="004A4FB9">
        <w:rPr>
          <w:rFonts w:ascii="Times New Roman" w:hAnsi="Times New Roman"/>
          <w:sz w:val="24"/>
          <w:szCs w:val="24"/>
          <w:lang w:val="en-GB"/>
        </w:rPr>
        <w:t>for differential juvenile survival between dispersers (IT, IB and AF) and non-dispersers (FR</w:t>
      </w:r>
      <w:r>
        <w:rPr>
          <w:rFonts w:ascii="Times New Roman" w:hAnsi="Times New Roman"/>
          <w:sz w:val="24"/>
          <w:szCs w:val="24"/>
          <w:lang w:val="en-GB"/>
        </w:rPr>
        <w:t>;</w:t>
      </w:r>
      <w:r w:rsidRPr="00EE7691">
        <w:rPr>
          <w:rFonts w:ascii="Times New Roman" w:hAnsi="Times New Roman"/>
          <w:sz w:val="24"/>
          <w:szCs w:val="24"/>
          <w:lang w:val="en-US"/>
        </w:rPr>
        <w:t xml:space="preserve"> </w:t>
      </w:r>
      <w:r>
        <w:rPr>
          <w:rFonts w:ascii="Times New Roman" w:hAnsi="Times New Roman"/>
          <w:sz w:val="24"/>
          <w:szCs w:val="24"/>
          <w:lang w:val="en-US"/>
        </w:rPr>
        <w:t>model 15;</w:t>
      </w:r>
      <w:r w:rsidRPr="005C194F">
        <w:rPr>
          <w:rFonts w:ascii="Times New Roman" w:hAnsi="Times New Roman"/>
          <w:sz w:val="24"/>
          <w:szCs w:val="24"/>
          <w:lang w:val="en-US"/>
        </w:rPr>
        <w:t xml:space="preserve"> </w:t>
      </w:r>
      <w:r>
        <w:rPr>
          <w:rFonts w:ascii="Times New Roman" w:hAnsi="Times New Roman"/>
          <w:sz w:val="24"/>
          <w:szCs w:val="24"/>
          <w:lang w:val="en-US"/>
        </w:rPr>
        <w:t>Table S3</w:t>
      </w:r>
      <w:r w:rsidRPr="004A4FB9">
        <w:rPr>
          <w:rFonts w:ascii="Times New Roman" w:hAnsi="Times New Roman"/>
          <w:sz w:val="24"/>
          <w:szCs w:val="24"/>
          <w:lang w:val="en-GB"/>
        </w:rPr>
        <w:t xml:space="preserve">), and for differential juvenile survival between </w:t>
      </w:r>
      <w:r>
        <w:rPr>
          <w:rFonts w:ascii="Times New Roman" w:hAnsi="Times New Roman"/>
          <w:sz w:val="24"/>
          <w:szCs w:val="24"/>
          <w:lang w:val="en-GB"/>
        </w:rPr>
        <w:t>intermediate</w:t>
      </w:r>
      <w:r w:rsidRPr="004A4FB9">
        <w:rPr>
          <w:rFonts w:ascii="Times New Roman" w:hAnsi="Times New Roman"/>
          <w:sz w:val="24"/>
          <w:szCs w:val="24"/>
          <w:lang w:val="en-GB"/>
        </w:rPr>
        <w:t>-distance dispersers (IB and IT) and the rest (FR and AF</w:t>
      </w:r>
      <w:r>
        <w:rPr>
          <w:rFonts w:ascii="Times New Roman" w:hAnsi="Times New Roman"/>
          <w:sz w:val="24"/>
          <w:szCs w:val="24"/>
          <w:lang w:val="en-GB"/>
        </w:rPr>
        <w:t>;</w:t>
      </w:r>
      <w:r w:rsidRPr="00EE7691">
        <w:rPr>
          <w:rFonts w:ascii="Times New Roman" w:hAnsi="Times New Roman"/>
          <w:sz w:val="24"/>
          <w:szCs w:val="24"/>
          <w:lang w:val="en-US"/>
        </w:rPr>
        <w:t xml:space="preserve"> </w:t>
      </w:r>
      <w:r>
        <w:rPr>
          <w:rFonts w:ascii="Times New Roman" w:hAnsi="Times New Roman"/>
          <w:sz w:val="24"/>
          <w:szCs w:val="24"/>
          <w:lang w:val="en-US"/>
        </w:rPr>
        <w:t>model 17;</w:t>
      </w:r>
      <w:r w:rsidRPr="005C194F">
        <w:rPr>
          <w:rFonts w:ascii="Times New Roman" w:hAnsi="Times New Roman"/>
          <w:sz w:val="24"/>
          <w:szCs w:val="24"/>
          <w:lang w:val="en-US"/>
        </w:rPr>
        <w:t xml:space="preserve"> </w:t>
      </w:r>
      <w:r>
        <w:rPr>
          <w:rFonts w:ascii="Times New Roman" w:hAnsi="Times New Roman"/>
          <w:sz w:val="24"/>
          <w:szCs w:val="24"/>
          <w:lang w:val="en-US"/>
        </w:rPr>
        <w:t>Table S3</w:t>
      </w:r>
      <w:r>
        <w:rPr>
          <w:rFonts w:ascii="Times New Roman" w:hAnsi="Times New Roman"/>
          <w:sz w:val="24"/>
          <w:szCs w:val="24"/>
          <w:lang w:val="en-GB"/>
        </w:rPr>
        <w:t xml:space="preserve">). </w:t>
      </w:r>
      <w:r w:rsidRPr="004A4FB9">
        <w:rPr>
          <w:rFonts w:ascii="Times New Roman" w:hAnsi="Times New Roman"/>
          <w:sz w:val="24"/>
          <w:szCs w:val="24"/>
          <w:lang w:val="en-GB"/>
        </w:rPr>
        <w:t xml:space="preserve"> </w:t>
      </w:r>
      <w:r>
        <w:rPr>
          <w:rFonts w:ascii="Times New Roman" w:hAnsi="Times New Roman"/>
          <w:sz w:val="24"/>
          <w:szCs w:val="24"/>
          <w:lang w:val="en-GB"/>
        </w:rPr>
        <w:t>Indeed models 15, 16 and 17</w:t>
      </w:r>
      <w:r w:rsidRPr="004A4FB9">
        <w:rPr>
          <w:rFonts w:ascii="Times New Roman" w:hAnsi="Times New Roman"/>
          <w:sz w:val="24"/>
          <w:szCs w:val="24"/>
          <w:lang w:val="en-GB"/>
        </w:rPr>
        <w:t xml:space="preserve"> gave equival</w:t>
      </w:r>
      <w:r>
        <w:rPr>
          <w:rFonts w:ascii="Times New Roman" w:hAnsi="Times New Roman"/>
          <w:sz w:val="24"/>
          <w:szCs w:val="24"/>
          <w:lang w:val="en-GB"/>
        </w:rPr>
        <w:t>ent</w:t>
      </w:r>
      <w:r w:rsidRPr="004A4FB9">
        <w:rPr>
          <w:rFonts w:ascii="Times New Roman" w:hAnsi="Times New Roman"/>
          <w:sz w:val="24"/>
          <w:szCs w:val="24"/>
          <w:lang w:val="en-GB"/>
        </w:rPr>
        <w:t xml:space="preserve"> </w:t>
      </w:r>
      <w:proofErr w:type="spellStart"/>
      <w:r w:rsidRPr="004A4FB9">
        <w:rPr>
          <w:rFonts w:ascii="Times New Roman" w:hAnsi="Times New Roman"/>
          <w:sz w:val="24"/>
          <w:szCs w:val="24"/>
          <w:lang w:val="en-GB"/>
        </w:rPr>
        <w:t>QAICc</w:t>
      </w:r>
      <w:proofErr w:type="spellEnd"/>
      <w:r w:rsidRPr="004A4FB9">
        <w:rPr>
          <w:rFonts w:ascii="Times New Roman" w:hAnsi="Times New Roman"/>
          <w:sz w:val="24"/>
          <w:szCs w:val="24"/>
          <w:lang w:val="en-GB"/>
        </w:rPr>
        <w:t xml:space="preserve"> </w:t>
      </w:r>
      <w:r>
        <w:rPr>
          <w:rFonts w:ascii="Times New Roman" w:hAnsi="Times New Roman"/>
          <w:sz w:val="24"/>
          <w:szCs w:val="24"/>
          <w:lang w:val="en-GB"/>
        </w:rPr>
        <w:t>values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=0.04</w:t>
      </w:r>
      <w:r>
        <w:rPr>
          <w:rFonts w:ascii="Times New Roman" w:hAnsi="Times New Roman"/>
          <w:sz w:val="24"/>
          <w:szCs w:val="24"/>
          <w:lang w:val="en-GB"/>
        </w:rPr>
        <w:t>;</w:t>
      </w:r>
      <w:r w:rsidRPr="00EE7691">
        <w:rPr>
          <w:rFonts w:ascii="Times New Roman" w:hAnsi="Times New Roman"/>
          <w:sz w:val="24"/>
          <w:szCs w:val="24"/>
          <w:lang w:val="en-GB"/>
        </w:rPr>
        <w:t xml:space="preserve">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 xml:space="preserve">=-0.10 </w:t>
      </w:r>
      <w:r>
        <w:rPr>
          <w:rFonts w:ascii="Times New Roman" w:hAnsi="Times New Roman"/>
          <w:sz w:val="24"/>
          <w:szCs w:val="24"/>
          <w:lang w:val="en-GB"/>
        </w:rPr>
        <w:t>and</w:t>
      </w:r>
      <w:r w:rsidRPr="00EE7691">
        <w:rPr>
          <w:rFonts w:ascii="Times New Roman" w:hAnsi="Times New Roman"/>
          <w:sz w:val="24"/>
          <w:szCs w:val="24"/>
          <w:lang w:val="en-GB"/>
        </w:rPr>
        <w:t xml:space="preserve"> </w:t>
      </w:r>
      <w:proofErr w:type="spellStart"/>
      <w:r w:rsidRPr="002C5C53">
        <w:rPr>
          <w:rFonts w:ascii="Times New Roman" w:hAnsi="Times New Roman"/>
          <w:sz w:val="24"/>
          <w:szCs w:val="24"/>
          <w:lang w:val="en-US"/>
        </w:rPr>
        <w:t>Δ</w:t>
      </w:r>
      <w:r>
        <w:rPr>
          <w:rFonts w:ascii="Times New Roman" w:hAnsi="Times New Roman"/>
          <w:sz w:val="24"/>
          <w:szCs w:val="24"/>
          <w:lang w:val="en-US"/>
        </w:rPr>
        <w:t>QAICc</w:t>
      </w:r>
      <w:proofErr w:type="spellEnd"/>
      <w:r>
        <w:rPr>
          <w:rFonts w:ascii="Times New Roman" w:hAnsi="Times New Roman"/>
          <w:sz w:val="24"/>
          <w:szCs w:val="24"/>
          <w:lang w:val="en-US"/>
        </w:rPr>
        <w:t xml:space="preserve">=0.20 </w:t>
      </w:r>
      <w:r>
        <w:rPr>
          <w:rFonts w:ascii="Times New Roman" w:hAnsi="Times New Roman"/>
          <w:sz w:val="24"/>
          <w:szCs w:val="24"/>
          <w:lang w:val="en-GB"/>
        </w:rPr>
        <w:t>respectively) to model 13</w:t>
      </w:r>
      <w:r w:rsidRPr="004A4FB9">
        <w:rPr>
          <w:rFonts w:ascii="Times New Roman" w:hAnsi="Times New Roman"/>
          <w:sz w:val="24"/>
          <w:szCs w:val="24"/>
          <w:lang w:val="en-GB"/>
        </w:rPr>
        <w:t xml:space="preserve"> which assumes equal juvenile survival between geographical sites. </w:t>
      </w:r>
      <w:r>
        <w:rPr>
          <w:rFonts w:ascii="Times New Roman" w:hAnsi="Times New Roman"/>
          <w:sz w:val="24"/>
          <w:szCs w:val="24"/>
          <w:lang w:val="en-GB"/>
        </w:rPr>
        <w:t xml:space="preserve">However </w:t>
      </w:r>
      <w:proofErr w:type="spellStart"/>
      <w:r w:rsidRPr="007E17AD">
        <w:rPr>
          <w:rFonts w:ascii="Times New Roman" w:hAnsi="Times New Roman"/>
          <w:sz w:val="24"/>
          <w:szCs w:val="24"/>
          <w:lang w:val="en-GB"/>
        </w:rPr>
        <w:t>Sanz</w:t>
      </w:r>
      <w:proofErr w:type="spellEnd"/>
      <w:r w:rsidRPr="007E17AD">
        <w:rPr>
          <w:rFonts w:ascii="Times New Roman" w:hAnsi="Times New Roman"/>
          <w:sz w:val="24"/>
          <w:szCs w:val="24"/>
          <w:lang w:val="en-GB"/>
        </w:rPr>
        <w:t xml:space="preserve">-Aguilar </w:t>
      </w:r>
      <w:r w:rsidRPr="007E17AD">
        <w:rPr>
          <w:rFonts w:ascii="Times New Roman" w:hAnsi="Times New Roman"/>
          <w:i/>
          <w:iCs/>
          <w:sz w:val="24"/>
          <w:szCs w:val="24"/>
          <w:lang w:val="en-GB"/>
        </w:rPr>
        <w:t>et al.</w:t>
      </w:r>
      <w:r>
        <w:rPr>
          <w:rFonts w:ascii="Times New Roman" w:hAnsi="Times New Roman"/>
          <w:iCs/>
          <w:sz w:val="24"/>
          <w:szCs w:val="24"/>
          <w:lang w:val="en-GB"/>
        </w:rPr>
        <w:t>’s</w:t>
      </w:r>
      <w:r w:rsidRPr="007E17AD">
        <w:rPr>
          <w:rFonts w:ascii="Times New Roman" w:hAnsi="Times New Roman"/>
          <w:i/>
          <w:iCs/>
          <w:sz w:val="24"/>
          <w:szCs w:val="24"/>
          <w:lang w:val="en-GB"/>
        </w:rPr>
        <w:t xml:space="preserve"> </w:t>
      </w:r>
      <w:r>
        <w:rPr>
          <w:rFonts w:ascii="Times New Roman" w:hAnsi="Times New Roman"/>
          <w:sz w:val="24"/>
          <w:szCs w:val="24"/>
          <w:lang w:val="en-US"/>
        </w:rPr>
        <w:fldChar w:fldCharType="begin"/>
      </w:r>
      <w:r>
        <w:rPr>
          <w:rFonts w:ascii="Times New Roman" w:hAnsi="Times New Roman"/>
          <w:sz w:val="24"/>
          <w:szCs w:val="24"/>
          <w:lang w:val="en-GB"/>
        </w:rPr>
        <w:instrText xml:space="preserve"> ADDIN ZOTERO_ITEM CSL_CITATION {"citationID":"man3kVrr","properties":{"formattedCitation":"(2012)","plainCitation":"(2012)"},"citationItems":[{"id":672,"uris":["http://zotero.org/users/1341740/items/VMJKTTBF"],"uri":["http://zotero.org/users/1341740/items/VMJKTTBF"],"itemData":{"id":672,"type":"article-journal","title":"To leave or not to leave: survival trade-offs between different migratory strategies in the greater flamingo","container-title":"Journal of Animal Ecology","page":"1171–1182","volume":"81","issue":"6","source":"Wiley Online Library","abstract":"1. The balance between costs and benefits of migration under different environmental, density-dependent and individual conditions may promote a broad range of migratory behaviours. We studied the factors influencing first-year migration and subsequent fidelity or dispersal among wintering areas, and the survival costs of different wintering behaviours in the greater flamingo (Phoenicopterus roseus).2. We analysed by multievent capture–recapture modelling among-site dispersal/fidelity and site-dependent survival probabilities from 22 671 flamingos ringed in the Camargue (France) between 1977 and 2010 and resighted subsequently in their wintering grounds classified as France, Iberian Peninsula, Italy and North Africa.3. We found that first- and second-year birds either resident or wintering at medium distances from their birth place, survived better than those wintering further afield. However, under severe winter conditions (extremely cold winter 1984–1985), individuals with the sedentary strategy suffered the highest levels of mortality. From the third winter onwards, the pattern of survival reversed: the long-distance wintering individuals (i.e. North Africa) survived better.4. The proportion of first-year birds migrating for wintering was highly variable among cohorts and increased with favourable environmental conditions (wet years). After the first winter, birds showed high fidelity (&gt;90%) to their previous wintering area and wintered preferably near their natal colony when they became adults (&gt;2 years).5. Survival estimates suggest that long-distance migration was costly for young and inexperienced individuals. Nonetheless, for adults, the most southern wintering areas seem to offer the most favourable local conditions for overwinter survival.6. The higher availability of intermediate stopover sites during wet years may facilitate first-year migration. Then, once they have some wintering experience, flamingos appear to favour the known wintering grounds. As they grow older, dispersing towards the vicinity of the natal colony may provide higher breeding prospects for individuals wintering closer to this high-quality and saturated breeding ground, as predicted by the arrival-time hypothesis.","DOI":"10.1111/j.1365-2656.2012.01997.x","ISSN":"1365-2656","shortTitle":"To leave or not to leave","language":"en","author":[{"family":"Sanz-Aguilar","given":"Ana"},{"family":"Béchet","given":"Arnaud"},{"family":"Germain","given":"Christophe"},{"family":"Johnson","given":"Alan R."},{"family":"Pradel","given":"Roger"}],"issued":{"date-parts":[["2012"]]},"accessed":{"date-parts":[["2013",3,20]]}},"suppress-author":true}],"schema":"https://github.com/citation-style-language/schema/raw/master/csl-citation.json"} </w:instrText>
      </w:r>
      <w:r>
        <w:rPr>
          <w:rFonts w:ascii="Times New Roman" w:hAnsi="Times New Roman"/>
          <w:sz w:val="24"/>
          <w:szCs w:val="24"/>
          <w:lang w:val="en-US"/>
        </w:rPr>
        <w:fldChar w:fldCharType="separate"/>
      </w:r>
      <w:r w:rsidRPr="004A4FB9">
        <w:rPr>
          <w:rFonts w:ascii="Times New Roman" w:hAnsi="Times New Roman"/>
          <w:sz w:val="24"/>
          <w:lang w:val="en-GB"/>
        </w:rPr>
        <w:t>(2012)</w:t>
      </w:r>
      <w:r>
        <w:rPr>
          <w:rFonts w:ascii="Times New Roman" w:hAnsi="Times New Roman"/>
          <w:sz w:val="24"/>
          <w:szCs w:val="24"/>
          <w:lang w:val="en-US"/>
        </w:rPr>
        <w:fldChar w:fldCharType="end"/>
      </w:r>
      <w:r>
        <w:rPr>
          <w:rFonts w:ascii="Times New Roman" w:hAnsi="Times New Roman"/>
          <w:sz w:val="24"/>
          <w:szCs w:val="24"/>
          <w:lang w:val="en-GB"/>
        </w:rPr>
        <w:t xml:space="preserve"> study uses a considerably larger sample size (</w:t>
      </w:r>
      <w:r>
        <w:rPr>
          <w:rFonts w:ascii="Times New Roman" w:hAnsi="Times New Roman"/>
          <w:i/>
          <w:sz w:val="24"/>
          <w:szCs w:val="24"/>
          <w:lang w:val="en-GB"/>
        </w:rPr>
        <w:t>n</w:t>
      </w:r>
      <w:r>
        <w:rPr>
          <w:rFonts w:ascii="Times New Roman" w:hAnsi="Times New Roman"/>
          <w:sz w:val="24"/>
          <w:szCs w:val="24"/>
          <w:lang w:val="en-GB"/>
        </w:rPr>
        <w:t>=</w:t>
      </w:r>
      <w:r w:rsidRPr="00A34AD5">
        <w:rPr>
          <w:lang w:val="en-GB"/>
        </w:rPr>
        <w:t xml:space="preserve"> </w:t>
      </w:r>
      <w:r w:rsidRPr="00A34AD5">
        <w:rPr>
          <w:rFonts w:ascii="Times New Roman" w:hAnsi="Times New Roman"/>
          <w:sz w:val="24"/>
          <w:szCs w:val="24"/>
          <w:lang w:val="en-GB"/>
        </w:rPr>
        <w:t>22 671</w:t>
      </w:r>
      <w:r>
        <w:rPr>
          <w:rFonts w:ascii="Times New Roman" w:hAnsi="Times New Roman"/>
          <w:sz w:val="24"/>
          <w:szCs w:val="24"/>
          <w:lang w:val="en-GB"/>
        </w:rPr>
        <w:t>) and larger number of cohorts (</w:t>
      </w:r>
      <w:r>
        <w:rPr>
          <w:rFonts w:ascii="Times New Roman" w:hAnsi="Times New Roman"/>
          <w:i/>
          <w:sz w:val="24"/>
          <w:szCs w:val="24"/>
          <w:lang w:val="en-GB"/>
        </w:rPr>
        <w:t>n</w:t>
      </w:r>
      <w:r>
        <w:rPr>
          <w:rFonts w:ascii="Times New Roman" w:hAnsi="Times New Roman"/>
          <w:sz w:val="24"/>
          <w:szCs w:val="24"/>
          <w:lang w:val="en-GB"/>
        </w:rPr>
        <w:t>=</w:t>
      </w:r>
      <w:r w:rsidRPr="00A34AD5">
        <w:rPr>
          <w:lang w:val="en-GB"/>
        </w:rPr>
        <w:t xml:space="preserve"> </w:t>
      </w:r>
      <w:r>
        <w:rPr>
          <w:rFonts w:ascii="Times New Roman" w:hAnsi="Times New Roman"/>
          <w:sz w:val="24"/>
          <w:szCs w:val="24"/>
          <w:lang w:val="en-GB"/>
        </w:rPr>
        <w:t xml:space="preserve">33) than this study, </w:t>
      </w:r>
      <w:r>
        <w:rPr>
          <w:rFonts w:ascii="Times New Roman" w:hAnsi="Times New Roman"/>
          <w:sz w:val="24"/>
          <w:szCs w:val="24"/>
          <w:lang w:val="en-US"/>
        </w:rPr>
        <w:t xml:space="preserve">which we believe is the most likely explanation for differences in </w:t>
      </w:r>
      <w:r>
        <w:rPr>
          <w:rFonts w:ascii="Times New Roman" w:hAnsi="Times New Roman"/>
          <w:sz w:val="24"/>
          <w:szCs w:val="24"/>
          <w:lang w:val="en-US"/>
        </w:rPr>
        <w:lastRenderedPageBreak/>
        <w:t>results. We selected the best supported model with the lowest number of parameters to avoid over parameterization to test the association of parameters, EBC and MLH on survival and post-fledging dispersal, which was model 13 (</w:t>
      </w:r>
      <w:r w:rsidRPr="005C194F">
        <w:rPr>
          <w:rFonts w:ascii="Times New Roman" w:hAnsi="Times New Roman"/>
          <w:sz w:val="24"/>
          <w:szCs w:val="24"/>
          <w:lang w:val="en-US"/>
        </w:rPr>
        <w:t>Appendix S</w:t>
      </w:r>
      <w:r>
        <w:rPr>
          <w:rFonts w:ascii="Times New Roman" w:hAnsi="Times New Roman"/>
          <w:sz w:val="24"/>
          <w:szCs w:val="24"/>
          <w:lang w:val="en-US"/>
        </w:rPr>
        <w:t>5</w:t>
      </w:r>
      <w:r w:rsidRPr="005C194F">
        <w:rPr>
          <w:rFonts w:ascii="Times New Roman" w:hAnsi="Times New Roman"/>
          <w:sz w:val="24"/>
          <w:szCs w:val="24"/>
          <w:lang w:val="en-US"/>
        </w:rPr>
        <w:t>, Supporting information</w:t>
      </w:r>
      <w:r>
        <w:rPr>
          <w:rFonts w:ascii="Times New Roman" w:hAnsi="Times New Roman"/>
          <w:sz w:val="24"/>
          <w:szCs w:val="24"/>
          <w:lang w:val="en-US"/>
        </w:rPr>
        <w:t xml:space="preserve">). However models 15, 16 and 17 were respectively used as a base model to set initial values when evaluating </w:t>
      </w:r>
      <w:r w:rsidRPr="00E71EDE">
        <w:rPr>
          <w:rFonts w:ascii="Times New Roman" w:hAnsi="Times New Roman"/>
          <w:sz w:val="24"/>
          <w:szCs w:val="24"/>
          <w:lang w:val="en-US"/>
        </w:rPr>
        <w:t xml:space="preserve">the effect of EBC and MLH on </w:t>
      </w:r>
      <w:r>
        <w:rPr>
          <w:rFonts w:ascii="Times New Roman" w:hAnsi="Times New Roman"/>
          <w:sz w:val="24"/>
          <w:szCs w:val="24"/>
          <w:lang w:val="en-US"/>
        </w:rPr>
        <w:t xml:space="preserve">the </w:t>
      </w:r>
      <w:r w:rsidRPr="00E71EDE">
        <w:rPr>
          <w:rFonts w:ascii="Times New Roman" w:hAnsi="Times New Roman"/>
          <w:sz w:val="24"/>
          <w:szCs w:val="24"/>
          <w:lang w:val="en-US"/>
        </w:rPr>
        <w:t>survival of juveniles</w:t>
      </w:r>
      <w:r>
        <w:rPr>
          <w:rFonts w:ascii="Times New Roman" w:hAnsi="Times New Roman"/>
          <w:sz w:val="24"/>
          <w:szCs w:val="24"/>
          <w:lang w:val="en-US"/>
        </w:rPr>
        <w:t>:</w:t>
      </w:r>
      <w:r w:rsidRPr="00E71EDE">
        <w:rPr>
          <w:rFonts w:ascii="Times New Roman" w:hAnsi="Times New Roman"/>
          <w:sz w:val="24"/>
          <w:szCs w:val="24"/>
          <w:lang w:val="en-US"/>
        </w:rPr>
        <w:t xml:space="preserve"> that dispersed</w:t>
      </w:r>
      <w:r>
        <w:rPr>
          <w:rFonts w:ascii="Times New Roman" w:hAnsi="Times New Roman"/>
          <w:sz w:val="24"/>
          <w:szCs w:val="24"/>
          <w:lang w:val="en-US"/>
        </w:rPr>
        <w:t xml:space="preserve"> (models 20 and 18), </w:t>
      </w:r>
      <w:r w:rsidRPr="00E71EDE">
        <w:rPr>
          <w:rFonts w:ascii="Times New Roman" w:hAnsi="Times New Roman"/>
          <w:sz w:val="24"/>
          <w:szCs w:val="24"/>
          <w:lang w:val="en-US"/>
        </w:rPr>
        <w:t>that dispersed to long distance sites</w:t>
      </w:r>
      <w:r>
        <w:rPr>
          <w:rFonts w:ascii="Times New Roman" w:hAnsi="Times New Roman"/>
          <w:sz w:val="24"/>
          <w:szCs w:val="24"/>
          <w:lang w:val="en-US"/>
        </w:rPr>
        <w:t xml:space="preserve"> (models 21 and 22),</w:t>
      </w:r>
      <w:r w:rsidRPr="00E71EDE">
        <w:rPr>
          <w:rFonts w:ascii="Times New Roman" w:hAnsi="Times New Roman"/>
          <w:sz w:val="24"/>
          <w:szCs w:val="24"/>
          <w:lang w:val="en-US"/>
        </w:rPr>
        <w:t xml:space="preserve"> </w:t>
      </w:r>
      <w:r>
        <w:rPr>
          <w:rFonts w:ascii="Times New Roman" w:hAnsi="Times New Roman"/>
          <w:sz w:val="24"/>
          <w:szCs w:val="24"/>
          <w:lang w:val="en-US"/>
        </w:rPr>
        <w:t>and</w:t>
      </w:r>
      <w:r w:rsidRPr="00E71EDE">
        <w:rPr>
          <w:rFonts w:ascii="Times New Roman" w:hAnsi="Times New Roman"/>
          <w:sz w:val="24"/>
          <w:szCs w:val="24"/>
          <w:lang w:val="en-US"/>
        </w:rPr>
        <w:t xml:space="preserve"> that dispersed to intermediate-distance sites </w:t>
      </w:r>
      <w:r>
        <w:rPr>
          <w:rFonts w:ascii="Times New Roman" w:hAnsi="Times New Roman"/>
          <w:sz w:val="24"/>
          <w:szCs w:val="24"/>
          <w:lang w:val="en-US"/>
        </w:rPr>
        <w:t>(models 23 and 19)</w:t>
      </w:r>
      <w:r w:rsidRPr="00E71EDE">
        <w:rPr>
          <w:rFonts w:ascii="Times New Roman" w:hAnsi="Times New Roman"/>
          <w:sz w:val="24"/>
          <w:szCs w:val="24"/>
          <w:lang w:val="en-US"/>
        </w:rPr>
        <w:t>.</w:t>
      </w:r>
    </w:p>
    <w:p w:rsidR="00971521" w:rsidRDefault="00971521" w:rsidP="00971521">
      <w:pPr>
        <w:spacing w:line="480" w:lineRule="auto"/>
        <w:ind w:firstLine="720"/>
        <w:rPr>
          <w:rFonts w:ascii="Times New Roman" w:hAnsi="Times New Roman"/>
          <w:sz w:val="24"/>
          <w:szCs w:val="24"/>
          <w:lang w:val="en-US"/>
        </w:rPr>
      </w:pPr>
      <w:r>
        <w:rPr>
          <w:rFonts w:ascii="Times New Roman" w:hAnsi="Times New Roman"/>
          <w:sz w:val="24"/>
          <w:szCs w:val="24"/>
          <w:lang w:val="en-US"/>
        </w:rPr>
        <w:t xml:space="preserve">According to model 13, differential juvenile survival between cohorts was predominantly driven by lower survival of the 1998 cohort (Figure S1; 88.36%, 95CI: 85.60%, 90.64%) compared to the 1995 (Figure S1; 93.66%, 95CI: 90.41%, 95.85%), 1996 (Figure S1; 93.29%, 95CI: 88.92%, 96.02%) and 1997 (Figure S1; 91.97%, 95CI: 89.63%, 93.81%) cohorts. Adult survival (&gt;2 years) was higher at 98.55% (Figure S1; 95CI: 98.12%, 98.89%). Consistent with previous studies post-fledging dispersal was high at 92.15% (Figure S2; 95CI: 86.72%, 95.47%) with much lower adult movement varying between 8% and 26%. The most frequent destination of fledglings was the African sites at 73% (Figure S3; 95CI: 64.91%, 80.32%) with 17.51% (Figure S3; 95CI: 11.73%, 25.32%) dispersing to sites in the Iberian Peninsula and 9.17% (Figure S3; 95CI: 5.78%, 14.25%) dispersing to sites in Italy. </w:t>
      </w:r>
    </w:p>
    <w:p w:rsidR="00971521" w:rsidRDefault="00971521" w:rsidP="00971521">
      <w:pPr>
        <w:pStyle w:val="Caption"/>
        <w:keepNext/>
        <w:rPr>
          <w:rFonts w:ascii="Times New Roman" w:hAnsi="Times New Roman"/>
          <w:color w:val="auto"/>
          <w:sz w:val="16"/>
          <w:szCs w:val="16"/>
          <w:lang w:val="en-GB"/>
        </w:rPr>
        <w:sectPr w:rsidR="00971521" w:rsidSect="00EF1DD2">
          <w:pgSz w:w="11906" w:h="16838"/>
          <w:pgMar w:top="1417" w:right="1417" w:bottom="1134" w:left="1417" w:header="709" w:footer="709" w:gutter="0"/>
          <w:cols w:space="708"/>
          <w:docGrid w:linePitch="360"/>
        </w:sectPr>
      </w:pPr>
    </w:p>
    <w:p w:rsidR="00971521" w:rsidRPr="006E7812" w:rsidRDefault="00971521" w:rsidP="00971521">
      <w:pPr>
        <w:pStyle w:val="Caption"/>
        <w:keepNext/>
        <w:ind w:right="1252"/>
        <w:rPr>
          <w:color w:val="auto"/>
          <w:sz w:val="20"/>
          <w:szCs w:val="20"/>
          <w:lang w:val="en-GB"/>
        </w:rPr>
      </w:pPr>
      <w:r w:rsidRPr="006E7812">
        <w:rPr>
          <w:rFonts w:ascii="Times New Roman" w:hAnsi="Times New Roman"/>
          <w:color w:val="auto"/>
          <w:sz w:val="20"/>
          <w:szCs w:val="20"/>
          <w:lang w:val="en-GB"/>
        </w:rPr>
        <w:lastRenderedPageBreak/>
        <w:t>Table S</w:t>
      </w:r>
      <w:r w:rsidR="006C7753" w:rsidRPr="006C7753">
        <w:rPr>
          <w:rFonts w:ascii="Times New Roman" w:hAnsi="Times New Roman"/>
          <w:color w:val="auto"/>
          <w:sz w:val="20"/>
          <w:szCs w:val="20"/>
          <w:lang w:val="en-GB"/>
        </w:rPr>
        <w:t>3</w:t>
      </w:r>
      <w:r w:rsidRPr="006E7812">
        <w:rPr>
          <w:rFonts w:ascii="Times New Roman" w:hAnsi="Times New Roman"/>
          <w:color w:val="auto"/>
          <w:sz w:val="20"/>
          <w:szCs w:val="20"/>
          <w:lang w:val="en-GB"/>
        </w:rPr>
        <w:t xml:space="preserve"> : </w:t>
      </w:r>
      <w:r w:rsidRPr="0068407B">
        <w:rPr>
          <w:rFonts w:ascii="Times New Roman" w:hAnsi="Times New Roman"/>
          <w:b w:val="0"/>
          <w:color w:val="auto"/>
          <w:sz w:val="20"/>
          <w:szCs w:val="20"/>
          <w:lang w:val="en-GB"/>
        </w:rPr>
        <w:t xml:space="preserve">Model selection for the optimal null model for age classes, cohort effects, seasonal effects and sex effects for each transitional step in order to test the association between the life history traits of survival, post-fledging dispersal and post-fledging distance and the individual parameters of microsatellite multi locus </w:t>
      </w:r>
      <w:proofErr w:type="spellStart"/>
      <w:r w:rsidRPr="0068407B">
        <w:rPr>
          <w:rFonts w:ascii="Times New Roman" w:hAnsi="Times New Roman"/>
          <w:b w:val="0"/>
          <w:color w:val="auto"/>
          <w:sz w:val="20"/>
          <w:szCs w:val="20"/>
          <w:lang w:val="en-GB"/>
        </w:rPr>
        <w:t>heterozygosity</w:t>
      </w:r>
      <w:proofErr w:type="spellEnd"/>
      <w:r w:rsidRPr="0068407B">
        <w:rPr>
          <w:rFonts w:ascii="Times New Roman" w:hAnsi="Times New Roman"/>
          <w:b w:val="0"/>
          <w:color w:val="auto"/>
          <w:sz w:val="20"/>
          <w:szCs w:val="20"/>
          <w:lang w:val="en-GB"/>
        </w:rPr>
        <w:t xml:space="preserve"> (MLH) and early body condition (EBC). The optimal model used as the null model (lowest number of </w:t>
      </w:r>
      <w:proofErr w:type="spellStart"/>
      <w:r w:rsidRPr="0068407B">
        <w:rPr>
          <w:rFonts w:ascii="Times New Roman" w:hAnsi="Times New Roman"/>
          <w:b w:val="0"/>
          <w:i/>
          <w:color w:val="auto"/>
          <w:sz w:val="20"/>
          <w:szCs w:val="20"/>
          <w:lang w:val="en-GB"/>
        </w:rPr>
        <w:t>np</w:t>
      </w:r>
      <w:proofErr w:type="spellEnd"/>
      <w:r w:rsidRPr="0068407B">
        <w:rPr>
          <w:rFonts w:ascii="Times New Roman" w:hAnsi="Times New Roman"/>
          <w:b w:val="0"/>
          <w:color w:val="auto"/>
          <w:sz w:val="20"/>
          <w:szCs w:val="20"/>
          <w:lang w:val="en-GB"/>
        </w:rPr>
        <w:t xml:space="preserve"> between models of equivalent </w:t>
      </w:r>
      <w:proofErr w:type="spellStart"/>
      <w:r w:rsidRPr="0068407B">
        <w:rPr>
          <w:rFonts w:ascii="Times New Roman" w:hAnsi="Times New Roman"/>
          <w:b w:val="0"/>
          <w:color w:val="auto"/>
          <w:sz w:val="20"/>
          <w:szCs w:val="20"/>
          <w:lang w:val="en-GB"/>
        </w:rPr>
        <w:t>QAICc</w:t>
      </w:r>
      <w:proofErr w:type="spellEnd"/>
      <w:r w:rsidRPr="0068407B">
        <w:rPr>
          <w:rFonts w:ascii="Times New Roman" w:hAnsi="Times New Roman"/>
          <w:b w:val="0"/>
          <w:color w:val="auto"/>
          <w:sz w:val="20"/>
          <w:szCs w:val="20"/>
          <w:lang w:val="en-GB"/>
        </w:rPr>
        <w:t>) is in bold. Number of parameters (</w:t>
      </w:r>
      <w:proofErr w:type="spellStart"/>
      <w:r w:rsidRPr="0068407B">
        <w:rPr>
          <w:rFonts w:ascii="Times New Roman" w:hAnsi="Times New Roman"/>
          <w:b w:val="0"/>
          <w:i/>
          <w:color w:val="auto"/>
          <w:sz w:val="20"/>
          <w:szCs w:val="20"/>
          <w:lang w:val="en-GB"/>
        </w:rPr>
        <w:t>np</w:t>
      </w:r>
      <w:proofErr w:type="spellEnd"/>
      <w:r w:rsidRPr="0068407B">
        <w:rPr>
          <w:rFonts w:ascii="Times New Roman" w:hAnsi="Times New Roman"/>
          <w:b w:val="0"/>
          <w:color w:val="auto"/>
          <w:sz w:val="20"/>
          <w:szCs w:val="20"/>
          <w:lang w:val="en-GB"/>
        </w:rPr>
        <w:t>),</w:t>
      </w:r>
      <w:r w:rsidRPr="0068407B">
        <w:rPr>
          <w:rFonts w:ascii="Times New Roman" w:hAnsi="Times New Roman"/>
          <w:b w:val="0"/>
          <w:color w:val="auto"/>
          <w:sz w:val="20"/>
          <w:szCs w:val="20"/>
          <w:lang w:val="en-US"/>
        </w:rPr>
        <w:t xml:space="preserve"> the delta </w:t>
      </w:r>
      <w:proofErr w:type="spellStart"/>
      <w:r w:rsidRPr="0068407B">
        <w:rPr>
          <w:rFonts w:ascii="Times New Roman" w:hAnsi="Times New Roman"/>
          <w:b w:val="0"/>
          <w:color w:val="auto"/>
          <w:sz w:val="20"/>
          <w:szCs w:val="20"/>
          <w:lang w:val="en-US"/>
        </w:rPr>
        <w:t>QAICc</w:t>
      </w:r>
      <w:proofErr w:type="spellEnd"/>
      <w:r w:rsidRPr="0068407B">
        <w:rPr>
          <w:rFonts w:ascii="Times New Roman" w:hAnsi="Times New Roman"/>
          <w:b w:val="0"/>
          <w:color w:val="auto"/>
          <w:sz w:val="20"/>
          <w:szCs w:val="20"/>
          <w:lang w:val="en-US"/>
        </w:rPr>
        <w:t xml:space="preserve"> (</w:t>
      </w:r>
      <w:proofErr w:type="spellStart"/>
      <w:r w:rsidRPr="0068407B">
        <w:rPr>
          <w:rFonts w:ascii="Times New Roman" w:hAnsi="Times New Roman"/>
          <w:b w:val="0"/>
          <w:color w:val="auto"/>
          <w:sz w:val="20"/>
          <w:szCs w:val="20"/>
          <w:lang w:val="en-US"/>
        </w:rPr>
        <w:t>ΔQAICc</w:t>
      </w:r>
      <w:proofErr w:type="spellEnd"/>
      <w:r w:rsidRPr="0068407B">
        <w:rPr>
          <w:rFonts w:ascii="Times New Roman" w:hAnsi="Times New Roman"/>
          <w:b w:val="0"/>
          <w:color w:val="auto"/>
          <w:sz w:val="20"/>
          <w:szCs w:val="20"/>
          <w:lang w:val="en-US"/>
        </w:rPr>
        <w:t>) calculated from model 13 and model weight (</w:t>
      </w:r>
      <w:r w:rsidRPr="0068407B">
        <w:rPr>
          <w:rFonts w:ascii="Times New Roman" w:hAnsi="Times New Roman"/>
          <w:b w:val="0"/>
          <w:i/>
          <w:color w:val="auto"/>
          <w:sz w:val="20"/>
          <w:szCs w:val="20"/>
          <w:lang w:val="en-US" w:eastAsia="en-GB"/>
        </w:rPr>
        <w:t>ω</w:t>
      </w:r>
      <w:r w:rsidRPr="0068407B">
        <w:rPr>
          <w:rFonts w:ascii="Times New Roman" w:hAnsi="Times New Roman"/>
          <w:b w:val="0"/>
          <w:color w:val="auto"/>
          <w:sz w:val="20"/>
          <w:szCs w:val="20"/>
          <w:lang w:val="en-US" w:eastAsia="en-GB"/>
        </w:rPr>
        <w:t>) are given.</w:t>
      </w:r>
    </w:p>
    <w:tbl>
      <w:tblPr>
        <w:tblStyle w:val="TableList3"/>
        <w:tblW w:w="9137" w:type="dxa"/>
        <w:tblLayout w:type="fixed"/>
        <w:tblLook w:val="0000" w:firstRow="0" w:lastRow="0" w:firstColumn="0" w:lastColumn="0" w:noHBand="0" w:noVBand="0"/>
      </w:tblPr>
      <w:tblGrid>
        <w:gridCol w:w="749"/>
        <w:gridCol w:w="4462"/>
        <w:gridCol w:w="527"/>
        <w:gridCol w:w="877"/>
        <w:gridCol w:w="877"/>
        <w:gridCol w:w="898"/>
        <w:gridCol w:w="747"/>
      </w:tblGrid>
      <w:tr w:rsidR="00971521" w:rsidRPr="006D44AF" w:rsidTr="00641E0F">
        <w:tc>
          <w:tcPr>
            <w:tcW w:w="749"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r w:rsidRPr="003E4F70">
              <w:rPr>
                <w:rFonts w:ascii="Times New Roman" w:hAnsi="Times New Roman"/>
                <w:color w:val="auto"/>
                <w:sz w:val="16"/>
                <w:szCs w:val="16"/>
                <w:lang w:val="en-US"/>
              </w:rPr>
              <w:t>Model</w:t>
            </w:r>
          </w:p>
        </w:tc>
        <w:tc>
          <w:tcPr>
            <w:tcW w:w="4462"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r w:rsidRPr="003E4F70">
              <w:rPr>
                <w:rFonts w:ascii="Times New Roman" w:hAnsi="Times New Roman"/>
                <w:color w:val="auto"/>
                <w:sz w:val="16"/>
                <w:szCs w:val="16"/>
                <w:lang w:val="en-US"/>
              </w:rPr>
              <w:t>Description</w:t>
            </w:r>
          </w:p>
        </w:tc>
        <w:tc>
          <w:tcPr>
            <w:tcW w:w="527"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i/>
                <w:color w:val="auto"/>
                <w:sz w:val="16"/>
                <w:szCs w:val="16"/>
                <w:lang w:val="en-US"/>
              </w:rPr>
            </w:pPr>
            <w:proofErr w:type="spellStart"/>
            <w:r w:rsidRPr="003E4F70">
              <w:rPr>
                <w:rFonts w:ascii="Times New Roman" w:hAnsi="Times New Roman"/>
                <w:i/>
                <w:color w:val="auto"/>
                <w:sz w:val="16"/>
                <w:szCs w:val="16"/>
                <w:lang w:val="en-US"/>
              </w:rPr>
              <w:t>np</w:t>
            </w:r>
            <w:proofErr w:type="spellEnd"/>
          </w:p>
        </w:tc>
        <w:tc>
          <w:tcPr>
            <w:tcW w:w="877"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proofErr w:type="spellStart"/>
            <w:r w:rsidRPr="003E4F70">
              <w:rPr>
                <w:rFonts w:ascii="Times New Roman" w:hAnsi="Times New Roman"/>
                <w:color w:val="auto"/>
                <w:sz w:val="16"/>
                <w:szCs w:val="16"/>
                <w:lang w:val="en-US"/>
              </w:rPr>
              <w:t>Dev</w:t>
            </w:r>
            <w:proofErr w:type="spellEnd"/>
          </w:p>
        </w:tc>
        <w:tc>
          <w:tcPr>
            <w:tcW w:w="877"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proofErr w:type="spellStart"/>
            <w:r w:rsidRPr="003E4F70">
              <w:rPr>
                <w:rFonts w:ascii="Times New Roman" w:hAnsi="Times New Roman"/>
                <w:color w:val="auto"/>
                <w:sz w:val="16"/>
                <w:szCs w:val="16"/>
                <w:lang w:val="en-US"/>
              </w:rPr>
              <w:t>QAICc</w:t>
            </w:r>
            <w:proofErr w:type="spellEnd"/>
          </w:p>
        </w:tc>
        <w:tc>
          <w:tcPr>
            <w:tcW w:w="898"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proofErr w:type="spellStart"/>
            <w:r w:rsidRPr="003E4F70">
              <w:rPr>
                <w:rFonts w:ascii="Times New Roman" w:hAnsi="Times New Roman"/>
                <w:color w:val="auto"/>
                <w:sz w:val="16"/>
                <w:szCs w:val="16"/>
                <w:lang w:val="en-US"/>
              </w:rPr>
              <w:t>ΔQAICc</w:t>
            </w:r>
            <w:proofErr w:type="spellEnd"/>
          </w:p>
        </w:tc>
        <w:tc>
          <w:tcPr>
            <w:tcW w:w="747" w:type="dxa"/>
            <w:tcBorders>
              <w:top w:val="single" w:sz="12" w:space="0" w:color="auto"/>
              <w:bottom w:val="single" w:sz="2" w:space="0" w:color="auto"/>
            </w:tcBorders>
          </w:tcPr>
          <w:p w:rsidR="00971521" w:rsidRPr="003E4F70" w:rsidRDefault="00971521" w:rsidP="00641E0F">
            <w:pPr>
              <w:pStyle w:val="Caption"/>
              <w:keepNext/>
              <w:spacing w:after="0"/>
              <w:ind w:right="32"/>
              <w:rPr>
                <w:rFonts w:ascii="Times New Roman" w:hAnsi="Times New Roman"/>
                <w:color w:val="auto"/>
                <w:sz w:val="16"/>
                <w:szCs w:val="16"/>
                <w:lang w:val="en-US"/>
              </w:rPr>
            </w:pPr>
            <w:r w:rsidRPr="00BE5A77">
              <w:rPr>
                <w:rFonts w:ascii="Times New Roman" w:hAnsi="Times New Roman"/>
                <w:i/>
                <w:color w:val="auto"/>
                <w:sz w:val="16"/>
                <w:szCs w:val="16"/>
                <w:lang w:val="en-US" w:eastAsia="en-GB"/>
              </w:rPr>
              <w:t>ω</w:t>
            </w:r>
          </w:p>
        </w:tc>
      </w:tr>
      <w:tr w:rsidR="00971521" w:rsidRPr="006D44AF" w:rsidTr="00641E0F">
        <w:tc>
          <w:tcPr>
            <w:tcW w:w="749" w:type="dxa"/>
            <w:tcBorders>
              <w:top w:val="single" w:sz="2" w:space="0" w:color="auto"/>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1 </w:t>
            </w:r>
          </w:p>
        </w:tc>
        <w:tc>
          <w:tcPr>
            <w:tcW w:w="4462" w:type="dxa"/>
            <w:tcBorders>
              <w:top w:val="single" w:sz="2" w:space="0" w:color="auto"/>
              <w:left w:val="nil"/>
              <w:bottom w:val="nil"/>
              <w:right w:val="nil"/>
            </w:tcBorders>
          </w:tcPr>
          <w:p w:rsidR="00971521" w:rsidRDefault="00971521" w:rsidP="00641E0F">
            <w:pPr>
              <w:pStyle w:val="ListParagraph"/>
              <w:spacing w:after="0" w:line="240" w:lineRule="auto"/>
              <w:ind w:left="0"/>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pStyle w:val="ListParagraph"/>
              <w:spacing w:after="0" w:line="240" w:lineRule="auto"/>
              <w:ind w:left="0"/>
              <w:jc w:val="left"/>
              <w:rPr>
                <w:rFonts w:ascii="Times New Roman" w:hAnsi="Times New Roman"/>
                <w:sz w:val="16"/>
                <w:szCs w:val="16"/>
                <w:lang w:val="en-GB"/>
              </w:rPr>
            </w:pPr>
            <w:r w:rsidRPr="003E4F70">
              <w:rPr>
                <w:rFonts w:ascii="Times New Roman" w:hAnsi="Times New Roman"/>
                <w:sz w:val="16"/>
                <w:szCs w:val="16"/>
                <w:lang w:val="en-GB"/>
              </w:rPr>
              <w:t>Two age classes for survival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w:t>
            </w:r>
            <w:r>
              <w:rPr>
                <w:rFonts w:ascii="Times New Roman" w:hAnsi="Times New Roman"/>
                <w:sz w:val="16"/>
                <w:szCs w:val="16"/>
                <w:lang w:val="en-GB"/>
              </w:rPr>
              <w:t xml:space="preserve"> (post-fledgling)</w:t>
            </w:r>
            <w:r w:rsidRPr="003E4F70">
              <w:rPr>
                <w:rFonts w:ascii="Times New Roman" w:hAnsi="Times New Roman"/>
                <w:sz w:val="16"/>
                <w:szCs w:val="16"/>
                <w:lang w:val="en-GB"/>
              </w:rPr>
              <w:t xml:space="preserve"> and following seasons</w:t>
            </w:r>
          </w:p>
          <w:p w:rsidR="00971521" w:rsidRPr="003E4F70" w:rsidRDefault="00971521" w:rsidP="00641E0F">
            <w:pPr>
              <w:pStyle w:val="ListParagraph"/>
              <w:spacing w:after="0" w:line="240" w:lineRule="auto"/>
              <w:ind w:left="0"/>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 xml:space="preserve">movement </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w:t>
            </w:r>
            <w:r>
              <w:rPr>
                <w:rFonts w:ascii="Times New Roman" w:hAnsi="Times New Roman"/>
                <w:sz w:val="16"/>
                <w:szCs w:val="16"/>
                <w:lang w:val="en-GB"/>
              </w:rPr>
              <w:t xml:space="preserve"> (post-fledgling)</w:t>
            </w:r>
            <w:r w:rsidRPr="003E4F70">
              <w:rPr>
                <w:rFonts w:ascii="Times New Roman" w:hAnsi="Times New Roman"/>
                <w:sz w:val="16"/>
                <w:szCs w:val="16"/>
                <w:lang w:val="en-GB"/>
              </w:rPr>
              <w:t xml:space="preserve"> and following seasons</w:t>
            </w:r>
          </w:p>
          <w:p w:rsidR="00971521" w:rsidRPr="003E4F70" w:rsidRDefault="00971521" w:rsidP="00641E0F">
            <w:pPr>
              <w:pStyle w:val="ListParagraph"/>
              <w:spacing w:after="0" w:line="240" w:lineRule="auto"/>
              <w:ind w:left="0"/>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pStyle w:val="ListParagraph"/>
              <w:spacing w:after="0" w:line="240" w:lineRule="auto"/>
              <w:ind w:left="0"/>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 xml:space="preserve">movement </w:t>
            </w:r>
            <w:r w:rsidRPr="003E4F70">
              <w:rPr>
                <w:rFonts w:ascii="Times New Roman" w:hAnsi="Times New Roman"/>
                <w:sz w:val="16"/>
                <w:szCs w:val="16"/>
                <w:lang w:val="en-GB"/>
              </w:rPr>
              <w:t>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p>
        </w:tc>
        <w:tc>
          <w:tcPr>
            <w:tcW w:w="527" w:type="dxa"/>
            <w:tcBorders>
              <w:top w:val="single" w:sz="2" w:space="0" w:color="auto"/>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single" w:sz="2" w:space="0" w:color="auto"/>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25838.00</w:t>
            </w:r>
          </w:p>
        </w:tc>
        <w:tc>
          <w:tcPr>
            <w:tcW w:w="877" w:type="dxa"/>
            <w:tcBorders>
              <w:top w:val="single" w:sz="2" w:space="0" w:color="auto"/>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16358.82</w:t>
            </w:r>
          </w:p>
        </w:tc>
        <w:tc>
          <w:tcPr>
            <w:tcW w:w="898" w:type="dxa"/>
            <w:tcBorders>
              <w:top w:val="single" w:sz="2" w:space="0" w:color="auto"/>
              <w:left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32.42</w:t>
            </w:r>
          </w:p>
        </w:tc>
        <w:tc>
          <w:tcPr>
            <w:tcW w:w="747" w:type="dxa"/>
            <w:tcBorders>
              <w:top w:val="single" w:sz="2" w:space="0" w:color="auto"/>
              <w:left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0.000</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2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(a(1:2).cohort)+a(3:</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Pr>
                <w:rFonts w:ascii="Times New Roman" w:hAnsi="Times New Roman"/>
                <w:sz w:val="16"/>
                <w:szCs w:val="16"/>
                <w:lang w:val="en-GB"/>
              </w:rPr>
              <w:t xml:space="preserve"> summer </w:t>
            </w:r>
            <w:r w:rsidRPr="003E4F70">
              <w:rPr>
                <w:rFonts w:ascii="Times New Roman" w:hAnsi="Times New Roman"/>
                <w:sz w:val="16"/>
                <w:szCs w:val="16"/>
                <w:lang w:val="en-GB"/>
              </w:rPr>
              <w:t>to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w:t>
            </w:r>
            <w:r>
              <w:rPr>
                <w:rFonts w:ascii="Times New Roman" w:hAnsi="Times New Roman"/>
                <w:sz w:val="16"/>
                <w:szCs w:val="16"/>
                <w:lang w:val="en-GB"/>
              </w:rPr>
              <w:t xml:space="preserve"> (post-fledgling)</w:t>
            </w:r>
            <w:r w:rsidRPr="003E4F70">
              <w:rPr>
                <w:rFonts w:ascii="Times New Roman" w:hAnsi="Times New Roman"/>
                <w:sz w:val="16"/>
                <w:szCs w:val="16"/>
                <w:lang w:val="en-GB"/>
              </w:rPr>
              <w:t xml:space="preserve">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25816.04</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16345.19</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18.79</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0.000</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3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(a(1:3).cohort)+a(4:</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summer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25800.27</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16335.41</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9.01</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0.002</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4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25797.85</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16333.91</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7.51</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0.004</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5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(a(1:5).cohort)+a(6:</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3</w:t>
            </w:r>
            <w:r w:rsidRPr="003E4F70">
              <w:rPr>
                <w:rFonts w:ascii="Times New Roman" w:hAnsi="Times New Roman"/>
                <w:sz w:val="16"/>
                <w:szCs w:val="16"/>
                <w:vertAlign w:val="superscript"/>
                <w:lang w:val="en-GB"/>
              </w:rPr>
              <w:t>rd</w:t>
            </w:r>
            <w:r w:rsidRPr="003E4F70">
              <w:rPr>
                <w:rFonts w:ascii="Times New Roman" w:hAnsi="Times New Roman"/>
                <w:sz w:val="16"/>
                <w:szCs w:val="16"/>
                <w:lang w:val="en-GB"/>
              </w:rPr>
              <w:t xml:space="preserve"> summer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25801.10</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16335.92</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9.52</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0.001</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6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(a(1:6).cohort)+a(7:</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4</w:t>
            </w:r>
            <w:r w:rsidRPr="003E4F70">
              <w:rPr>
                <w:rFonts w:ascii="Times New Roman" w:hAnsi="Times New Roman"/>
                <w:sz w:val="16"/>
                <w:szCs w:val="16"/>
                <w:vertAlign w:val="superscript"/>
                <w:lang w:val="en-GB"/>
              </w:rPr>
              <w:t>th</w:t>
            </w:r>
            <w:r w:rsidRPr="003E4F70">
              <w:rPr>
                <w:rFonts w:ascii="Times New Roman" w:hAnsi="Times New Roman"/>
                <w:sz w:val="16"/>
                <w:szCs w:val="16"/>
                <w:lang w:val="en-GB"/>
              </w:rPr>
              <w:t xml:space="preserve"> summer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159</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25811.02</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16342.08</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15.68</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0.000</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sidRPr="003E4F70">
              <w:rPr>
                <w:rFonts w:ascii="Times New Roman" w:hAnsi="Times New Roman"/>
                <w:b w:val="0"/>
                <w:color w:val="auto"/>
                <w:sz w:val="16"/>
                <w:szCs w:val="16"/>
                <w:lang w:val="en-US"/>
              </w:rPr>
              <w:t xml:space="preserve">7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(a(1:2).cohort)+(a(3:</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4</w:t>
            </w:r>
            <w:r w:rsidRPr="003E4F70">
              <w:rPr>
                <w:rFonts w:ascii="Times New Roman" w:hAnsi="Times New Roman"/>
                <w:sz w:val="16"/>
                <w:szCs w:val="16"/>
                <w:vertAlign w:val="superscript"/>
                <w:lang w:val="en-GB"/>
              </w:rPr>
              <w:t>th</w:t>
            </w:r>
            <w:r w:rsidRPr="003E4F70">
              <w:rPr>
                <w:rFonts w:ascii="Times New Roman" w:hAnsi="Times New Roman"/>
                <w:sz w:val="16"/>
                <w:szCs w:val="16"/>
                <w:lang w:val="en-GB"/>
              </w:rPr>
              <w:t xml:space="preserve"> summer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to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177</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25774.17</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16357.68</w:t>
            </w:r>
          </w:p>
        </w:tc>
        <w:tc>
          <w:tcPr>
            <w:tcW w:w="898"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31.28</w:t>
            </w:r>
          </w:p>
        </w:tc>
        <w:tc>
          <w:tcPr>
            <w:tcW w:w="74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0.000</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vertAlign w:val="subscript"/>
                <w:lang w:val="en-US"/>
              </w:rPr>
            </w:pPr>
            <w:r w:rsidRPr="003E4F70">
              <w:rPr>
                <w:rFonts w:ascii="Times New Roman" w:hAnsi="Times New Roman"/>
                <w:b w:val="0"/>
                <w:color w:val="auto"/>
                <w:sz w:val="16"/>
                <w:szCs w:val="16"/>
                <w:lang w:val="en-US"/>
              </w:rPr>
              <w:lastRenderedPageBreak/>
              <w:t xml:space="preserve">8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 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151</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25820.50</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16330.95</w:t>
            </w:r>
          </w:p>
        </w:tc>
        <w:tc>
          <w:tcPr>
            <w:tcW w:w="898"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4.56</w:t>
            </w:r>
          </w:p>
        </w:tc>
        <w:tc>
          <w:tcPr>
            <w:tcW w:w="74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0.017</w:t>
            </w:r>
          </w:p>
        </w:tc>
      </w:tr>
      <w:tr w:rsidR="00971521" w:rsidRPr="006D44A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9</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 of survival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destination probability</w:t>
            </w:r>
          </w:p>
          <w:p w:rsidR="00971521" w:rsidRPr="007D4A5F"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155</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25838.11</w:t>
            </w:r>
          </w:p>
        </w:tc>
        <w:tc>
          <w:tcPr>
            <w:tcW w:w="87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16350.38</w:t>
            </w:r>
          </w:p>
        </w:tc>
        <w:tc>
          <w:tcPr>
            <w:tcW w:w="898"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23.98</w:t>
            </w:r>
          </w:p>
        </w:tc>
        <w:tc>
          <w:tcPr>
            <w:tcW w:w="747" w:type="dxa"/>
            <w:tcBorders>
              <w:top w:val="nil"/>
              <w:left w:val="nil"/>
              <w:bottom w:val="nil"/>
              <w:right w:val="nil"/>
            </w:tcBorders>
          </w:tcPr>
          <w:p w:rsidR="00971521" w:rsidRPr="00DD1BDA" w:rsidRDefault="00971521" w:rsidP="00641E0F">
            <w:pPr>
              <w:jc w:val="left"/>
              <w:rPr>
                <w:rFonts w:ascii="Times New Roman" w:hAnsi="Times New Roman"/>
                <w:sz w:val="16"/>
                <w:szCs w:val="16"/>
              </w:rPr>
            </w:pPr>
            <w:r w:rsidRPr="00DD1BDA">
              <w:rPr>
                <w:rFonts w:ascii="Times New Roman" w:hAnsi="Times New Roman"/>
                <w:sz w:val="16"/>
                <w:szCs w:val="16"/>
              </w:rPr>
              <w:t>0.000</w:t>
            </w:r>
          </w:p>
        </w:tc>
      </w:tr>
      <w:tr w:rsidR="00971521" w:rsidRPr="007D4A5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10</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 of survival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156</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25800.76</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16329.33</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2.93</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0.039</w:t>
            </w:r>
          </w:p>
        </w:tc>
      </w:tr>
      <w:tr w:rsidR="00971521" w:rsidRPr="007D4A5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11</w:t>
            </w:r>
            <w:r w:rsidRPr="003E4F70">
              <w:rPr>
                <w:rFonts w:ascii="Times New Roman" w:hAnsi="Times New Roman"/>
                <w:b w:val="0"/>
                <w:color w:val="auto"/>
                <w:sz w:val="16"/>
                <w:szCs w:val="16"/>
                <w:lang w:val="en-US"/>
              </w:rPr>
              <w:t xml:space="preserve"> </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Cohort effect for the 1st age class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156</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25814.57</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16337.90</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11.50</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0.001</w:t>
            </w:r>
          </w:p>
        </w:tc>
      </w:tr>
      <w:tr w:rsidR="00971521" w:rsidRPr="007D4A5F" w:rsidTr="00641E0F">
        <w:tc>
          <w:tcPr>
            <w:tcW w:w="749" w:type="dxa"/>
            <w:tcBorders>
              <w:top w:val="nil"/>
              <w:left w:val="nil"/>
              <w:bottom w:val="nil"/>
              <w:right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12</w:t>
            </w:r>
          </w:p>
        </w:tc>
        <w:tc>
          <w:tcPr>
            <w:tcW w:w="4462" w:type="dxa"/>
            <w:tcBorders>
              <w:top w:val="nil"/>
              <w:left w:val="nil"/>
              <w:bottom w:val="nil"/>
              <w:right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(a(1).cohort)+(a(2: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p>
          <w:p w:rsidR="00971521" w:rsidRPr="003E4F70" w:rsidRDefault="00971521" w:rsidP="00641E0F">
            <w:pPr>
              <w:spacing w:after="0" w:line="240" w:lineRule="auto"/>
              <w:jc w:val="left"/>
              <w:rPr>
                <w:rFonts w:ascii="Times New Roman" w:hAnsi="Times New Roman"/>
                <w:sz w:val="16"/>
                <w:szCs w:val="16"/>
                <w:lang w:val="en-US"/>
              </w:rPr>
            </w:pPr>
            <w:r w:rsidRPr="003E4F70">
              <w:rPr>
                <w:rFonts w:ascii="Times New Roman" w:hAnsi="Times New Roman"/>
                <w:sz w:val="16"/>
                <w:szCs w:val="16"/>
                <w:lang w:val="en-GB"/>
              </w:rPr>
              <w:t xml:space="preserve">Two age classes for survival : </w:t>
            </w:r>
            <w:r w:rsidRPr="003E4F70">
              <w:rPr>
                <w:rFonts w:ascii="Times New Roman" w:hAnsi="Times New Roman"/>
                <w:sz w:val="16"/>
                <w:szCs w:val="16"/>
                <w:lang w:val="en-US"/>
              </w:rPr>
              <w:t xml:space="preserve">from </w:t>
            </w:r>
            <w:r w:rsidRPr="003E4F70">
              <w:rPr>
                <w:rFonts w:ascii="Times New Roman" w:hAnsi="Times New Roman"/>
                <w:sz w:val="16"/>
                <w:szCs w:val="16"/>
                <w:lang w:val="en-GB"/>
              </w:rPr>
              <w:t>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summer to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winter </w:t>
            </w:r>
            <w:r w:rsidRPr="003E4F70">
              <w:rPr>
                <w:rFonts w:ascii="Times New Roman" w:hAnsi="Times New Roman"/>
                <w:sz w:val="16"/>
                <w:szCs w:val="16"/>
                <w:lang w:val="en-US"/>
              </w:rPr>
              <w:t>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 xml:space="preserve">Two age classes for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winter and following seasons</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Cohort effect for the 1st age classes of survival probability and destination probability</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Season effect for the 2</w:t>
            </w:r>
            <w:r w:rsidRPr="003E4F70">
              <w:rPr>
                <w:rFonts w:ascii="Times New Roman" w:hAnsi="Times New Roman"/>
                <w:sz w:val="16"/>
                <w:szCs w:val="16"/>
                <w:vertAlign w:val="superscript"/>
                <w:lang w:val="en-GB"/>
              </w:rPr>
              <w:t>nd</w:t>
            </w:r>
            <w:r w:rsidRPr="003E4F70">
              <w:rPr>
                <w:rFonts w:ascii="Times New Roman" w:hAnsi="Times New Roman"/>
                <w:sz w:val="16"/>
                <w:szCs w:val="16"/>
                <w:lang w:val="en-GB"/>
              </w:rPr>
              <w:t xml:space="preserve"> age classes of survival probability, </w:t>
            </w:r>
            <w:r>
              <w:rPr>
                <w:rFonts w:ascii="Times New Roman" w:hAnsi="Times New Roman"/>
                <w:sz w:val="16"/>
                <w:szCs w:val="16"/>
                <w:lang w:val="en-GB"/>
              </w:rPr>
              <w:t>movement</w:t>
            </w:r>
            <w:r w:rsidRPr="003E4F70">
              <w:rPr>
                <w:rFonts w:ascii="Times New Roman" w:hAnsi="Times New Roman"/>
                <w:sz w:val="16"/>
                <w:szCs w:val="16"/>
                <w:lang w:val="en-GB"/>
              </w:rPr>
              <w:t xml:space="preserve"> probability and destination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160</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25797.64</w:t>
            </w:r>
          </w:p>
        </w:tc>
        <w:tc>
          <w:tcPr>
            <w:tcW w:w="87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16335.90</w:t>
            </w:r>
          </w:p>
        </w:tc>
        <w:tc>
          <w:tcPr>
            <w:tcW w:w="898"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9.51</w:t>
            </w:r>
          </w:p>
        </w:tc>
        <w:tc>
          <w:tcPr>
            <w:tcW w:w="747" w:type="dxa"/>
            <w:tcBorders>
              <w:top w:val="nil"/>
              <w:left w:val="nil"/>
              <w:bottom w:val="nil"/>
              <w:right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0.001</w:t>
            </w:r>
          </w:p>
        </w:tc>
      </w:tr>
      <w:tr w:rsidR="00971521" w:rsidRPr="004A4FB9" w:rsidTr="00641E0F">
        <w:tc>
          <w:tcPr>
            <w:tcW w:w="749" w:type="dxa"/>
            <w:tcBorders>
              <w:top w:val="nil"/>
              <w:bottom w:val="nil"/>
            </w:tcBorders>
          </w:tcPr>
          <w:p w:rsidR="00971521" w:rsidRPr="003E4F70" w:rsidRDefault="00971521" w:rsidP="00641E0F">
            <w:pPr>
              <w:pStyle w:val="Caption"/>
              <w:keepNext/>
              <w:spacing w:after="0"/>
              <w:ind w:right="32"/>
              <w:rPr>
                <w:rFonts w:ascii="Times New Roman" w:hAnsi="Times New Roman"/>
                <w:color w:val="auto"/>
                <w:sz w:val="16"/>
                <w:szCs w:val="16"/>
                <w:lang w:val="en-US"/>
              </w:rPr>
            </w:pPr>
            <w:r>
              <w:rPr>
                <w:rFonts w:ascii="Times New Roman" w:hAnsi="Times New Roman"/>
                <w:color w:val="auto"/>
                <w:sz w:val="16"/>
                <w:szCs w:val="16"/>
                <w:lang w:val="en-US"/>
              </w:rPr>
              <w:t>13</w:t>
            </w:r>
            <w:r w:rsidRPr="003E4F70">
              <w:rPr>
                <w:rFonts w:ascii="Times New Roman" w:hAnsi="Times New Roman"/>
                <w:color w:val="auto"/>
                <w:sz w:val="16"/>
                <w:szCs w:val="16"/>
                <w:lang w:val="en-US"/>
              </w:rPr>
              <w:t xml:space="preserve"> </w:t>
            </w:r>
          </w:p>
        </w:tc>
        <w:tc>
          <w:tcPr>
            <w:tcW w:w="4462" w:type="dxa"/>
            <w:tcBorders>
              <w:top w:val="nil"/>
              <w:bottom w:val="nil"/>
            </w:tcBorders>
          </w:tcPr>
          <w:p w:rsidR="00971521" w:rsidRPr="00DD1BDA" w:rsidRDefault="00971521" w:rsidP="00641E0F">
            <w:pPr>
              <w:spacing w:after="0" w:line="240" w:lineRule="auto"/>
              <w:jc w:val="left"/>
              <w:rPr>
                <w:rFonts w:ascii="Times New Roman" w:hAnsi="Times New Roman"/>
                <w:b/>
                <w:sz w:val="16"/>
                <w:szCs w:val="16"/>
                <w:vertAlign w:val="subscript"/>
                <w:lang w:val="en-US"/>
              </w:rPr>
            </w:pPr>
            <w:r w:rsidRPr="00DD1BDA">
              <w:rPr>
                <w:rFonts w:ascii="Times New Roman" w:hAnsi="Times New Roman"/>
                <w:b/>
                <w:sz w:val="16"/>
                <w:szCs w:val="16"/>
                <w:lang w:val="en-US"/>
              </w:rPr>
              <w:t>Φ</w:t>
            </w:r>
            <w:r w:rsidRPr="00DD1BDA">
              <w:rPr>
                <w:rFonts w:ascii="Times New Roman" w:hAnsi="Times New Roman"/>
                <w:b/>
                <w:sz w:val="16"/>
                <w:szCs w:val="16"/>
                <w:vertAlign w:val="subscript"/>
                <w:lang w:val="en-US"/>
              </w:rPr>
              <w:t>(a(1:4).cohort)+a(5:32)</w:t>
            </w:r>
            <w:r w:rsidRPr="00DD1BDA">
              <w:rPr>
                <w:rFonts w:ascii="Times New Roman" w:hAnsi="Times New Roman"/>
                <w:b/>
                <w:sz w:val="16"/>
                <w:szCs w:val="16"/>
                <w:lang w:val="en-US"/>
              </w:rPr>
              <w:t>,</w:t>
            </w:r>
            <w:r w:rsidRPr="00DD1BDA">
              <w:rPr>
                <w:rFonts w:ascii="Times New Roman" w:hAnsi="Times New Roman"/>
                <w:b/>
                <w:sz w:val="16"/>
                <w:szCs w:val="16"/>
                <w:vertAlign w:val="subscript"/>
                <w:lang w:val="en-US"/>
              </w:rPr>
              <w:t xml:space="preserve"> </w:t>
            </w:r>
            <w:proofErr w:type="spellStart"/>
            <w:r w:rsidRPr="00DD1BDA">
              <w:rPr>
                <w:rFonts w:ascii="Times New Roman" w:hAnsi="Times New Roman"/>
                <w:b/>
                <w:sz w:val="16"/>
                <w:szCs w:val="16"/>
                <w:lang w:val="en-US"/>
              </w:rPr>
              <w:t>Ψ</w:t>
            </w:r>
            <w:r w:rsidRPr="00DD1BDA">
              <w:rPr>
                <w:rFonts w:ascii="Times New Roman" w:hAnsi="Times New Roman"/>
                <w:b/>
                <w:sz w:val="16"/>
                <w:szCs w:val="16"/>
                <w:vertAlign w:val="subscript"/>
                <w:lang w:val="en-US"/>
              </w:rPr>
              <w:t>a</w:t>
            </w:r>
            <w:proofErr w:type="spellEnd"/>
            <w:r w:rsidRPr="00DD1BDA">
              <w:rPr>
                <w:rFonts w:ascii="Times New Roman" w:hAnsi="Times New Roman"/>
                <w:b/>
                <w:sz w:val="16"/>
                <w:szCs w:val="16"/>
                <w:vertAlign w:val="subscript"/>
                <w:lang w:val="en-US"/>
              </w:rPr>
              <w:t>(1)+(a(2:32).season)</w:t>
            </w:r>
            <w:r w:rsidRPr="00DD1BDA">
              <w:rPr>
                <w:rFonts w:ascii="Times New Roman" w:hAnsi="Times New Roman"/>
                <w:b/>
                <w:sz w:val="16"/>
                <w:szCs w:val="16"/>
                <w:lang w:val="en-US"/>
              </w:rPr>
              <w:t>,</w:t>
            </w:r>
            <w:r w:rsidRPr="00DD1BDA">
              <w:rPr>
                <w:rFonts w:ascii="Times New Roman" w:hAnsi="Times New Roman"/>
                <w:b/>
                <w:sz w:val="16"/>
                <w:szCs w:val="16"/>
                <w:vertAlign w:val="subscript"/>
                <w:lang w:val="en-US"/>
              </w:rPr>
              <w:t xml:space="preserve"> </w:t>
            </w:r>
            <w:r w:rsidRPr="00DD1BDA">
              <w:rPr>
                <w:rFonts w:ascii="Times New Roman" w:hAnsi="Times New Roman"/>
                <w:b/>
                <w:sz w:val="16"/>
                <w:szCs w:val="16"/>
                <w:lang w:val="en-US"/>
              </w:rPr>
              <w:t>ε</w:t>
            </w:r>
            <w:r w:rsidRPr="00DD1BDA">
              <w:rPr>
                <w:rFonts w:ascii="Times New Roman" w:hAnsi="Times New Roman"/>
                <w:b/>
                <w:sz w:val="16"/>
                <w:szCs w:val="16"/>
                <w:vertAlign w:val="subscript"/>
                <w:lang w:val="en-US"/>
              </w:rPr>
              <w:t>(a(1))+(a(2:32))</w:t>
            </w:r>
          </w:p>
          <w:p w:rsidR="00971521" w:rsidRPr="00DD1BDA" w:rsidRDefault="00971521" w:rsidP="00641E0F">
            <w:pPr>
              <w:spacing w:after="0" w:line="240" w:lineRule="auto"/>
              <w:jc w:val="left"/>
              <w:rPr>
                <w:rFonts w:ascii="Times New Roman" w:hAnsi="Times New Roman"/>
                <w:b/>
                <w:sz w:val="16"/>
                <w:szCs w:val="16"/>
                <w:lang w:val="en-US"/>
              </w:rPr>
            </w:pPr>
            <w:r w:rsidRPr="00DD1BDA">
              <w:rPr>
                <w:rFonts w:ascii="Times New Roman" w:hAnsi="Times New Roman"/>
                <w:b/>
                <w:sz w:val="16"/>
                <w:szCs w:val="16"/>
                <w:lang w:val="en-GB"/>
              </w:rPr>
              <w:t xml:space="preserve">Two age classes for survival : </w:t>
            </w:r>
            <w:r w:rsidRPr="00DD1BDA">
              <w:rPr>
                <w:rFonts w:ascii="Times New Roman" w:hAnsi="Times New Roman"/>
                <w:b/>
                <w:sz w:val="16"/>
                <w:szCs w:val="16"/>
                <w:lang w:val="en-US"/>
              </w:rPr>
              <w:t xml:space="preserve">from </w:t>
            </w:r>
            <w:r w:rsidRPr="00DD1BDA">
              <w:rPr>
                <w:rFonts w:ascii="Times New Roman" w:hAnsi="Times New Roman"/>
                <w:b/>
                <w:sz w:val="16"/>
                <w:szCs w:val="16"/>
                <w:lang w:val="en-GB"/>
              </w:rPr>
              <w:t>1</w:t>
            </w:r>
            <w:r w:rsidRPr="00DD1BDA">
              <w:rPr>
                <w:rFonts w:ascii="Times New Roman" w:hAnsi="Times New Roman"/>
                <w:b/>
                <w:sz w:val="16"/>
                <w:szCs w:val="16"/>
                <w:vertAlign w:val="superscript"/>
                <w:lang w:val="en-GB"/>
              </w:rPr>
              <w:t>st</w:t>
            </w:r>
            <w:r w:rsidRPr="00DD1BDA">
              <w:rPr>
                <w:rFonts w:ascii="Times New Roman" w:hAnsi="Times New Roman"/>
                <w:b/>
                <w:sz w:val="16"/>
                <w:szCs w:val="16"/>
                <w:lang w:val="en-GB"/>
              </w:rPr>
              <w:t xml:space="preserve"> summer to 2</w:t>
            </w:r>
            <w:r w:rsidRPr="00DD1BDA">
              <w:rPr>
                <w:rFonts w:ascii="Times New Roman" w:hAnsi="Times New Roman"/>
                <w:b/>
                <w:sz w:val="16"/>
                <w:szCs w:val="16"/>
                <w:vertAlign w:val="superscript"/>
                <w:lang w:val="en-GB"/>
              </w:rPr>
              <w:t>nd</w:t>
            </w:r>
            <w:r w:rsidRPr="00DD1BDA">
              <w:rPr>
                <w:rFonts w:ascii="Times New Roman" w:hAnsi="Times New Roman"/>
                <w:b/>
                <w:sz w:val="16"/>
                <w:szCs w:val="16"/>
                <w:lang w:val="en-GB"/>
              </w:rPr>
              <w:t xml:space="preserve"> winter </w:t>
            </w:r>
            <w:r w:rsidRPr="00DD1BDA">
              <w:rPr>
                <w:rFonts w:ascii="Times New Roman" w:hAnsi="Times New Roman"/>
                <w:b/>
                <w:sz w:val="16"/>
                <w:szCs w:val="16"/>
                <w:lang w:val="en-US"/>
              </w:rPr>
              <w:t>and following seasons</w:t>
            </w:r>
          </w:p>
          <w:p w:rsidR="00971521" w:rsidRPr="00DD1BDA" w:rsidRDefault="00971521" w:rsidP="00641E0F">
            <w:pPr>
              <w:spacing w:after="0" w:line="240" w:lineRule="auto"/>
              <w:jc w:val="left"/>
              <w:rPr>
                <w:rFonts w:ascii="Times New Roman" w:hAnsi="Times New Roman"/>
                <w:b/>
                <w:sz w:val="16"/>
                <w:szCs w:val="16"/>
                <w:lang w:val="en-GB"/>
              </w:rPr>
            </w:pPr>
            <w:r w:rsidRPr="00DD1BDA">
              <w:rPr>
                <w:rFonts w:ascii="Times New Roman" w:hAnsi="Times New Roman"/>
                <w:b/>
                <w:sz w:val="16"/>
                <w:szCs w:val="16"/>
                <w:lang w:val="en-GB"/>
              </w:rPr>
              <w:t xml:space="preserve">Two age classes for </w:t>
            </w:r>
            <w:r>
              <w:rPr>
                <w:rFonts w:ascii="Times New Roman" w:hAnsi="Times New Roman"/>
                <w:b/>
                <w:sz w:val="16"/>
                <w:szCs w:val="16"/>
                <w:lang w:val="en-GB"/>
              </w:rPr>
              <w:t>movement</w:t>
            </w:r>
            <w:r w:rsidRPr="00DD1BDA">
              <w:rPr>
                <w:rFonts w:ascii="Times New Roman" w:hAnsi="Times New Roman"/>
                <w:b/>
                <w:sz w:val="16"/>
                <w:szCs w:val="16"/>
                <w:lang w:val="en-GB"/>
              </w:rPr>
              <w:t xml:space="preserve"> probability and destination probability: 1</w:t>
            </w:r>
            <w:r w:rsidRPr="00DD1BDA">
              <w:rPr>
                <w:rFonts w:ascii="Times New Roman" w:hAnsi="Times New Roman"/>
                <w:b/>
                <w:sz w:val="16"/>
                <w:szCs w:val="16"/>
                <w:vertAlign w:val="superscript"/>
                <w:lang w:val="en-GB"/>
              </w:rPr>
              <w:t>st</w:t>
            </w:r>
            <w:r w:rsidRPr="00DD1BDA">
              <w:rPr>
                <w:rFonts w:ascii="Times New Roman" w:hAnsi="Times New Roman"/>
                <w:b/>
                <w:sz w:val="16"/>
                <w:szCs w:val="16"/>
                <w:lang w:val="en-GB"/>
              </w:rPr>
              <w:t xml:space="preserve"> winter and following seasons</w:t>
            </w:r>
          </w:p>
          <w:p w:rsidR="00971521" w:rsidRPr="00DD1BDA" w:rsidRDefault="00971521" w:rsidP="00641E0F">
            <w:pPr>
              <w:spacing w:after="0" w:line="240" w:lineRule="auto"/>
              <w:jc w:val="left"/>
              <w:rPr>
                <w:rFonts w:ascii="Times New Roman" w:hAnsi="Times New Roman"/>
                <w:b/>
                <w:sz w:val="16"/>
                <w:szCs w:val="16"/>
                <w:lang w:val="en-GB"/>
              </w:rPr>
            </w:pPr>
            <w:r w:rsidRPr="00DD1BDA">
              <w:rPr>
                <w:rFonts w:ascii="Times New Roman" w:hAnsi="Times New Roman"/>
                <w:b/>
                <w:sz w:val="16"/>
                <w:szCs w:val="16"/>
                <w:lang w:val="en-GB"/>
              </w:rPr>
              <w:t xml:space="preserve">Cohort effect for the 1st age classes of survival probability </w:t>
            </w:r>
          </w:p>
          <w:p w:rsidR="00971521" w:rsidRPr="00DD1BDA" w:rsidRDefault="00971521" w:rsidP="00641E0F">
            <w:pPr>
              <w:spacing w:after="0" w:line="240" w:lineRule="auto"/>
              <w:jc w:val="left"/>
              <w:rPr>
                <w:rFonts w:ascii="Times New Roman" w:hAnsi="Times New Roman"/>
                <w:b/>
                <w:sz w:val="16"/>
                <w:szCs w:val="16"/>
                <w:lang w:val="en-GB"/>
              </w:rPr>
            </w:pPr>
            <w:r w:rsidRPr="00DD1BDA">
              <w:rPr>
                <w:rFonts w:ascii="Times New Roman" w:hAnsi="Times New Roman"/>
                <w:b/>
                <w:sz w:val="16"/>
                <w:szCs w:val="16"/>
                <w:lang w:val="en-GB"/>
              </w:rPr>
              <w:t>Season effect for the 2</w:t>
            </w:r>
            <w:r w:rsidRPr="00DD1BDA">
              <w:rPr>
                <w:rFonts w:ascii="Times New Roman" w:hAnsi="Times New Roman"/>
                <w:b/>
                <w:sz w:val="16"/>
                <w:szCs w:val="16"/>
                <w:vertAlign w:val="superscript"/>
                <w:lang w:val="en-GB"/>
              </w:rPr>
              <w:t>nd</w:t>
            </w:r>
            <w:r w:rsidRPr="00DD1BDA">
              <w:rPr>
                <w:rFonts w:ascii="Times New Roman" w:hAnsi="Times New Roman"/>
                <w:b/>
                <w:sz w:val="16"/>
                <w:szCs w:val="16"/>
                <w:lang w:val="en-GB"/>
              </w:rPr>
              <w:t xml:space="preserve"> age class of </w:t>
            </w:r>
            <w:r>
              <w:rPr>
                <w:rFonts w:ascii="Times New Roman" w:hAnsi="Times New Roman"/>
                <w:b/>
                <w:sz w:val="16"/>
                <w:szCs w:val="16"/>
                <w:lang w:val="en-GB"/>
              </w:rPr>
              <w:t>movement</w:t>
            </w:r>
            <w:r w:rsidRPr="00DD1BDA">
              <w:rPr>
                <w:rFonts w:ascii="Times New Roman" w:hAnsi="Times New Roman"/>
                <w:b/>
                <w:sz w:val="16"/>
                <w:szCs w:val="16"/>
                <w:lang w:val="en-GB"/>
              </w:rPr>
              <w:t xml:space="preserve"> probability</w:t>
            </w:r>
          </w:p>
          <w:p w:rsidR="00971521" w:rsidRPr="00DD1BDA" w:rsidRDefault="00971521" w:rsidP="00641E0F">
            <w:pPr>
              <w:spacing w:after="0" w:line="240" w:lineRule="auto"/>
              <w:jc w:val="left"/>
              <w:rPr>
                <w:rFonts w:ascii="Times New Roman" w:hAnsi="Times New Roman"/>
                <w:b/>
                <w:color w:val="000000"/>
                <w:sz w:val="16"/>
                <w:szCs w:val="16"/>
                <w:lang w:val="en-GB"/>
              </w:rPr>
            </w:pPr>
          </w:p>
        </w:tc>
        <w:tc>
          <w:tcPr>
            <w:tcW w:w="527" w:type="dxa"/>
            <w:tcBorders>
              <w:top w:val="nil"/>
              <w:bottom w:val="nil"/>
            </w:tcBorders>
          </w:tcPr>
          <w:p w:rsidR="00971521" w:rsidRPr="00DD1BDA" w:rsidRDefault="00971521" w:rsidP="00641E0F">
            <w:pPr>
              <w:jc w:val="left"/>
              <w:rPr>
                <w:rFonts w:ascii="Times New Roman" w:hAnsi="Times New Roman"/>
                <w:b/>
                <w:color w:val="000000"/>
                <w:sz w:val="16"/>
                <w:szCs w:val="16"/>
              </w:rPr>
            </w:pPr>
            <w:r w:rsidRPr="00DD1BDA">
              <w:rPr>
                <w:rFonts w:ascii="Times New Roman" w:hAnsi="Times New Roman"/>
                <w:b/>
                <w:color w:val="000000"/>
                <w:sz w:val="16"/>
                <w:szCs w:val="16"/>
              </w:rPr>
              <w:t>148</w:t>
            </w:r>
          </w:p>
        </w:tc>
        <w:tc>
          <w:tcPr>
            <w:tcW w:w="877" w:type="dxa"/>
            <w:tcBorders>
              <w:top w:val="nil"/>
              <w:bottom w:val="nil"/>
            </w:tcBorders>
          </w:tcPr>
          <w:p w:rsidR="00971521" w:rsidRPr="00DD1BDA" w:rsidRDefault="00971521" w:rsidP="00641E0F">
            <w:pPr>
              <w:jc w:val="left"/>
              <w:rPr>
                <w:rFonts w:ascii="Times New Roman" w:hAnsi="Times New Roman"/>
                <w:b/>
                <w:color w:val="000000"/>
                <w:sz w:val="16"/>
                <w:szCs w:val="16"/>
              </w:rPr>
            </w:pPr>
            <w:r w:rsidRPr="00DD1BDA">
              <w:rPr>
                <w:rFonts w:ascii="Times New Roman" w:hAnsi="Times New Roman"/>
                <w:b/>
                <w:color w:val="000000"/>
                <w:sz w:val="16"/>
                <w:szCs w:val="16"/>
              </w:rPr>
              <w:t>25823.42</w:t>
            </w:r>
          </w:p>
        </w:tc>
        <w:tc>
          <w:tcPr>
            <w:tcW w:w="877" w:type="dxa"/>
            <w:tcBorders>
              <w:top w:val="nil"/>
              <w:bottom w:val="nil"/>
            </w:tcBorders>
          </w:tcPr>
          <w:p w:rsidR="00971521" w:rsidRPr="00DD1BDA" w:rsidRDefault="00971521" w:rsidP="00641E0F">
            <w:pPr>
              <w:jc w:val="left"/>
              <w:rPr>
                <w:rFonts w:ascii="Times New Roman" w:hAnsi="Times New Roman"/>
                <w:b/>
                <w:color w:val="000000"/>
                <w:sz w:val="16"/>
                <w:szCs w:val="16"/>
              </w:rPr>
            </w:pPr>
            <w:r w:rsidRPr="00DD1BDA">
              <w:rPr>
                <w:rFonts w:ascii="Times New Roman" w:hAnsi="Times New Roman"/>
                <w:b/>
                <w:color w:val="000000"/>
                <w:sz w:val="16"/>
                <w:szCs w:val="16"/>
              </w:rPr>
              <w:t>16326.40</w:t>
            </w:r>
          </w:p>
        </w:tc>
        <w:tc>
          <w:tcPr>
            <w:tcW w:w="898" w:type="dxa"/>
            <w:tcBorders>
              <w:top w:val="nil"/>
              <w:bottom w:val="nil"/>
            </w:tcBorders>
          </w:tcPr>
          <w:p w:rsidR="00971521" w:rsidRPr="00DD1BDA" w:rsidRDefault="00971521" w:rsidP="00641E0F">
            <w:pPr>
              <w:jc w:val="left"/>
              <w:rPr>
                <w:rFonts w:ascii="Times New Roman" w:hAnsi="Times New Roman"/>
                <w:b/>
                <w:color w:val="000000"/>
                <w:sz w:val="16"/>
                <w:szCs w:val="16"/>
              </w:rPr>
            </w:pPr>
            <w:r w:rsidRPr="00DD1BDA">
              <w:rPr>
                <w:rFonts w:ascii="Times New Roman" w:hAnsi="Times New Roman"/>
                <w:b/>
                <w:color w:val="000000"/>
                <w:sz w:val="16"/>
                <w:szCs w:val="16"/>
              </w:rPr>
              <w:t>0.00</w:t>
            </w:r>
          </w:p>
        </w:tc>
        <w:tc>
          <w:tcPr>
            <w:tcW w:w="747" w:type="dxa"/>
            <w:tcBorders>
              <w:top w:val="nil"/>
              <w:bottom w:val="nil"/>
            </w:tcBorders>
          </w:tcPr>
          <w:p w:rsidR="00971521" w:rsidRPr="00DD1BDA" w:rsidRDefault="00971521" w:rsidP="00641E0F">
            <w:pPr>
              <w:jc w:val="left"/>
              <w:rPr>
                <w:rFonts w:ascii="Times New Roman" w:hAnsi="Times New Roman"/>
                <w:b/>
                <w:color w:val="000000"/>
                <w:sz w:val="16"/>
                <w:szCs w:val="16"/>
              </w:rPr>
            </w:pPr>
            <w:r w:rsidRPr="00DD1BDA">
              <w:rPr>
                <w:rFonts w:ascii="Times New Roman" w:hAnsi="Times New Roman"/>
                <w:b/>
                <w:color w:val="000000"/>
                <w:sz w:val="16"/>
                <w:szCs w:val="16"/>
              </w:rPr>
              <w:t>0.170</w:t>
            </w:r>
          </w:p>
        </w:tc>
      </w:tr>
      <w:tr w:rsidR="00971521" w:rsidRPr="004A4FB9" w:rsidTr="00641E0F">
        <w:tc>
          <w:tcPr>
            <w:tcW w:w="749" w:type="dxa"/>
            <w:tcBorders>
              <w:top w:val="nil"/>
              <w:bottom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14</w:t>
            </w:r>
            <w:r w:rsidRPr="003E4F70">
              <w:rPr>
                <w:rFonts w:ascii="Times New Roman" w:hAnsi="Times New Roman"/>
                <w:b w:val="0"/>
                <w:color w:val="auto"/>
                <w:sz w:val="16"/>
                <w:szCs w:val="16"/>
                <w:lang w:val="en-US"/>
              </w:rPr>
              <w:t xml:space="preserve"> </w:t>
            </w:r>
          </w:p>
        </w:tc>
        <w:tc>
          <w:tcPr>
            <w:tcW w:w="4462" w:type="dxa"/>
            <w:tcBorders>
              <w:top w:val="nil"/>
              <w:bottom w:val="nil"/>
            </w:tcBorders>
          </w:tcPr>
          <w:p w:rsidR="00971521" w:rsidRDefault="00971521" w:rsidP="00641E0F">
            <w:pPr>
              <w:spacing w:after="0" w:line="240" w:lineRule="auto"/>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3E4F70">
              <w:rPr>
                <w:rFonts w:ascii="Times New Roman" w:hAnsi="Times New Roman"/>
                <w:b/>
                <w:sz w:val="16"/>
                <w:szCs w:val="16"/>
                <w:vertAlign w:val="subscript"/>
                <w:lang w:val="en-US"/>
              </w:rPr>
              <w:t>(a(1:4).cohort)+a(5: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Ψ</w:t>
            </w:r>
            <w:r w:rsidRPr="003E4F70">
              <w:rPr>
                <w:rFonts w:ascii="Times New Roman" w:hAnsi="Times New Roman"/>
                <w:b/>
                <w:sz w:val="16"/>
                <w:szCs w:val="16"/>
                <w:vertAlign w:val="subscript"/>
                <w:lang w:val="en-US"/>
              </w:rPr>
              <w:t>(a(1).sex)+(a(2: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p>
          <w:p w:rsidR="00971521" w:rsidRPr="003E4F70" w:rsidRDefault="00971521" w:rsidP="00641E0F">
            <w:pPr>
              <w:spacing w:after="0" w:line="240" w:lineRule="auto"/>
              <w:jc w:val="left"/>
              <w:rPr>
                <w:rFonts w:ascii="Times New Roman" w:hAnsi="Times New Roman"/>
                <w:sz w:val="16"/>
                <w:szCs w:val="16"/>
                <w:lang w:val="en-GB"/>
              </w:rPr>
            </w:pPr>
            <w:r w:rsidRPr="003E4F70">
              <w:rPr>
                <w:rFonts w:ascii="Times New Roman" w:hAnsi="Times New Roman"/>
                <w:sz w:val="16"/>
                <w:szCs w:val="16"/>
                <w:lang w:val="en-GB"/>
              </w:rPr>
              <w:t>Sex effect for the 1</w:t>
            </w:r>
            <w:r w:rsidRPr="003E4F70">
              <w:rPr>
                <w:rFonts w:ascii="Times New Roman" w:hAnsi="Times New Roman"/>
                <w:sz w:val="16"/>
                <w:szCs w:val="16"/>
                <w:vertAlign w:val="superscript"/>
                <w:lang w:val="en-GB"/>
              </w:rPr>
              <w:t>st</w:t>
            </w:r>
            <w:r w:rsidRPr="003E4F70">
              <w:rPr>
                <w:rFonts w:ascii="Times New Roman" w:hAnsi="Times New Roman"/>
                <w:sz w:val="16"/>
                <w:szCs w:val="16"/>
                <w:lang w:val="en-GB"/>
              </w:rPr>
              <w:t xml:space="preserve"> age class of </w:t>
            </w:r>
            <w:r>
              <w:rPr>
                <w:rFonts w:ascii="Times New Roman" w:hAnsi="Times New Roman"/>
                <w:sz w:val="16"/>
                <w:szCs w:val="16"/>
                <w:lang w:val="en-GB"/>
              </w:rPr>
              <w:t>movement</w:t>
            </w:r>
            <w:r w:rsidRPr="003E4F70">
              <w:rPr>
                <w:rFonts w:ascii="Times New Roman" w:hAnsi="Times New Roman"/>
                <w:sz w:val="16"/>
                <w:szCs w:val="16"/>
                <w:lang w:val="en-GB"/>
              </w:rPr>
              <w:t xml:space="preserve"> probability</w:t>
            </w:r>
          </w:p>
          <w:p w:rsidR="00971521" w:rsidRPr="003E4F70" w:rsidRDefault="00971521" w:rsidP="00641E0F">
            <w:pPr>
              <w:spacing w:after="0" w:line="240" w:lineRule="auto"/>
              <w:jc w:val="left"/>
              <w:rPr>
                <w:rFonts w:ascii="Times New Roman" w:hAnsi="Times New Roman"/>
                <w:color w:val="000000"/>
                <w:sz w:val="16"/>
                <w:szCs w:val="16"/>
                <w:lang w:val="en-GB"/>
              </w:rPr>
            </w:pPr>
          </w:p>
        </w:tc>
        <w:tc>
          <w:tcPr>
            <w:tcW w:w="52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149</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25818.58</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16325.52</w:t>
            </w:r>
          </w:p>
        </w:tc>
        <w:tc>
          <w:tcPr>
            <w:tcW w:w="898"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-0.88</w:t>
            </w:r>
          </w:p>
        </w:tc>
        <w:tc>
          <w:tcPr>
            <w:tcW w:w="74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0.264</w:t>
            </w:r>
          </w:p>
        </w:tc>
      </w:tr>
      <w:tr w:rsidR="00971521" w:rsidRPr="004A4FB9" w:rsidTr="00641E0F">
        <w:tc>
          <w:tcPr>
            <w:tcW w:w="749" w:type="dxa"/>
            <w:tcBorders>
              <w:top w:val="nil"/>
              <w:bottom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15</w:t>
            </w:r>
          </w:p>
        </w:tc>
        <w:tc>
          <w:tcPr>
            <w:tcW w:w="4462" w:type="dxa"/>
            <w:tcBorders>
              <w:top w:val="nil"/>
              <w:bottom w:val="nil"/>
            </w:tcBorders>
          </w:tcPr>
          <w:p w:rsidR="00971521" w:rsidRPr="00E1798E" w:rsidRDefault="00971521" w:rsidP="00641E0F">
            <w:pPr>
              <w:pStyle w:val="ListParagraph"/>
              <w:spacing w:after="0" w:line="240" w:lineRule="auto"/>
              <w:ind w:left="0"/>
              <w:jc w:val="left"/>
              <w:rPr>
                <w:rFonts w:ascii="Times New Roman" w:hAnsi="Times New Roman"/>
                <w:b/>
                <w:position w:val="-6"/>
                <w:sz w:val="12"/>
                <w:szCs w:val="12"/>
                <w:vertAlign w:val="subscript"/>
                <w:lang w:val="en-US"/>
              </w:rPr>
            </w:pPr>
            <w:r w:rsidRPr="003E4F70">
              <w:rPr>
                <w:rFonts w:ascii="Times New Roman" w:hAnsi="Times New Roman"/>
                <w:b/>
                <w:sz w:val="16"/>
                <w:szCs w:val="16"/>
                <w:lang w:val="en-US"/>
              </w:rPr>
              <w:t>Φ</w:t>
            </w:r>
            <w:r w:rsidRPr="00410BA3">
              <w:rPr>
                <w:rFonts w:ascii="Times New Roman" w:hAnsi="Times New Roman"/>
                <w:b/>
                <w:sz w:val="16"/>
                <w:szCs w:val="16"/>
                <w:vertAlign w:val="subscript"/>
                <w:lang w:val="en-US"/>
              </w:rPr>
              <w:t>(a</w:t>
            </w:r>
            <w:r>
              <w:rPr>
                <w:rFonts w:ascii="Times New Roman" w:hAnsi="Times New Roman"/>
                <w:b/>
                <w:sz w:val="16"/>
                <w:szCs w:val="16"/>
                <w:vertAlign w:val="subscript"/>
                <w:lang w:val="en-US"/>
              </w:rPr>
              <w:t>(1</w:t>
            </w:r>
            <w:r w:rsidRPr="003E4F70">
              <w:rPr>
                <w:rFonts w:ascii="Times New Roman" w:hAnsi="Times New Roman"/>
                <w:b/>
                <w:sz w:val="16"/>
                <w:szCs w:val="16"/>
                <w:vertAlign w:val="subscript"/>
                <w:lang w:val="en-US"/>
              </w:rPr>
              <w:t>).cohort)</w:t>
            </w:r>
            <w:r>
              <w:rPr>
                <w:rFonts w:ascii="Times New Roman" w:hAnsi="Times New Roman"/>
                <w:b/>
                <w:sz w:val="16"/>
                <w:szCs w:val="16"/>
                <w:vertAlign w:val="subscript"/>
                <w:lang w:val="en-US"/>
              </w:rPr>
              <w:t>+a(2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FR</w:t>
            </w:r>
            <w:r>
              <w:rPr>
                <w:rFonts w:ascii="Times New Roman" w:hAnsi="Times New Roman"/>
                <w:b/>
                <w:sz w:val="16"/>
                <w:szCs w:val="16"/>
                <w:vertAlign w:val="subscript"/>
                <w:lang w:val="en-US"/>
              </w:rPr>
              <w:t>+a(2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IT,IB,AF</w:t>
            </w:r>
            <w:r>
              <w:rPr>
                <w:rFonts w:ascii="Times New Roman" w:hAnsi="Times New Roman"/>
                <w:b/>
                <w:sz w:val="16"/>
                <w:szCs w:val="16"/>
                <w:vertAlign w:val="subscript"/>
                <w:lang w:val="en-US"/>
              </w:rPr>
              <w:t>+</w:t>
            </w:r>
            <w:r w:rsidRPr="003E4F70">
              <w:rPr>
                <w:rFonts w:ascii="Times New Roman" w:hAnsi="Times New Roman"/>
                <w:b/>
                <w:sz w:val="16"/>
                <w:szCs w:val="16"/>
                <w:vertAlign w:val="subscript"/>
                <w:lang w:val="en-US"/>
              </w:rPr>
              <w:t xml:space="preserve"> 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BD65C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proofErr w:type="spellStart"/>
            <w:r w:rsidRPr="003E4F70">
              <w:rPr>
                <w:rFonts w:ascii="Times New Roman" w:hAnsi="Times New Roman"/>
                <w:b/>
                <w:sz w:val="16"/>
                <w:szCs w:val="16"/>
                <w:lang w:val="en-US"/>
              </w:rPr>
              <w:t>Ψ</w:t>
            </w:r>
            <w:r>
              <w:rPr>
                <w:rFonts w:ascii="Times New Roman" w:hAnsi="Times New Roman"/>
                <w:sz w:val="16"/>
                <w:szCs w:val="16"/>
                <w:vertAlign w:val="subscript"/>
                <w:lang w:val="en-US"/>
              </w:rPr>
              <w:t>a</w:t>
            </w:r>
            <w:proofErr w:type="spellEnd"/>
            <w:r>
              <w:rPr>
                <w:rFonts w:ascii="Times New Roman" w:hAnsi="Times New Roman"/>
                <w:sz w:val="16"/>
                <w:szCs w:val="16"/>
                <w:vertAlign w:val="subscript"/>
                <w:lang w:val="en-US"/>
              </w:rPr>
              <w:t>(1)</w:t>
            </w:r>
            <w:r w:rsidRPr="003E4F70">
              <w:rPr>
                <w:rFonts w:ascii="Times New Roman" w:hAnsi="Times New Roman"/>
                <w:b/>
                <w:sz w:val="16"/>
                <w:szCs w:val="16"/>
                <w:vertAlign w:val="subscript"/>
                <w:lang w:val="en-US"/>
              </w:rPr>
              <w:t>+(a(2: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w:t>
            </w:r>
          </w:p>
          <w:p w:rsidR="00971521" w:rsidRDefault="00971521" w:rsidP="00641E0F">
            <w:pPr>
              <w:pStyle w:val="ListParagraph"/>
              <w:spacing w:after="0" w:line="240" w:lineRule="auto"/>
              <w:ind w:left="0"/>
              <w:jc w:val="left"/>
              <w:rPr>
                <w:rFonts w:ascii="Times New Roman" w:hAnsi="Times New Roman"/>
                <w:sz w:val="16"/>
                <w:szCs w:val="16"/>
                <w:lang w:val="en-US"/>
              </w:rPr>
            </w:pPr>
            <w:r>
              <w:rPr>
                <w:rFonts w:ascii="Times New Roman" w:hAnsi="Times New Roman"/>
                <w:sz w:val="16"/>
                <w:szCs w:val="16"/>
                <w:lang w:val="en-US"/>
              </w:rPr>
              <w:t>Differential mortality between juveniles that have dispersed (in Italy, Iberian Peninsula and Africa) and juveniles that are in the natal site (France)</w:t>
            </w:r>
          </w:p>
          <w:p w:rsidR="00971521" w:rsidRPr="001B775B" w:rsidRDefault="00971521" w:rsidP="00641E0F">
            <w:pPr>
              <w:pStyle w:val="ListParagraph"/>
              <w:spacing w:after="0" w:line="240" w:lineRule="auto"/>
              <w:ind w:left="0"/>
              <w:jc w:val="left"/>
              <w:rPr>
                <w:rFonts w:ascii="Times New Roman" w:hAnsi="Times New Roman"/>
                <w:sz w:val="16"/>
                <w:szCs w:val="16"/>
                <w:lang w:val="en-US"/>
              </w:rPr>
            </w:pPr>
          </w:p>
        </w:tc>
        <w:tc>
          <w:tcPr>
            <w:tcW w:w="52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150</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25816.64</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16326.43</w:t>
            </w:r>
          </w:p>
        </w:tc>
        <w:tc>
          <w:tcPr>
            <w:tcW w:w="898"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0.04</w:t>
            </w:r>
          </w:p>
        </w:tc>
        <w:tc>
          <w:tcPr>
            <w:tcW w:w="74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0.167</w:t>
            </w:r>
          </w:p>
        </w:tc>
      </w:tr>
      <w:tr w:rsidR="00971521" w:rsidRPr="004A4FB9" w:rsidTr="00641E0F">
        <w:tc>
          <w:tcPr>
            <w:tcW w:w="749" w:type="dxa"/>
            <w:tcBorders>
              <w:top w:val="nil"/>
              <w:bottom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16</w:t>
            </w:r>
          </w:p>
        </w:tc>
        <w:tc>
          <w:tcPr>
            <w:tcW w:w="4462" w:type="dxa"/>
            <w:tcBorders>
              <w:top w:val="nil"/>
              <w:bottom w:val="nil"/>
            </w:tcBorders>
          </w:tcPr>
          <w:p w:rsidR="00971521" w:rsidRPr="00E1798E" w:rsidRDefault="00971521" w:rsidP="00641E0F">
            <w:pPr>
              <w:pStyle w:val="ListParagraph"/>
              <w:spacing w:after="0" w:line="240" w:lineRule="auto"/>
              <w:ind w:left="0"/>
              <w:jc w:val="left"/>
              <w:rPr>
                <w:rFonts w:ascii="Times New Roman" w:hAnsi="Times New Roman"/>
                <w:b/>
                <w:position w:val="-6"/>
                <w:sz w:val="12"/>
                <w:szCs w:val="12"/>
                <w:vertAlign w:val="subscript"/>
                <w:lang w:val="en-US"/>
              </w:rPr>
            </w:pPr>
            <w:r w:rsidRPr="003E4F70">
              <w:rPr>
                <w:rFonts w:ascii="Times New Roman" w:hAnsi="Times New Roman"/>
                <w:b/>
                <w:sz w:val="16"/>
                <w:szCs w:val="16"/>
                <w:lang w:val="en-US"/>
              </w:rPr>
              <w:t>Φ</w:t>
            </w:r>
            <w:r w:rsidRPr="00410BA3">
              <w:rPr>
                <w:rFonts w:ascii="Times New Roman" w:hAnsi="Times New Roman"/>
                <w:b/>
                <w:sz w:val="16"/>
                <w:szCs w:val="16"/>
                <w:vertAlign w:val="subscript"/>
                <w:lang w:val="en-US"/>
              </w:rPr>
              <w:t>(a</w:t>
            </w:r>
            <w:r>
              <w:rPr>
                <w:rFonts w:ascii="Times New Roman" w:hAnsi="Times New Roman"/>
                <w:b/>
                <w:sz w:val="16"/>
                <w:szCs w:val="16"/>
                <w:vertAlign w:val="subscript"/>
                <w:lang w:val="en-US"/>
              </w:rPr>
              <w:t>(1</w:t>
            </w:r>
            <w:r w:rsidRPr="003E4F70">
              <w:rPr>
                <w:rFonts w:ascii="Times New Roman" w:hAnsi="Times New Roman"/>
                <w:b/>
                <w:sz w:val="16"/>
                <w:szCs w:val="16"/>
                <w:vertAlign w:val="subscript"/>
                <w:lang w:val="en-US"/>
              </w:rPr>
              <w:t>).cohort)</w:t>
            </w:r>
            <w:r>
              <w:rPr>
                <w:rFonts w:ascii="Times New Roman" w:hAnsi="Times New Roman"/>
                <w:b/>
                <w:sz w:val="16"/>
                <w:szCs w:val="16"/>
                <w:vertAlign w:val="subscript"/>
                <w:lang w:val="en-US"/>
              </w:rPr>
              <w:t>+ 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FR,IT,IB</w:t>
            </w:r>
            <w:r>
              <w:rPr>
                <w:rFonts w:ascii="Times New Roman" w:hAnsi="Times New Roman"/>
                <w:b/>
                <w:sz w:val="16"/>
                <w:szCs w:val="16"/>
                <w:vertAlign w:val="subscript"/>
                <w:lang w:val="en-US"/>
              </w:rPr>
              <w:t>+a(2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AF</w:t>
            </w:r>
            <w:r>
              <w:rPr>
                <w:rFonts w:ascii="Times New Roman" w:hAnsi="Times New Roman"/>
                <w:b/>
                <w:sz w:val="16"/>
                <w:szCs w:val="16"/>
                <w:vertAlign w:val="subscript"/>
                <w:lang w:val="en-US"/>
              </w:rPr>
              <w:t>+</w:t>
            </w:r>
            <w:r w:rsidRPr="003E4F70">
              <w:rPr>
                <w:rFonts w:ascii="Times New Roman" w:hAnsi="Times New Roman"/>
                <w:b/>
                <w:sz w:val="16"/>
                <w:szCs w:val="16"/>
                <w:vertAlign w:val="subscript"/>
                <w:lang w:val="en-US"/>
              </w:rPr>
              <w:t xml:space="preserve"> 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BD65C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proofErr w:type="spellStart"/>
            <w:r w:rsidRPr="003E4F70">
              <w:rPr>
                <w:rFonts w:ascii="Times New Roman" w:hAnsi="Times New Roman"/>
                <w:b/>
                <w:sz w:val="16"/>
                <w:szCs w:val="16"/>
                <w:lang w:val="en-US"/>
              </w:rPr>
              <w:t>Ψ</w:t>
            </w:r>
            <w:r>
              <w:rPr>
                <w:rFonts w:ascii="Times New Roman" w:hAnsi="Times New Roman"/>
                <w:sz w:val="16"/>
                <w:szCs w:val="16"/>
                <w:vertAlign w:val="subscript"/>
                <w:lang w:val="en-US"/>
              </w:rPr>
              <w:t>a</w:t>
            </w:r>
            <w:proofErr w:type="spellEnd"/>
            <w:r>
              <w:rPr>
                <w:rFonts w:ascii="Times New Roman" w:hAnsi="Times New Roman"/>
                <w:sz w:val="16"/>
                <w:szCs w:val="16"/>
                <w:vertAlign w:val="subscript"/>
                <w:lang w:val="en-US"/>
              </w:rPr>
              <w:t>(1)</w:t>
            </w:r>
            <w:r w:rsidRPr="003E4F70">
              <w:rPr>
                <w:rFonts w:ascii="Times New Roman" w:hAnsi="Times New Roman"/>
                <w:b/>
                <w:sz w:val="16"/>
                <w:szCs w:val="16"/>
                <w:vertAlign w:val="subscript"/>
                <w:lang w:val="en-US"/>
              </w:rPr>
              <w:t>+(a(2: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w:t>
            </w:r>
          </w:p>
          <w:p w:rsidR="00971521" w:rsidRDefault="00971521" w:rsidP="00641E0F">
            <w:pPr>
              <w:pStyle w:val="ListParagraph"/>
              <w:spacing w:after="0" w:line="240" w:lineRule="auto"/>
              <w:ind w:left="0"/>
              <w:jc w:val="left"/>
              <w:rPr>
                <w:rFonts w:ascii="Times New Roman" w:hAnsi="Times New Roman"/>
                <w:sz w:val="16"/>
                <w:szCs w:val="16"/>
                <w:lang w:val="en-US"/>
              </w:rPr>
            </w:pPr>
            <w:r>
              <w:rPr>
                <w:rFonts w:ascii="Times New Roman" w:hAnsi="Times New Roman"/>
                <w:sz w:val="16"/>
                <w:szCs w:val="16"/>
                <w:lang w:val="en-US"/>
              </w:rPr>
              <w:t>Differential mortality between juveniles that have dispersed  to long-distance sites (Africa) and juveniles that have not dispersed to long-distance sites (France, Italy and Iberian Peninsula)</w:t>
            </w:r>
          </w:p>
          <w:p w:rsidR="00971521" w:rsidRPr="001B775B" w:rsidRDefault="00971521" w:rsidP="00641E0F">
            <w:pPr>
              <w:pStyle w:val="ListParagraph"/>
              <w:spacing w:after="0" w:line="240" w:lineRule="auto"/>
              <w:ind w:left="0"/>
              <w:jc w:val="left"/>
              <w:rPr>
                <w:rFonts w:ascii="Times New Roman" w:hAnsi="Times New Roman"/>
                <w:sz w:val="16"/>
                <w:szCs w:val="16"/>
                <w:lang w:val="en-US"/>
              </w:rPr>
            </w:pPr>
          </w:p>
        </w:tc>
        <w:tc>
          <w:tcPr>
            <w:tcW w:w="52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150</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25816.42</w:t>
            </w:r>
          </w:p>
        </w:tc>
        <w:tc>
          <w:tcPr>
            <w:tcW w:w="87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16326.30</w:t>
            </w:r>
          </w:p>
        </w:tc>
        <w:tc>
          <w:tcPr>
            <w:tcW w:w="898"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-0.10</w:t>
            </w:r>
          </w:p>
        </w:tc>
        <w:tc>
          <w:tcPr>
            <w:tcW w:w="747" w:type="dxa"/>
            <w:tcBorders>
              <w:top w:val="nil"/>
              <w:bottom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0.179</w:t>
            </w:r>
          </w:p>
        </w:tc>
      </w:tr>
      <w:tr w:rsidR="00971521" w:rsidRPr="004A4FB9" w:rsidTr="00641E0F">
        <w:tc>
          <w:tcPr>
            <w:tcW w:w="749" w:type="dxa"/>
            <w:tcBorders>
              <w:top w:val="nil"/>
            </w:tcBorders>
          </w:tcPr>
          <w:p w:rsidR="00971521" w:rsidRPr="003E4F70" w:rsidRDefault="00971521" w:rsidP="00641E0F">
            <w:pPr>
              <w:pStyle w:val="Caption"/>
              <w:keepNext/>
              <w:spacing w:after="0"/>
              <w:ind w:right="32"/>
              <w:rPr>
                <w:rFonts w:ascii="Times New Roman" w:hAnsi="Times New Roman"/>
                <w:b w:val="0"/>
                <w:color w:val="auto"/>
                <w:sz w:val="16"/>
                <w:szCs w:val="16"/>
                <w:lang w:val="en-US"/>
              </w:rPr>
            </w:pPr>
            <w:r>
              <w:rPr>
                <w:rFonts w:ascii="Times New Roman" w:hAnsi="Times New Roman"/>
                <w:b w:val="0"/>
                <w:color w:val="auto"/>
                <w:sz w:val="16"/>
                <w:szCs w:val="16"/>
                <w:lang w:val="en-US"/>
              </w:rPr>
              <w:t>17</w:t>
            </w:r>
          </w:p>
        </w:tc>
        <w:tc>
          <w:tcPr>
            <w:tcW w:w="4462" w:type="dxa"/>
            <w:tcBorders>
              <w:top w:val="nil"/>
            </w:tcBorders>
          </w:tcPr>
          <w:p w:rsidR="00971521" w:rsidRPr="00E1798E" w:rsidRDefault="00971521" w:rsidP="00641E0F">
            <w:pPr>
              <w:pStyle w:val="ListParagraph"/>
              <w:spacing w:after="0" w:line="240" w:lineRule="auto"/>
              <w:ind w:left="0"/>
              <w:jc w:val="left"/>
              <w:rPr>
                <w:rFonts w:ascii="Times New Roman" w:hAnsi="Times New Roman"/>
                <w:b/>
                <w:sz w:val="16"/>
                <w:szCs w:val="16"/>
                <w:vertAlign w:val="subscript"/>
                <w:lang w:val="en-US"/>
              </w:rPr>
            </w:pPr>
            <w:r w:rsidRPr="003E4F70">
              <w:rPr>
                <w:rFonts w:ascii="Times New Roman" w:hAnsi="Times New Roman"/>
                <w:b/>
                <w:sz w:val="16"/>
                <w:szCs w:val="16"/>
                <w:lang w:val="en-US"/>
              </w:rPr>
              <w:t>Φ</w:t>
            </w:r>
            <w:r w:rsidRPr="00410BA3">
              <w:rPr>
                <w:rFonts w:ascii="Times New Roman" w:hAnsi="Times New Roman"/>
                <w:b/>
                <w:sz w:val="16"/>
                <w:szCs w:val="16"/>
                <w:vertAlign w:val="subscript"/>
                <w:lang w:val="en-US"/>
              </w:rPr>
              <w:t>(a</w:t>
            </w:r>
            <w:r>
              <w:rPr>
                <w:rFonts w:ascii="Times New Roman" w:hAnsi="Times New Roman"/>
                <w:b/>
                <w:sz w:val="16"/>
                <w:szCs w:val="16"/>
                <w:vertAlign w:val="subscript"/>
                <w:lang w:val="en-US"/>
              </w:rPr>
              <w:t>(1</w:t>
            </w:r>
            <w:r w:rsidRPr="003E4F70">
              <w:rPr>
                <w:rFonts w:ascii="Times New Roman" w:hAnsi="Times New Roman"/>
                <w:b/>
                <w:sz w:val="16"/>
                <w:szCs w:val="16"/>
                <w:vertAlign w:val="subscript"/>
                <w:lang w:val="en-US"/>
              </w:rPr>
              <w:t>).cohort)</w:t>
            </w:r>
            <w:r>
              <w:rPr>
                <w:rFonts w:ascii="Times New Roman" w:hAnsi="Times New Roman"/>
                <w:b/>
                <w:sz w:val="16"/>
                <w:szCs w:val="16"/>
                <w:vertAlign w:val="subscript"/>
                <w:lang w:val="en-US"/>
              </w:rPr>
              <w:t>+ 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FR,AF</w:t>
            </w:r>
            <w:r>
              <w:rPr>
                <w:rFonts w:ascii="Times New Roman" w:hAnsi="Times New Roman"/>
                <w:b/>
                <w:sz w:val="16"/>
                <w:szCs w:val="16"/>
                <w:vertAlign w:val="subscript"/>
                <w:lang w:val="en-US"/>
              </w:rPr>
              <w:t>+a(2</w:t>
            </w:r>
            <w:r w:rsidRPr="003E4F70">
              <w:rPr>
                <w:rFonts w:ascii="Times New Roman" w:hAnsi="Times New Roman"/>
                <w:b/>
                <w:sz w:val="16"/>
                <w:szCs w:val="16"/>
                <w:vertAlign w:val="subscript"/>
                <w:lang w:val="en-US"/>
              </w:rPr>
              <w:t>:4)</w:t>
            </w:r>
            <w:r>
              <w:rPr>
                <w:rFonts w:ascii="Times New Roman" w:hAnsi="Times New Roman"/>
                <w:b/>
                <w:position w:val="-6"/>
                <w:sz w:val="12"/>
                <w:szCs w:val="12"/>
                <w:vertAlign w:val="subscript"/>
                <w:lang w:val="en-US"/>
              </w:rPr>
              <w:t>IT,IB</w:t>
            </w:r>
            <w:r>
              <w:rPr>
                <w:rFonts w:ascii="Times New Roman" w:hAnsi="Times New Roman"/>
                <w:b/>
                <w:sz w:val="16"/>
                <w:szCs w:val="16"/>
                <w:vertAlign w:val="subscript"/>
                <w:lang w:val="en-US"/>
              </w:rPr>
              <w:t>+</w:t>
            </w:r>
            <w:r w:rsidRPr="003E4F70">
              <w:rPr>
                <w:rFonts w:ascii="Times New Roman" w:hAnsi="Times New Roman"/>
                <w:b/>
                <w:sz w:val="16"/>
                <w:szCs w:val="16"/>
                <w:vertAlign w:val="subscript"/>
                <w:lang w:val="en-US"/>
              </w:rPr>
              <w:t xml:space="preserve"> a(5:</w:t>
            </w:r>
            <w:r>
              <w:rPr>
                <w:rFonts w:ascii="Times New Roman" w:hAnsi="Times New Roman"/>
                <w:b/>
                <w:sz w:val="16"/>
                <w:szCs w:val="16"/>
                <w:vertAlign w:val="subscript"/>
                <w:lang w:val="en-US"/>
              </w:rPr>
              <w:t>32</w:t>
            </w:r>
            <w:r w:rsidRPr="003E4F70">
              <w:rPr>
                <w:rFonts w:ascii="Times New Roman" w:hAnsi="Times New Roman"/>
                <w:b/>
                <w:sz w:val="16"/>
                <w:szCs w:val="16"/>
                <w:vertAlign w:val="subscript"/>
                <w:lang w:val="en-US"/>
              </w:rPr>
              <w:t>)</w:t>
            </w:r>
            <w:r w:rsidRPr="00BD65C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proofErr w:type="spellStart"/>
            <w:r w:rsidRPr="003E4F70">
              <w:rPr>
                <w:rFonts w:ascii="Times New Roman" w:hAnsi="Times New Roman"/>
                <w:b/>
                <w:sz w:val="16"/>
                <w:szCs w:val="16"/>
                <w:lang w:val="en-US"/>
              </w:rPr>
              <w:t>Ψ</w:t>
            </w:r>
            <w:r>
              <w:rPr>
                <w:rFonts w:ascii="Times New Roman" w:hAnsi="Times New Roman"/>
                <w:sz w:val="16"/>
                <w:szCs w:val="16"/>
                <w:vertAlign w:val="subscript"/>
                <w:lang w:val="en-US"/>
              </w:rPr>
              <w:t>a</w:t>
            </w:r>
            <w:proofErr w:type="spellEnd"/>
            <w:r>
              <w:rPr>
                <w:rFonts w:ascii="Times New Roman" w:hAnsi="Times New Roman"/>
                <w:sz w:val="16"/>
                <w:szCs w:val="16"/>
                <w:vertAlign w:val="subscript"/>
                <w:lang w:val="en-US"/>
              </w:rPr>
              <w:t>(1)</w:t>
            </w:r>
            <w:r w:rsidRPr="003E4F70">
              <w:rPr>
                <w:rFonts w:ascii="Times New Roman" w:hAnsi="Times New Roman"/>
                <w:b/>
                <w:sz w:val="16"/>
                <w:szCs w:val="16"/>
                <w:vertAlign w:val="subscript"/>
                <w:lang w:val="en-US"/>
              </w:rPr>
              <w:t>+(a(2: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).season)</w:t>
            </w:r>
            <w:r w:rsidRPr="003E4F70">
              <w:rPr>
                <w:rFonts w:ascii="Times New Roman" w:hAnsi="Times New Roman"/>
                <w:b/>
                <w:sz w:val="16"/>
                <w:szCs w:val="16"/>
                <w:lang w:val="en-US"/>
              </w:rPr>
              <w:t>,</w:t>
            </w:r>
            <w:r w:rsidRPr="003E4F70">
              <w:rPr>
                <w:rFonts w:ascii="Times New Roman" w:hAnsi="Times New Roman"/>
                <w:b/>
                <w:sz w:val="16"/>
                <w:szCs w:val="16"/>
                <w:vertAlign w:val="subscript"/>
                <w:lang w:val="en-US"/>
              </w:rPr>
              <w:t xml:space="preserve"> </w:t>
            </w:r>
            <w:r w:rsidRPr="003E4F70">
              <w:rPr>
                <w:rFonts w:ascii="Times New Roman" w:hAnsi="Times New Roman"/>
                <w:b/>
                <w:sz w:val="16"/>
                <w:szCs w:val="16"/>
                <w:lang w:val="en-US"/>
              </w:rPr>
              <w:t>ε</w:t>
            </w:r>
            <w:r w:rsidRPr="003E4F70">
              <w:rPr>
                <w:rFonts w:ascii="Times New Roman" w:hAnsi="Times New Roman"/>
                <w:b/>
                <w:sz w:val="16"/>
                <w:szCs w:val="16"/>
                <w:vertAlign w:val="subscript"/>
                <w:lang w:val="en-US"/>
              </w:rPr>
              <w:t>(a(1))+(a(2:</w:t>
            </w:r>
            <w:r>
              <w:rPr>
                <w:rFonts w:ascii="Times New Roman" w:hAnsi="Times New Roman"/>
                <w:sz w:val="16"/>
                <w:szCs w:val="16"/>
                <w:vertAlign w:val="subscript"/>
                <w:lang w:val="en-US"/>
              </w:rPr>
              <w:t>32</w:t>
            </w:r>
            <w:r w:rsidRPr="003E4F70">
              <w:rPr>
                <w:rFonts w:ascii="Times New Roman" w:hAnsi="Times New Roman"/>
                <w:b/>
                <w:sz w:val="16"/>
                <w:szCs w:val="16"/>
                <w:vertAlign w:val="subscript"/>
                <w:lang w:val="en-US"/>
              </w:rPr>
              <w:t>))</w:t>
            </w:r>
          </w:p>
          <w:p w:rsidR="00971521" w:rsidRDefault="00971521" w:rsidP="00641E0F">
            <w:pPr>
              <w:pStyle w:val="ListParagraph"/>
              <w:spacing w:after="0" w:line="240" w:lineRule="auto"/>
              <w:ind w:left="0"/>
              <w:jc w:val="left"/>
              <w:rPr>
                <w:rFonts w:ascii="Times New Roman" w:hAnsi="Times New Roman"/>
                <w:sz w:val="16"/>
                <w:szCs w:val="16"/>
                <w:lang w:val="en-US"/>
              </w:rPr>
            </w:pPr>
            <w:r>
              <w:rPr>
                <w:rFonts w:ascii="Times New Roman" w:hAnsi="Times New Roman"/>
                <w:sz w:val="16"/>
                <w:szCs w:val="16"/>
                <w:lang w:val="en-US"/>
              </w:rPr>
              <w:t>Differential mortality between juveniles that have dispersed  to intermediate-distance sites (Italy and Iberian Peninsula) and juveniles that have not dispersed to intermediate-distance sites (France and Africa)</w:t>
            </w:r>
          </w:p>
          <w:p w:rsidR="00971521" w:rsidRPr="001B775B" w:rsidRDefault="00971521" w:rsidP="00641E0F">
            <w:pPr>
              <w:pStyle w:val="ListParagraph"/>
              <w:spacing w:after="0" w:line="240" w:lineRule="auto"/>
              <w:ind w:left="0"/>
              <w:jc w:val="left"/>
              <w:rPr>
                <w:rFonts w:ascii="Times New Roman" w:hAnsi="Times New Roman"/>
                <w:sz w:val="16"/>
                <w:szCs w:val="16"/>
                <w:lang w:val="en-US"/>
              </w:rPr>
            </w:pPr>
          </w:p>
        </w:tc>
        <w:tc>
          <w:tcPr>
            <w:tcW w:w="527" w:type="dxa"/>
            <w:tcBorders>
              <w:top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150</w:t>
            </w:r>
          </w:p>
        </w:tc>
        <w:tc>
          <w:tcPr>
            <w:tcW w:w="877" w:type="dxa"/>
            <w:tcBorders>
              <w:top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25816.90</w:t>
            </w:r>
          </w:p>
        </w:tc>
        <w:tc>
          <w:tcPr>
            <w:tcW w:w="877" w:type="dxa"/>
            <w:tcBorders>
              <w:top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16326.59</w:t>
            </w:r>
          </w:p>
        </w:tc>
        <w:tc>
          <w:tcPr>
            <w:tcW w:w="898" w:type="dxa"/>
            <w:tcBorders>
              <w:top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0.20</w:t>
            </w:r>
          </w:p>
        </w:tc>
        <w:tc>
          <w:tcPr>
            <w:tcW w:w="747" w:type="dxa"/>
            <w:tcBorders>
              <w:top w:val="nil"/>
            </w:tcBorders>
          </w:tcPr>
          <w:p w:rsidR="00971521" w:rsidRPr="00DD1BDA" w:rsidRDefault="00971521" w:rsidP="00641E0F">
            <w:pPr>
              <w:jc w:val="left"/>
              <w:rPr>
                <w:rFonts w:ascii="Times New Roman" w:hAnsi="Times New Roman"/>
                <w:color w:val="000000"/>
                <w:sz w:val="16"/>
                <w:szCs w:val="16"/>
              </w:rPr>
            </w:pPr>
            <w:r w:rsidRPr="00DD1BDA">
              <w:rPr>
                <w:rFonts w:ascii="Times New Roman" w:hAnsi="Times New Roman"/>
                <w:color w:val="000000"/>
                <w:sz w:val="16"/>
                <w:szCs w:val="16"/>
              </w:rPr>
              <w:t>0.154</w:t>
            </w:r>
          </w:p>
        </w:tc>
      </w:tr>
    </w:tbl>
    <w:p w:rsidR="00971521" w:rsidRDefault="00971521" w:rsidP="00971521">
      <w:pPr>
        <w:pStyle w:val="Caption"/>
        <w:keepNext/>
        <w:spacing w:after="0"/>
        <w:ind w:right="1252"/>
        <w:rPr>
          <w:rFonts w:ascii="Times New Roman" w:hAnsi="Times New Roman"/>
          <w:color w:val="auto"/>
          <w:sz w:val="16"/>
          <w:szCs w:val="16"/>
          <w:lang w:val="en-GB"/>
        </w:rPr>
      </w:pPr>
      <w:r w:rsidRPr="00E71EDE">
        <w:rPr>
          <w:rFonts w:ascii="Times New Roman" w:hAnsi="Times New Roman"/>
          <w:b w:val="0"/>
          <w:color w:val="auto"/>
          <w:sz w:val="20"/>
          <w:szCs w:val="20"/>
          <w:lang w:val="en-US"/>
        </w:rPr>
        <w:t>Age class is symbolized by the letter “a”</w:t>
      </w:r>
      <w:r>
        <w:rPr>
          <w:rFonts w:ascii="Times New Roman" w:hAnsi="Times New Roman"/>
          <w:b w:val="0"/>
          <w:color w:val="auto"/>
          <w:sz w:val="20"/>
          <w:szCs w:val="20"/>
          <w:lang w:val="en-US"/>
        </w:rPr>
        <w:t xml:space="preserve">, numbers in brackets represent season number (1 being the first winter and 32 the last winter) and the “:” symbolizes the concatenation of seasons into a single group (e.g. </w:t>
      </w:r>
      <w:proofErr w:type="gramStart"/>
      <w:r>
        <w:rPr>
          <w:rFonts w:ascii="Times New Roman" w:hAnsi="Times New Roman"/>
          <w:b w:val="0"/>
          <w:color w:val="auto"/>
          <w:sz w:val="20"/>
          <w:szCs w:val="20"/>
          <w:lang w:val="en-US"/>
        </w:rPr>
        <w:t>a(</w:t>
      </w:r>
      <w:proofErr w:type="gramEnd"/>
      <w:r>
        <w:rPr>
          <w:rFonts w:ascii="Times New Roman" w:hAnsi="Times New Roman"/>
          <w:b w:val="0"/>
          <w:color w:val="auto"/>
          <w:sz w:val="20"/>
          <w:szCs w:val="20"/>
          <w:lang w:val="en-US"/>
        </w:rPr>
        <w:t>1:4) represents the age class: from first winter to 4</w:t>
      </w:r>
      <w:r w:rsidRPr="006F16CA">
        <w:rPr>
          <w:rFonts w:ascii="Times New Roman" w:hAnsi="Times New Roman"/>
          <w:b w:val="0"/>
          <w:color w:val="auto"/>
          <w:sz w:val="20"/>
          <w:szCs w:val="20"/>
          <w:vertAlign w:val="superscript"/>
          <w:lang w:val="en-US"/>
        </w:rPr>
        <w:t>th</w:t>
      </w:r>
      <w:r>
        <w:rPr>
          <w:rFonts w:ascii="Times New Roman" w:hAnsi="Times New Roman"/>
          <w:b w:val="0"/>
          <w:color w:val="auto"/>
          <w:sz w:val="20"/>
          <w:szCs w:val="20"/>
          <w:lang w:val="en-US"/>
        </w:rPr>
        <w:t xml:space="preserve"> summer, i.e. the first two years of life).  </w:t>
      </w:r>
      <w:r w:rsidRPr="00E71EDE">
        <w:rPr>
          <w:rFonts w:ascii="Times New Roman" w:hAnsi="Times New Roman"/>
          <w:b w:val="0"/>
          <w:color w:val="auto"/>
          <w:sz w:val="20"/>
          <w:szCs w:val="20"/>
          <w:lang w:val="en-US"/>
        </w:rPr>
        <w:t xml:space="preserve">Geographical location is symbolized as “FR” (France), “IT” (Italy), “IB” (Iberian Peninsula) and “AF” (Africa).  </w:t>
      </w:r>
    </w:p>
    <w:p w:rsidR="00971521" w:rsidRDefault="00971521" w:rsidP="00971521">
      <w:pPr>
        <w:pStyle w:val="Caption"/>
        <w:keepNext/>
        <w:rPr>
          <w:rFonts w:ascii="Times New Roman" w:hAnsi="Times New Roman"/>
          <w:color w:val="auto"/>
          <w:sz w:val="16"/>
          <w:szCs w:val="16"/>
          <w:lang w:val="en-GB"/>
        </w:rPr>
        <w:sectPr w:rsidR="00971521" w:rsidSect="00415C87">
          <w:pgSz w:w="11906" w:h="16838"/>
          <w:pgMar w:top="720" w:right="720" w:bottom="720" w:left="720" w:header="709" w:footer="709" w:gutter="0"/>
          <w:cols w:space="708"/>
          <w:docGrid w:linePitch="360"/>
        </w:sectPr>
      </w:pPr>
    </w:p>
    <w:p w:rsidR="00971521" w:rsidRPr="0030088B" w:rsidRDefault="00971521" w:rsidP="00971521">
      <w:pPr>
        <w:keepNext/>
        <w:rPr>
          <w:rFonts w:ascii="Times New Roman" w:hAnsi="Times New Roman"/>
          <w:sz w:val="20"/>
          <w:szCs w:val="20"/>
          <w:lang w:val="en-GB"/>
        </w:rPr>
      </w:pPr>
      <w:r>
        <w:rPr>
          <w:noProof/>
          <w:lang w:val="en-GB" w:eastAsia="en-GB"/>
        </w:rPr>
        <w:lastRenderedPageBreak/>
        <w:drawing>
          <wp:inline distT="0" distB="0" distL="0" distR="0" wp14:anchorId="13D17B7D" wp14:editId="667B2C6C">
            <wp:extent cx="5760720" cy="3773314"/>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Pr="0030088B">
        <w:rPr>
          <w:rFonts w:ascii="Times New Roman" w:hAnsi="Times New Roman"/>
          <w:b/>
          <w:sz w:val="20"/>
          <w:szCs w:val="20"/>
          <w:lang w:val="en-GB"/>
        </w:rPr>
        <w:t>Figure S</w:t>
      </w:r>
      <w:r w:rsidRPr="0030088B">
        <w:rPr>
          <w:rFonts w:ascii="Times New Roman" w:hAnsi="Times New Roman"/>
          <w:b/>
          <w:sz w:val="20"/>
          <w:szCs w:val="20"/>
        </w:rPr>
        <w:fldChar w:fldCharType="begin"/>
      </w:r>
      <w:r w:rsidRPr="0030088B">
        <w:rPr>
          <w:rFonts w:ascii="Times New Roman" w:hAnsi="Times New Roman"/>
          <w:b/>
          <w:sz w:val="20"/>
          <w:szCs w:val="20"/>
          <w:lang w:val="en-GB"/>
        </w:rPr>
        <w:instrText xml:space="preserve"> SEQ Figure_S \* ARABIC </w:instrText>
      </w:r>
      <w:r w:rsidRPr="0030088B">
        <w:rPr>
          <w:rFonts w:ascii="Times New Roman" w:hAnsi="Times New Roman"/>
          <w:b/>
          <w:sz w:val="20"/>
          <w:szCs w:val="20"/>
        </w:rPr>
        <w:fldChar w:fldCharType="separate"/>
      </w:r>
      <w:r w:rsidR="00DC3D8D">
        <w:rPr>
          <w:rFonts w:ascii="Times New Roman" w:hAnsi="Times New Roman"/>
          <w:b/>
          <w:noProof/>
          <w:sz w:val="20"/>
          <w:szCs w:val="20"/>
          <w:lang w:val="en-GB"/>
        </w:rPr>
        <w:t>1</w:t>
      </w:r>
      <w:r w:rsidRPr="0030088B">
        <w:rPr>
          <w:rFonts w:ascii="Times New Roman" w:hAnsi="Times New Roman"/>
          <w:b/>
          <w:sz w:val="20"/>
          <w:szCs w:val="20"/>
        </w:rPr>
        <w:fldChar w:fldCharType="end"/>
      </w:r>
      <w:r w:rsidRPr="0030088B">
        <w:rPr>
          <w:rFonts w:ascii="Times New Roman" w:hAnsi="Times New Roman"/>
          <w:b/>
          <w:sz w:val="20"/>
          <w:szCs w:val="20"/>
          <w:lang w:val="en-GB"/>
        </w:rPr>
        <w:t> :</w:t>
      </w:r>
      <w:r w:rsidRPr="0030088B">
        <w:rPr>
          <w:rFonts w:ascii="Times New Roman" w:hAnsi="Times New Roman"/>
          <w:sz w:val="20"/>
          <w:szCs w:val="20"/>
          <w:lang w:val="en-GB"/>
        </w:rPr>
        <w:t xml:space="preserve"> Estimates of survival (95% confidence intervals) of flamingos according to model 13.</w:t>
      </w:r>
    </w:p>
    <w:p w:rsidR="00971521" w:rsidRPr="00001821" w:rsidRDefault="00971521" w:rsidP="00971521">
      <w:pPr>
        <w:keepNext/>
        <w:rPr>
          <w:sz w:val="20"/>
          <w:szCs w:val="20"/>
          <w:lang w:val="en-GB"/>
        </w:rPr>
      </w:pPr>
      <w:r>
        <w:rPr>
          <w:noProof/>
          <w:lang w:val="en-GB" w:eastAsia="en-GB"/>
        </w:rPr>
        <w:drawing>
          <wp:inline distT="0" distB="0" distL="0" distR="0" wp14:anchorId="1E64060D" wp14:editId="7E48D9E4">
            <wp:extent cx="5761281" cy="4134434"/>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30088B">
        <w:rPr>
          <w:rFonts w:ascii="Times New Roman" w:hAnsi="Times New Roman"/>
          <w:b/>
          <w:sz w:val="20"/>
          <w:szCs w:val="20"/>
          <w:lang w:val="en-GB"/>
        </w:rPr>
        <w:t>Figure S</w:t>
      </w:r>
      <w:r w:rsidRPr="0030088B">
        <w:rPr>
          <w:rFonts w:ascii="Times New Roman" w:hAnsi="Times New Roman"/>
          <w:b/>
          <w:sz w:val="20"/>
          <w:szCs w:val="20"/>
        </w:rPr>
        <w:fldChar w:fldCharType="begin"/>
      </w:r>
      <w:r w:rsidRPr="0030088B">
        <w:rPr>
          <w:rFonts w:ascii="Times New Roman" w:hAnsi="Times New Roman"/>
          <w:b/>
          <w:sz w:val="20"/>
          <w:szCs w:val="20"/>
          <w:lang w:val="en-GB"/>
        </w:rPr>
        <w:instrText xml:space="preserve"> SEQ Figure_S \* ARABIC </w:instrText>
      </w:r>
      <w:r w:rsidRPr="0030088B">
        <w:rPr>
          <w:rFonts w:ascii="Times New Roman" w:hAnsi="Times New Roman"/>
          <w:b/>
          <w:sz w:val="20"/>
          <w:szCs w:val="20"/>
        </w:rPr>
        <w:fldChar w:fldCharType="separate"/>
      </w:r>
      <w:r w:rsidR="00DC3D8D">
        <w:rPr>
          <w:rFonts w:ascii="Times New Roman" w:hAnsi="Times New Roman"/>
          <w:b/>
          <w:noProof/>
          <w:sz w:val="20"/>
          <w:szCs w:val="20"/>
          <w:lang w:val="en-GB"/>
        </w:rPr>
        <w:t>2</w:t>
      </w:r>
      <w:r w:rsidRPr="0030088B">
        <w:rPr>
          <w:rFonts w:ascii="Times New Roman" w:hAnsi="Times New Roman"/>
          <w:b/>
          <w:sz w:val="20"/>
          <w:szCs w:val="20"/>
        </w:rPr>
        <w:fldChar w:fldCharType="end"/>
      </w:r>
      <w:r w:rsidRPr="0030088B">
        <w:rPr>
          <w:rFonts w:ascii="Times New Roman" w:hAnsi="Times New Roman"/>
          <w:b/>
          <w:sz w:val="20"/>
          <w:szCs w:val="20"/>
          <w:lang w:val="en-GB"/>
        </w:rPr>
        <w:t> :</w:t>
      </w:r>
      <w:r w:rsidRPr="0030088B">
        <w:rPr>
          <w:rFonts w:ascii="Times New Roman" w:hAnsi="Times New Roman"/>
          <w:sz w:val="20"/>
          <w:szCs w:val="20"/>
          <w:lang w:val="en-GB"/>
        </w:rPr>
        <w:t xml:space="preserve"> Estimates of </w:t>
      </w:r>
      <w:r>
        <w:rPr>
          <w:rFonts w:ascii="Times New Roman" w:hAnsi="Times New Roman"/>
          <w:sz w:val="20"/>
          <w:szCs w:val="20"/>
          <w:lang w:val="en-GB"/>
        </w:rPr>
        <w:t xml:space="preserve">post-fledging </w:t>
      </w:r>
      <w:r w:rsidRPr="0030088B">
        <w:rPr>
          <w:rFonts w:ascii="Times New Roman" w:hAnsi="Times New Roman"/>
          <w:sz w:val="20"/>
          <w:szCs w:val="20"/>
          <w:lang w:val="en-GB"/>
        </w:rPr>
        <w:t xml:space="preserve">dispersal </w:t>
      </w:r>
      <w:r>
        <w:rPr>
          <w:rFonts w:ascii="Times New Roman" w:hAnsi="Times New Roman"/>
          <w:sz w:val="20"/>
          <w:szCs w:val="20"/>
          <w:lang w:val="en-GB"/>
        </w:rPr>
        <w:t xml:space="preserve">and subsequent movement </w:t>
      </w:r>
      <w:r w:rsidRPr="0030088B">
        <w:rPr>
          <w:rFonts w:ascii="Times New Roman" w:hAnsi="Times New Roman"/>
          <w:sz w:val="20"/>
          <w:szCs w:val="20"/>
          <w:lang w:val="en-GB"/>
        </w:rPr>
        <w:t>probabilit</w:t>
      </w:r>
      <w:r>
        <w:rPr>
          <w:rFonts w:ascii="Times New Roman" w:hAnsi="Times New Roman"/>
          <w:sz w:val="20"/>
          <w:szCs w:val="20"/>
          <w:lang w:val="en-GB"/>
        </w:rPr>
        <w:t>ies</w:t>
      </w:r>
      <w:r w:rsidRPr="0030088B">
        <w:rPr>
          <w:rFonts w:ascii="Times New Roman" w:hAnsi="Times New Roman"/>
          <w:sz w:val="20"/>
          <w:szCs w:val="20"/>
          <w:lang w:val="en-GB"/>
        </w:rPr>
        <w:t xml:space="preserve"> (95% confidence intervals) of flamingos according to model 13.</w:t>
      </w:r>
    </w:p>
    <w:p w:rsidR="00971521" w:rsidRPr="0030088B" w:rsidRDefault="00971521" w:rsidP="00971521">
      <w:pPr>
        <w:keepNext/>
        <w:spacing w:line="240" w:lineRule="auto"/>
        <w:rPr>
          <w:rFonts w:ascii="Times New Roman" w:hAnsi="Times New Roman"/>
          <w:sz w:val="20"/>
          <w:szCs w:val="20"/>
          <w:lang w:val="en-GB"/>
        </w:rPr>
      </w:pPr>
      <w:r>
        <w:rPr>
          <w:noProof/>
          <w:lang w:val="en-GB" w:eastAsia="en-GB"/>
        </w:rPr>
        <w:lastRenderedPageBreak/>
        <w:drawing>
          <wp:inline distT="0" distB="0" distL="0" distR="0" wp14:anchorId="4BDBF05F" wp14:editId="4FA13F9B">
            <wp:extent cx="5867868" cy="3837114"/>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30088B">
        <w:rPr>
          <w:rFonts w:ascii="Times New Roman" w:hAnsi="Times New Roman"/>
          <w:b/>
          <w:sz w:val="20"/>
          <w:szCs w:val="20"/>
          <w:lang w:val="en-GB"/>
        </w:rPr>
        <w:t>Figure S</w:t>
      </w:r>
      <w:r w:rsidRPr="0030088B">
        <w:rPr>
          <w:rFonts w:ascii="Times New Roman" w:hAnsi="Times New Roman"/>
          <w:b/>
          <w:sz w:val="20"/>
          <w:szCs w:val="20"/>
        </w:rPr>
        <w:fldChar w:fldCharType="begin"/>
      </w:r>
      <w:r w:rsidRPr="0030088B">
        <w:rPr>
          <w:rFonts w:ascii="Times New Roman" w:hAnsi="Times New Roman"/>
          <w:b/>
          <w:sz w:val="20"/>
          <w:szCs w:val="20"/>
          <w:lang w:val="en-GB"/>
        </w:rPr>
        <w:instrText xml:space="preserve"> SEQ Figure_S \* ARABIC </w:instrText>
      </w:r>
      <w:r w:rsidRPr="0030088B">
        <w:rPr>
          <w:rFonts w:ascii="Times New Roman" w:hAnsi="Times New Roman"/>
          <w:b/>
          <w:sz w:val="20"/>
          <w:szCs w:val="20"/>
        </w:rPr>
        <w:fldChar w:fldCharType="separate"/>
      </w:r>
      <w:r w:rsidR="00DC3D8D">
        <w:rPr>
          <w:rFonts w:ascii="Times New Roman" w:hAnsi="Times New Roman"/>
          <w:b/>
          <w:noProof/>
          <w:sz w:val="20"/>
          <w:szCs w:val="20"/>
          <w:lang w:val="en-GB"/>
        </w:rPr>
        <w:t>3</w:t>
      </w:r>
      <w:r w:rsidRPr="0030088B">
        <w:rPr>
          <w:rFonts w:ascii="Times New Roman" w:hAnsi="Times New Roman"/>
          <w:b/>
          <w:sz w:val="20"/>
          <w:szCs w:val="20"/>
        </w:rPr>
        <w:fldChar w:fldCharType="end"/>
      </w:r>
      <w:r w:rsidRPr="0030088B">
        <w:rPr>
          <w:rFonts w:ascii="Times New Roman" w:hAnsi="Times New Roman"/>
          <w:b/>
          <w:sz w:val="20"/>
          <w:szCs w:val="20"/>
          <w:lang w:val="en-GB"/>
        </w:rPr>
        <w:t> :</w:t>
      </w:r>
      <w:r w:rsidRPr="0030088B">
        <w:rPr>
          <w:rFonts w:ascii="Times New Roman" w:hAnsi="Times New Roman"/>
          <w:sz w:val="20"/>
          <w:szCs w:val="20"/>
          <w:lang w:val="en-GB"/>
        </w:rPr>
        <w:t xml:space="preserve"> </w:t>
      </w:r>
      <w:r>
        <w:rPr>
          <w:rFonts w:ascii="Times New Roman" w:hAnsi="Times New Roman"/>
          <w:sz w:val="20"/>
          <w:szCs w:val="20"/>
          <w:lang w:val="en-GB"/>
        </w:rPr>
        <w:t xml:space="preserve">Probabilities </w:t>
      </w:r>
      <w:r w:rsidRPr="0030088B">
        <w:rPr>
          <w:rFonts w:ascii="Times New Roman" w:hAnsi="Times New Roman"/>
          <w:sz w:val="20"/>
          <w:szCs w:val="20"/>
          <w:lang w:val="en-GB"/>
        </w:rPr>
        <w:t>(95% confidence intervals)</w:t>
      </w:r>
      <w:r>
        <w:rPr>
          <w:rFonts w:ascii="Times New Roman" w:hAnsi="Times New Roman"/>
          <w:sz w:val="20"/>
          <w:szCs w:val="20"/>
          <w:lang w:val="en-GB"/>
        </w:rPr>
        <w:t xml:space="preserve"> of moving to different destinations by Greater flamingos at post-fledging </w:t>
      </w:r>
      <w:r w:rsidRPr="0030088B">
        <w:rPr>
          <w:rFonts w:ascii="Times New Roman" w:hAnsi="Times New Roman"/>
          <w:sz w:val="20"/>
          <w:szCs w:val="20"/>
          <w:lang w:val="en-GB"/>
        </w:rPr>
        <w:t>disper</w:t>
      </w:r>
      <w:r>
        <w:rPr>
          <w:rFonts w:ascii="Times New Roman" w:hAnsi="Times New Roman"/>
          <w:sz w:val="20"/>
          <w:szCs w:val="20"/>
          <w:lang w:val="en-GB"/>
        </w:rPr>
        <w:t>sal and in subsequent years</w:t>
      </w:r>
      <w:r w:rsidRPr="0030088B">
        <w:rPr>
          <w:rFonts w:ascii="Times New Roman" w:hAnsi="Times New Roman"/>
          <w:sz w:val="20"/>
          <w:szCs w:val="20"/>
          <w:lang w:val="en-GB"/>
        </w:rPr>
        <w:t xml:space="preserve"> according to model 13.</w:t>
      </w:r>
    </w:p>
    <w:p w:rsidR="00971521" w:rsidRDefault="00971521" w:rsidP="00971521">
      <w:pPr>
        <w:rPr>
          <w:lang w:val="en-US"/>
        </w:rPr>
      </w:pPr>
    </w:p>
    <w:p w:rsidR="00971521" w:rsidRPr="0079532D" w:rsidRDefault="00971521" w:rsidP="002B3C36">
      <w:pPr>
        <w:pStyle w:val="Bibliography"/>
        <w:spacing w:after="100" w:afterAutospacing="1"/>
        <w:rPr>
          <w:rFonts w:ascii="Times New Roman" w:hAnsi="Times New Roman"/>
          <w:b/>
          <w:sz w:val="24"/>
          <w:szCs w:val="24"/>
          <w:lang w:val="en-GB"/>
        </w:rPr>
      </w:pPr>
      <w:bookmarkStart w:id="0" w:name="_GoBack"/>
      <w:bookmarkEnd w:id="0"/>
      <w:r w:rsidRPr="0079532D">
        <w:rPr>
          <w:rFonts w:ascii="Times New Roman" w:hAnsi="Times New Roman"/>
          <w:b/>
          <w:sz w:val="24"/>
          <w:szCs w:val="24"/>
          <w:lang w:val="en-GB"/>
        </w:rPr>
        <w:t>References</w:t>
      </w:r>
    </w:p>
    <w:p w:rsidR="00971521" w:rsidRPr="00971521" w:rsidRDefault="00971521" w:rsidP="00971521">
      <w:pPr>
        <w:pStyle w:val="Bibliography"/>
        <w:rPr>
          <w:rFonts w:ascii="Times New Roman" w:hAnsi="Times New Roman"/>
          <w:sz w:val="24"/>
        </w:rPr>
      </w:pPr>
      <w:r w:rsidRPr="0079532D">
        <w:fldChar w:fldCharType="begin"/>
      </w:r>
      <w:r>
        <w:rPr>
          <w:lang w:val="en-GB"/>
        </w:rPr>
        <w:instrText xml:space="preserve"> ADDIN ZOTERO_BIBL {"custom":[]} CSL_BIBLIOGRAPHY </w:instrText>
      </w:r>
      <w:r w:rsidRPr="0079532D">
        <w:fldChar w:fldCharType="separate"/>
      </w:r>
      <w:r w:rsidRPr="00971521">
        <w:rPr>
          <w:rFonts w:ascii="Times New Roman" w:hAnsi="Times New Roman"/>
          <w:sz w:val="24"/>
          <w:lang w:val="en-GB"/>
        </w:rPr>
        <w:t xml:space="preserve">Sanz-Aguilar, A., Béchet, A., Germain, C., Johnson, A.R. &amp; Pradel, R. (2012) To leave or not to leave: survival trade-offs between different migratory strategies in the greater flamingo. </w:t>
      </w:r>
      <w:r w:rsidRPr="00971521">
        <w:rPr>
          <w:rFonts w:ascii="Times New Roman" w:hAnsi="Times New Roman"/>
          <w:i/>
          <w:iCs/>
          <w:sz w:val="24"/>
        </w:rPr>
        <w:t>Journal of Animal Ecology</w:t>
      </w:r>
      <w:r w:rsidRPr="00971521">
        <w:rPr>
          <w:rFonts w:ascii="Times New Roman" w:hAnsi="Times New Roman"/>
          <w:sz w:val="24"/>
        </w:rPr>
        <w:t xml:space="preserve">, </w:t>
      </w:r>
      <w:r w:rsidRPr="00971521">
        <w:rPr>
          <w:rFonts w:ascii="Times New Roman" w:hAnsi="Times New Roman"/>
          <w:b/>
          <w:bCs/>
          <w:sz w:val="24"/>
        </w:rPr>
        <w:t>81</w:t>
      </w:r>
      <w:r w:rsidRPr="00971521">
        <w:rPr>
          <w:rFonts w:ascii="Times New Roman" w:hAnsi="Times New Roman"/>
          <w:sz w:val="24"/>
        </w:rPr>
        <w:t>, 1171–1182.</w:t>
      </w:r>
    </w:p>
    <w:p w:rsidR="00971521" w:rsidRPr="009F3974" w:rsidRDefault="00971521" w:rsidP="00971521">
      <w:pPr>
        <w:spacing w:after="0" w:line="240" w:lineRule="auto"/>
        <w:ind w:left="1440" w:hanging="720"/>
        <w:jc w:val="left"/>
        <w:rPr>
          <w:rFonts w:ascii="Times New Roman" w:hAnsi="Times New Roman"/>
          <w:sz w:val="12"/>
          <w:szCs w:val="12"/>
          <w:lang w:val="en-US"/>
        </w:rPr>
      </w:pPr>
      <w:r w:rsidRPr="0079532D">
        <w:rPr>
          <w:rFonts w:ascii="Times New Roman" w:hAnsi="Times New Roman"/>
          <w:sz w:val="24"/>
          <w:szCs w:val="24"/>
        </w:rPr>
        <w:fldChar w:fldCharType="end"/>
      </w:r>
    </w:p>
    <w:p w:rsidR="00971521" w:rsidRPr="00161731" w:rsidRDefault="00971521" w:rsidP="00971521">
      <w:pPr>
        <w:rPr>
          <w:lang w:val="en-US"/>
        </w:rPr>
      </w:pPr>
    </w:p>
    <w:p w:rsidR="00971521" w:rsidRPr="00015F95" w:rsidRDefault="00971521" w:rsidP="00971521">
      <w:pPr>
        <w:rPr>
          <w:lang w:val="en-US"/>
        </w:rPr>
      </w:pPr>
    </w:p>
    <w:p w:rsidR="0040643D" w:rsidRDefault="002B3C36"/>
    <w:sectPr w:rsidR="0040643D" w:rsidSect="006F16CA">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2B6"/>
    <w:multiLevelType w:val="hybridMultilevel"/>
    <w:tmpl w:val="A26C9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E0023F"/>
    <w:multiLevelType w:val="hybridMultilevel"/>
    <w:tmpl w:val="D16CC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856D44"/>
    <w:multiLevelType w:val="hybridMultilevel"/>
    <w:tmpl w:val="195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8B54DF"/>
    <w:multiLevelType w:val="hybridMultilevel"/>
    <w:tmpl w:val="736A3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521"/>
    <w:rsid w:val="002311C3"/>
    <w:rsid w:val="002B3C36"/>
    <w:rsid w:val="002F4570"/>
    <w:rsid w:val="00372540"/>
    <w:rsid w:val="004E4950"/>
    <w:rsid w:val="006C7753"/>
    <w:rsid w:val="00971521"/>
    <w:rsid w:val="00B8061A"/>
    <w:rsid w:val="00BB0ECF"/>
    <w:rsid w:val="00DC3D8D"/>
    <w:rsid w:val="00F65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521"/>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71521"/>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9715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521"/>
    <w:rPr>
      <w:rFonts w:ascii="Tahoma" w:eastAsia="Times New Roman" w:hAnsi="Tahoma" w:cs="Tahoma"/>
      <w:sz w:val="16"/>
      <w:szCs w:val="16"/>
      <w:lang w:val="fr-FR"/>
    </w:rPr>
  </w:style>
  <w:style w:type="character" w:styleId="Hyperlink">
    <w:name w:val="Hyperlink"/>
    <w:basedOn w:val="DefaultParagraphFont"/>
    <w:uiPriority w:val="99"/>
    <w:rsid w:val="00971521"/>
    <w:rPr>
      <w:rFonts w:cs="Times New Roman"/>
      <w:color w:val="0000FF"/>
      <w:u w:val="single"/>
    </w:rPr>
  </w:style>
  <w:style w:type="paragraph" w:styleId="Bibliography">
    <w:name w:val="Bibliography"/>
    <w:basedOn w:val="Normal"/>
    <w:next w:val="Normal"/>
    <w:uiPriority w:val="37"/>
    <w:unhideWhenUsed/>
    <w:rsid w:val="00971521"/>
    <w:pPr>
      <w:spacing w:line="240" w:lineRule="auto"/>
      <w:ind w:left="720" w:hanging="720"/>
    </w:pPr>
  </w:style>
  <w:style w:type="table" w:styleId="TableGrid">
    <w:name w:val="Table Grid"/>
    <w:basedOn w:val="TableNormal"/>
    <w:uiPriority w:val="59"/>
    <w:rsid w:val="00971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715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971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71521"/>
    <w:rPr>
      <w:rFonts w:ascii="Courier New" w:eastAsia="Times New Roman" w:hAnsi="Courier New" w:cs="Courier New"/>
      <w:sz w:val="20"/>
      <w:szCs w:val="20"/>
      <w:lang w:eastAsia="en-GB"/>
    </w:rPr>
  </w:style>
  <w:style w:type="table" w:styleId="TableList3">
    <w:name w:val="Table List 3"/>
    <w:basedOn w:val="TableNormal"/>
    <w:rsid w:val="00971521"/>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971521"/>
    <w:pPr>
      <w:ind w:left="720"/>
      <w:contextualSpacing/>
    </w:pPr>
  </w:style>
  <w:style w:type="character" w:styleId="CommentReference">
    <w:name w:val="annotation reference"/>
    <w:basedOn w:val="DefaultParagraphFont"/>
    <w:uiPriority w:val="99"/>
    <w:rsid w:val="00971521"/>
    <w:rPr>
      <w:rFonts w:cs="Times New Roman"/>
      <w:sz w:val="16"/>
    </w:rPr>
  </w:style>
  <w:style w:type="paragraph" w:styleId="CommentText">
    <w:name w:val="annotation text"/>
    <w:basedOn w:val="Normal"/>
    <w:link w:val="CommentTextChar"/>
    <w:uiPriority w:val="99"/>
    <w:rsid w:val="00971521"/>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971521"/>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971521"/>
    <w:rPr>
      <w:rFonts w:cs="Times New Roman"/>
    </w:rPr>
  </w:style>
  <w:style w:type="character" w:customStyle="1" w:styleId="CharChar1">
    <w:name w:val="Char Char1"/>
    <w:uiPriority w:val="99"/>
    <w:rsid w:val="00971521"/>
    <w:rPr>
      <w:lang w:val="fr-FR" w:eastAsia="fr-FR"/>
    </w:rPr>
  </w:style>
  <w:style w:type="paragraph" w:styleId="CommentSubject">
    <w:name w:val="annotation subject"/>
    <w:basedOn w:val="CommentText"/>
    <w:next w:val="CommentText"/>
    <w:link w:val="CommentSubjectChar"/>
    <w:uiPriority w:val="99"/>
    <w:semiHidden/>
    <w:unhideWhenUsed/>
    <w:rsid w:val="00971521"/>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971521"/>
    <w:rPr>
      <w:rFonts w:ascii="Calibri" w:eastAsia="Times New Roman" w:hAnsi="Calibri" w:cs="Times New Roman"/>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521"/>
    <w:pPr>
      <w:spacing w:after="240" w:line="360" w:lineRule="auto"/>
      <w:jc w:val="both"/>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71521"/>
    <w:pPr>
      <w:spacing w:after="200" w:line="240" w:lineRule="auto"/>
      <w:jc w:val="left"/>
    </w:pPr>
    <w:rPr>
      <w:b/>
      <w:bCs/>
      <w:color w:val="4F81BD"/>
      <w:sz w:val="18"/>
      <w:szCs w:val="18"/>
    </w:rPr>
  </w:style>
  <w:style w:type="paragraph" w:styleId="BalloonText">
    <w:name w:val="Balloon Text"/>
    <w:basedOn w:val="Normal"/>
    <w:link w:val="BalloonTextChar"/>
    <w:uiPriority w:val="99"/>
    <w:semiHidden/>
    <w:unhideWhenUsed/>
    <w:rsid w:val="009715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521"/>
    <w:rPr>
      <w:rFonts w:ascii="Tahoma" w:eastAsia="Times New Roman" w:hAnsi="Tahoma" w:cs="Tahoma"/>
      <w:sz w:val="16"/>
      <w:szCs w:val="16"/>
      <w:lang w:val="fr-FR"/>
    </w:rPr>
  </w:style>
  <w:style w:type="character" w:styleId="Hyperlink">
    <w:name w:val="Hyperlink"/>
    <w:basedOn w:val="DefaultParagraphFont"/>
    <w:uiPriority w:val="99"/>
    <w:rsid w:val="00971521"/>
    <w:rPr>
      <w:rFonts w:cs="Times New Roman"/>
      <w:color w:val="0000FF"/>
      <w:u w:val="single"/>
    </w:rPr>
  </w:style>
  <w:style w:type="paragraph" w:styleId="Bibliography">
    <w:name w:val="Bibliography"/>
    <w:basedOn w:val="Normal"/>
    <w:next w:val="Normal"/>
    <w:uiPriority w:val="37"/>
    <w:unhideWhenUsed/>
    <w:rsid w:val="00971521"/>
    <w:pPr>
      <w:spacing w:line="240" w:lineRule="auto"/>
      <w:ind w:left="720" w:hanging="720"/>
    </w:pPr>
  </w:style>
  <w:style w:type="table" w:styleId="TableGrid">
    <w:name w:val="Table Grid"/>
    <w:basedOn w:val="TableNormal"/>
    <w:uiPriority w:val="59"/>
    <w:rsid w:val="00971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715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971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71521"/>
    <w:rPr>
      <w:rFonts w:ascii="Courier New" w:eastAsia="Times New Roman" w:hAnsi="Courier New" w:cs="Courier New"/>
      <w:sz w:val="20"/>
      <w:szCs w:val="20"/>
      <w:lang w:eastAsia="en-GB"/>
    </w:rPr>
  </w:style>
  <w:style w:type="table" w:styleId="TableList3">
    <w:name w:val="Table List 3"/>
    <w:basedOn w:val="TableNormal"/>
    <w:rsid w:val="00971521"/>
    <w:pPr>
      <w:spacing w:after="240" w:line="360"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paragraph" w:styleId="ListParagraph">
    <w:name w:val="List Paragraph"/>
    <w:basedOn w:val="Normal"/>
    <w:uiPriority w:val="34"/>
    <w:qFormat/>
    <w:rsid w:val="00971521"/>
    <w:pPr>
      <w:ind w:left="720"/>
      <w:contextualSpacing/>
    </w:pPr>
  </w:style>
  <w:style w:type="character" w:styleId="CommentReference">
    <w:name w:val="annotation reference"/>
    <w:basedOn w:val="DefaultParagraphFont"/>
    <w:uiPriority w:val="99"/>
    <w:rsid w:val="00971521"/>
    <w:rPr>
      <w:rFonts w:cs="Times New Roman"/>
      <w:sz w:val="16"/>
    </w:rPr>
  </w:style>
  <w:style w:type="paragraph" w:styleId="CommentText">
    <w:name w:val="annotation text"/>
    <w:basedOn w:val="Normal"/>
    <w:link w:val="CommentTextChar"/>
    <w:uiPriority w:val="99"/>
    <w:rsid w:val="00971521"/>
    <w:pPr>
      <w:spacing w:after="0" w:line="240" w:lineRule="auto"/>
      <w:jc w:val="left"/>
    </w:pPr>
    <w:rPr>
      <w:rFonts w:ascii="Times New Roman" w:hAnsi="Times New Roman"/>
      <w:sz w:val="20"/>
      <w:szCs w:val="20"/>
      <w:lang w:eastAsia="fr-FR"/>
    </w:rPr>
  </w:style>
  <w:style w:type="character" w:customStyle="1" w:styleId="CommentTextChar">
    <w:name w:val="Comment Text Char"/>
    <w:basedOn w:val="DefaultParagraphFont"/>
    <w:link w:val="CommentText"/>
    <w:uiPriority w:val="99"/>
    <w:rsid w:val="00971521"/>
    <w:rPr>
      <w:rFonts w:ascii="Times New Roman" w:eastAsia="Times New Roman" w:hAnsi="Times New Roman" w:cs="Times New Roman"/>
      <w:sz w:val="20"/>
      <w:szCs w:val="20"/>
      <w:lang w:val="fr-FR" w:eastAsia="fr-FR"/>
    </w:rPr>
  </w:style>
  <w:style w:type="character" w:customStyle="1" w:styleId="hithilite">
    <w:name w:val="hithilite"/>
    <w:basedOn w:val="DefaultParagraphFont"/>
    <w:uiPriority w:val="99"/>
    <w:rsid w:val="00971521"/>
    <w:rPr>
      <w:rFonts w:cs="Times New Roman"/>
    </w:rPr>
  </w:style>
  <w:style w:type="character" w:customStyle="1" w:styleId="CharChar1">
    <w:name w:val="Char Char1"/>
    <w:uiPriority w:val="99"/>
    <w:rsid w:val="00971521"/>
    <w:rPr>
      <w:lang w:val="fr-FR" w:eastAsia="fr-FR"/>
    </w:rPr>
  </w:style>
  <w:style w:type="paragraph" w:styleId="CommentSubject">
    <w:name w:val="annotation subject"/>
    <w:basedOn w:val="CommentText"/>
    <w:next w:val="CommentText"/>
    <w:link w:val="CommentSubjectChar"/>
    <w:uiPriority w:val="99"/>
    <w:semiHidden/>
    <w:unhideWhenUsed/>
    <w:rsid w:val="00971521"/>
    <w:pPr>
      <w:spacing w:after="240"/>
      <w:jc w:val="both"/>
    </w:pPr>
    <w:rPr>
      <w:rFonts w:ascii="Calibri" w:hAnsi="Calibri"/>
      <w:b/>
      <w:bCs/>
      <w:lang w:eastAsia="en-US"/>
    </w:rPr>
  </w:style>
  <w:style w:type="character" w:customStyle="1" w:styleId="CommentSubjectChar">
    <w:name w:val="Comment Subject Char"/>
    <w:basedOn w:val="CommentTextChar"/>
    <w:link w:val="CommentSubject"/>
    <w:uiPriority w:val="99"/>
    <w:semiHidden/>
    <w:rsid w:val="00971521"/>
    <w:rPr>
      <w:rFonts w:ascii="Calibri" w:eastAsia="Times New Roman" w:hAnsi="Calibri" w:cs="Times New Roman"/>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gillingham\Desktop\Gillingham%20et%20al\Model9-95CI%20modeldebase%20237.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gillingham\Desktop\Gillingham%20et%20al\Model9-95CI%20modeldebase%20237.xls"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gillingham\Desktop\Gillingham%20et%20al\Model9-95CI%20modeldebase%2023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0871158688493071"/>
          <c:y val="3.5530866618784789E-2"/>
          <c:w val="0.48197846796928268"/>
          <c:h val="0.73686591587765649"/>
        </c:manualLayout>
      </c:layout>
      <c:lineChart>
        <c:grouping val="standard"/>
        <c:varyColors val="0"/>
        <c:ser>
          <c:idx val="0"/>
          <c:order val="0"/>
          <c:spPr>
            <a:ln w="28575">
              <a:noFill/>
            </a:ln>
          </c:spPr>
          <c:marker>
            <c:symbol val="diamond"/>
            <c:size val="3"/>
            <c:spPr>
              <a:solidFill>
                <a:schemeClr val="tx1"/>
              </a:solidFill>
            </c:spPr>
          </c:marker>
          <c:errBars>
            <c:errDir val="y"/>
            <c:errBarType val="both"/>
            <c:errValType val="cust"/>
            <c:noEndCap val="0"/>
            <c:plus>
              <c:numRef>
                <c:f>'Reduced Set of Parameters'!$AC$2:$AC$6</c:f>
                <c:numCache>
                  <c:formatCode>General</c:formatCode>
                  <c:ptCount val="5"/>
                  <c:pt idx="0">
                    <c:v>2.1965218000000005E-2</c:v>
                  </c:pt>
                  <c:pt idx="1">
                    <c:v>2.7250706000000045E-2</c:v>
                  </c:pt>
                  <c:pt idx="2">
                    <c:v>1.8468654999999945E-2</c:v>
                  </c:pt>
                  <c:pt idx="3">
                    <c:v>2.2870123000000069E-2</c:v>
                  </c:pt>
                  <c:pt idx="4">
                    <c:v>3.325170999999961E-3</c:v>
                  </c:pt>
                </c:numCache>
              </c:numRef>
            </c:plus>
            <c:minus>
              <c:numRef>
                <c:f>'Reduced Set of Parameters'!$AB$2:$AB$6</c:f>
                <c:numCache>
                  <c:formatCode>General</c:formatCode>
                  <c:ptCount val="5"/>
                  <c:pt idx="0">
                    <c:v>3.2436271000000058E-2</c:v>
                  </c:pt>
                  <c:pt idx="1">
                    <c:v>4.3741364999999983E-2</c:v>
                  </c:pt>
                  <c:pt idx="2">
                    <c:v>2.3371824000000038E-2</c:v>
                  </c:pt>
                  <c:pt idx="3">
                    <c:v>2.7574631999999998E-2</c:v>
                  </c:pt>
                  <c:pt idx="4">
                    <c:v>4.2955209999999714E-3</c:v>
                  </c:pt>
                </c:numCache>
              </c:numRef>
            </c:minus>
            <c:spPr>
              <a:ln w="3175">
                <a:solidFill>
                  <a:srgbClr val="000000"/>
                </a:solidFill>
                <a:prstDash val="solid"/>
              </a:ln>
            </c:spPr>
          </c:errBars>
          <c:cat>
            <c:multiLvlStrRef>
              <c:f>'Reduced Set of Parameters'!$V$2:$W$6</c:f>
              <c:multiLvlStrCache>
                <c:ptCount val="5"/>
                <c:lvl>
                  <c:pt idx="0">
                    <c:v>1995</c:v>
                  </c:pt>
                  <c:pt idx="1">
                    <c:v>1996</c:v>
                  </c:pt>
                  <c:pt idx="2">
                    <c:v>1997</c:v>
                  </c:pt>
                  <c:pt idx="3">
                    <c:v>1998</c:v>
                  </c:pt>
                </c:lvl>
                <c:lvl>
                  <c:pt idx="0">
                    <c:v>Juvenile (1st summer to 2nd winter )</c:v>
                  </c:pt>
                  <c:pt idx="4">
                    <c:v>Adult</c:v>
                  </c:pt>
                </c:lvl>
              </c:multiLvlStrCache>
            </c:multiLvlStrRef>
          </c:cat>
          <c:val>
            <c:numRef>
              <c:f>'Reduced Set of Parameters'!$X$2:$X$6</c:f>
              <c:numCache>
                <c:formatCode>General</c:formatCode>
                <c:ptCount val="5"/>
                <c:pt idx="0">
                  <c:v>0.93656661200000002</c:v>
                </c:pt>
                <c:pt idx="1">
                  <c:v>0.93291539499999998</c:v>
                </c:pt>
                <c:pt idx="2">
                  <c:v>0.9196567489999995</c:v>
                </c:pt>
                <c:pt idx="3">
                  <c:v>0.88360826200000053</c:v>
                </c:pt>
                <c:pt idx="4">
                  <c:v>0.98549684899999956</c:v>
                </c:pt>
              </c:numCache>
            </c:numRef>
          </c:val>
          <c:smooth val="0"/>
        </c:ser>
        <c:dLbls>
          <c:showLegendKey val="0"/>
          <c:showVal val="0"/>
          <c:showCatName val="0"/>
          <c:showSerName val="0"/>
          <c:showPercent val="0"/>
          <c:showBubbleSize val="0"/>
        </c:dLbls>
        <c:marker val="1"/>
        <c:smooth val="0"/>
        <c:axId val="410639744"/>
        <c:axId val="410526848"/>
      </c:lineChart>
      <c:catAx>
        <c:axId val="410639744"/>
        <c:scaling>
          <c:orientation val="minMax"/>
        </c:scaling>
        <c:delete val="0"/>
        <c:axPos val="b"/>
        <c:title>
          <c:tx>
            <c:rich>
              <a:bodyPr/>
              <a:lstStyle/>
              <a:p>
                <a:pPr>
                  <a:defRPr sz="1200" b="1" i="0" u="none" strike="noStrike" baseline="0">
                    <a:solidFill>
                      <a:srgbClr val="000000"/>
                    </a:solidFill>
                    <a:latin typeface="Calibri"/>
                    <a:ea typeface="Calibri"/>
                    <a:cs typeface="Calibri"/>
                  </a:defRPr>
                </a:pPr>
                <a:r>
                  <a:rPr lang="en-GB" sz="1200"/>
                  <a:t>Age / Cohort</a:t>
                </a:r>
              </a:p>
            </c:rich>
          </c:tx>
          <c:overlay val="0"/>
        </c:title>
        <c:numFmt formatCode="General" sourceLinked="1"/>
        <c:majorTickMark val="out"/>
        <c:minorTickMark val="none"/>
        <c:tickLblPos val="nextTo"/>
        <c:spPr>
          <a:ln w="15875">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en-US"/>
          </a:p>
        </c:txPr>
        <c:crossAx val="410526848"/>
        <c:crosses val="autoZero"/>
        <c:auto val="1"/>
        <c:lblAlgn val="ctr"/>
        <c:lblOffset val="100"/>
        <c:noMultiLvlLbl val="0"/>
      </c:catAx>
      <c:valAx>
        <c:axId val="410526848"/>
        <c:scaling>
          <c:orientation val="minMax"/>
          <c:max val="1"/>
          <c:min val="0"/>
        </c:scaling>
        <c:delete val="0"/>
        <c:axPos val="l"/>
        <c:majorGridlines>
          <c:spPr>
            <a:ln>
              <a:solidFill>
                <a:schemeClr val="bg1">
                  <a:lumMod val="65000"/>
                </a:schemeClr>
              </a:solidFill>
              <a:prstDash val="dash"/>
            </a:ln>
          </c:spPr>
        </c:majorGridlines>
        <c:title>
          <c:tx>
            <c:rich>
              <a:bodyPr/>
              <a:lstStyle/>
              <a:p>
                <a:pPr>
                  <a:defRPr sz="1200" b="1" i="0" u="none" strike="noStrike" baseline="0">
                    <a:solidFill>
                      <a:srgbClr val="000000"/>
                    </a:solidFill>
                    <a:latin typeface="Calibri"/>
                    <a:ea typeface="Calibri"/>
                    <a:cs typeface="Calibri"/>
                  </a:defRPr>
                </a:pPr>
                <a:r>
                  <a:rPr lang="en-GB" sz="1200"/>
                  <a:t>Survival probability</a:t>
                </a:r>
              </a:p>
            </c:rich>
          </c:tx>
          <c:layout>
            <c:manualLayout>
              <c:xMode val="edge"/>
              <c:yMode val="edge"/>
              <c:x val="1.2405189066025878E-3"/>
              <c:y val="0.32470443220958034"/>
            </c:manualLayout>
          </c:layout>
          <c:overlay val="0"/>
        </c:title>
        <c:numFmt formatCode="#,##0.00" sourceLinked="0"/>
        <c:majorTickMark val="out"/>
        <c:minorTickMark val="none"/>
        <c:tickLblPos val="nextTo"/>
        <c:spPr>
          <a:ln w="15875">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en-US"/>
          </a:p>
        </c:txPr>
        <c:crossAx val="410639744"/>
        <c:crosses val="autoZero"/>
        <c:crossBetween val="between"/>
      </c:valAx>
    </c:plotArea>
    <c:plotVisOnly val="1"/>
    <c:dispBlanksAs val="gap"/>
    <c:showDLblsOverMax val="0"/>
  </c:chart>
  <c:spPr>
    <a:noFill/>
    <a:ln>
      <a:noFill/>
    </a:ln>
  </c:spPr>
  <c:txPr>
    <a:bodyPr/>
    <a:lstStyle/>
    <a:p>
      <a:pPr>
        <a:defRPr sz="1400" b="1"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5950922801319"/>
          <c:y val="2.8212457165761741E-2"/>
          <c:w val="0.75467174748116006"/>
          <c:h val="0.80421354091668062"/>
        </c:manualLayout>
      </c:layout>
      <c:lineChart>
        <c:grouping val="standard"/>
        <c:varyColors val="0"/>
        <c:ser>
          <c:idx val="0"/>
          <c:order val="0"/>
          <c:spPr>
            <a:ln>
              <a:noFill/>
            </a:ln>
          </c:spPr>
          <c:marker>
            <c:symbol val="diamond"/>
            <c:size val="3"/>
            <c:spPr>
              <a:solidFill>
                <a:schemeClr val="tx1"/>
              </a:solidFill>
              <a:ln>
                <a:solidFill>
                  <a:schemeClr val="tx1"/>
                </a:solidFill>
              </a:ln>
            </c:spPr>
          </c:marker>
          <c:errBars>
            <c:errDir val="y"/>
            <c:errBarType val="both"/>
            <c:errValType val="cust"/>
            <c:noEndCap val="0"/>
            <c:plus>
              <c:numRef>
                <c:f>'Reduced Set of Parameters'!$AD$16:$AD$24</c:f>
                <c:numCache>
                  <c:formatCode>General</c:formatCode>
                  <c:ptCount val="9"/>
                  <c:pt idx="0">
                    <c:v>3.3223969000000034E-2</c:v>
                  </c:pt>
                  <c:pt idx="1">
                    <c:v>5.2200969000000014E-2</c:v>
                  </c:pt>
                  <c:pt idx="2">
                    <c:v>5.6355024000000031E-2</c:v>
                  </c:pt>
                  <c:pt idx="3">
                    <c:v>6.9095826999999999E-2</c:v>
                  </c:pt>
                  <c:pt idx="4">
                    <c:v>8.3027876000000153E-2</c:v>
                  </c:pt>
                  <c:pt idx="5">
                    <c:v>8.8569476000000202E-2</c:v>
                  </c:pt>
                  <c:pt idx="6">
                    <c:v>9.241371399999998E-2</c:v>
                  </c:pt>
                  <c:pt idx="7">
                    <c:v>5.2157812999999997E-2</c:v>
                  </c:pt>
                  <c:pt idx="8">
                    <c:v>6.0419453000000033E-2</c:v>
                  </c:pt>
                </c:numCache>
              </c:numRef>
            </c:plus>
            <c:minus>
              <c:numRef>
                <c:f>'Reduced Set of Parameters'!$AE$16:$AE$24</c:f>
                <c:numCache>
                  <c:formatCode>General</c:formatCode>
                  <c:ptCount val="9"/>
                  <c:pt idx="0">
                    <c:v>5.4224638999999963E-2</c:v>
                  </c:pt>
                  <c:pt idx="1">
                    <c:v>3.3196378999999998E-2</c:v>
                  </c:pt>
                  <c:pt idx="2">
                    <c:v>4.9304762000000023E-2</c:v>
                  </c:pt>
                  <c:pt idx="3">
                    <c:v>5.8679534000000005E-2</c:v>
                  </c:pt>
                  <c:pt idx="4">
                    <c:v>5.6583369000000008E-2</c:v>
                  </c:pt>
                  <c:pt idx="5">
                    <c:v>6.7651776999999996E-2</c:v>
                  </c:pt>
                  <c:pt idx="6">
                    <c:v>6.8628175999999957E-2</c:v>
                  </c:pt>
                  <c:pt idx="7">
                    <c:v>4.1336857000000012E-2</c:v>
                  </c:pt>
                  <c:pt idx="8">
                    <c:v>4.3331560000000012E-2</c:v>
                  </c:pt>
                </c:numCache>
              </c:numRef>
            </c:minus>
            <c:spPr>
              <a:ln w="3175">
                <a:solidFill>
                  <a:srgbClr val="000000"/>
                </a:solidFill>
                <a:prstDash val="solid"/>
              </a:ln>
            </c:spPr>
          </c:errBars>
          <c:cat>
            <c:multiLvlStrRef>
              <c:f>'Reduced Set of Parameters'!$V$16:$Y$24</c:f>
              <c:multiLvlStrCache>
                <c:ptCount val="9"/>
                <c:lvl>
                  <c:pt idx="0">
                    <c:v>Fledgling </c:v>
                  </c:pt>
                  <c:pt idx="1">
                    <c:v>Winter</c:v>
                  </c:pt>
                  <c:pt idx="2">
                    <c:v>Summer</c:v>
                  </c:pt>
                  <c:pt idx="3">
                    <c:v>Winter</c:v>
                  </c:pt>
                  <c:pt idx="4">
                    <c:v>Summer</c:v>
                  </c:pt>
                  <c:pt idx="5">
                    <c:v>Winter</c:v>
                  </c:pt>
                  <c:pt idx="6">
                    <c:v>Summer</c:v>
                  </c:pt>
                  <c:pt idx="7">
                    <c:v>Winter</c:v>
                  </c:pt>
                  <c:pt idx="8">
                    <c:v>Summer</c:v>
                  </c:pt>
                </c:lvl>
                <c:lvl>
                  <c:pt idx="0">
                    <c:v>FR</c:v>
                  </c:pt>
                  <c:pt idx="3">
                    <c:v>IT</c:v>
                  </c:pt>
                  <c:pt idx="5">
                    <c:v>IB </c:v>
                  </c:pt>
                  <c:pt idx="7">
                    <c:v>AF</c:v>
                  </c:pt>
                </c:lvl>
              </c:multiLvlStrCache>
            </c:multiLvlStrRef>
          </c:cat>
          <c:val>
            <c:numRef>
              <c:f>'Reduced Set of Parameters'!$Z$16:$Z$24</c:f>
              <c:numCache>
                <c:formatCode>General</c:formatCode>
                <c:ptCount val="9"/>
                <c:pt idx="0">
                  <c:v>0.92152009199999996</c:v>
                </c:pt>
                <c:pt idx="1">
                  <c:v>8.293613100000001E-2</c:v>
                </c:pt>
                <c:pt idx="2">
                  <c:v>0.25746003299999998</c:v>
                </c:pt>
                <c:pt idx="3">
                  <c:v>0.25559629</c:v>
                </c:pt>
                <c:pt idx="4">
                  <c:v>0.14703144800000023</c:v>
                </c:pt>
                <c:pt idx="5">
                  <c:v>0.21020925800000026</c:v>
                </c:pt>
                <c:pt idx="6">
                  <c:v>0.19998607400000001</c:v>
                </c:pt>
                <c:pt idx="7">
                  <c:v>0.161009544</c:v>
                </c:pt>
                <c:pt idx="8">
                  <c:v>0.130264619</c:v>
                </c:pt>
              </c:numCache>
            </c:numRef>
          </c:val>
          <c:smooth val="0"/>
        </c:ser>
        <c:dLbls>
          <c:showLegendKey val="0"/>
          <c:showVal val="0"/>
          <c:showCatName val="0"/>
          <c:showSerName val="0"/>
          <c:showPercent val="0"/>
          <c:showBubbleSize val="0"/>
        </c:dLbls>
        <c:marker val="1"/>
        <c:smooth val="0"/>
        <c:axId val="410605056"/>
        <c:axId val="410606976"/>
      </c:lineChart>
      <c:catAx>
        <c:axId val="410605056"/>
        <c:scaling>
          <c:orientation val="minMax"/>
        </c:scaling>
        <c:delete val="0"/>
        <c:axPos val="b"/>
        <c:title>
          <c:tx>
            <c:rich>
              <a:bodyPr/>
              <a:lstStyle/>
              <a:p>
                <a:pPr>
                  <a:defRPr sz="1200" b="1" i="0" u="none" strike="noStrike" baseline="0">
                    <a:solidFill>
                      <a:srgbClr val="000000"/>
                    </a:solidFill>
                    <a:latin typeface="Calibri"/>
                    <a:ea typeface="Calibri"/>
                    <a:cs typeface="Calibri"/>
                  </a:defRPr>
                </a:pPr>
                <a:r>
                  <a:rPr lang="en-GB" sz="1200"/>
                  <a:t>Site starting point  / season</a:t>
                </a:r>
              </a:p>
            </c:rich>
          </c:tx>
          <c:overlay val="0"/>
        </c:title>
        <c:numFmt formatCode="General" sourceLinked="1"/>
        <c:majorTickMark val="out"/>
        <c:minorTickMark val="none"/>
        <c:tickLblPos val="nextTo"/>
        <c:spPr>
          <a:ln w="15875">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en-US"/>
          </a:p>
        </c:txPr>
        <c:crossAx val="410606976"/>
        <c:crosses val="autoZero"/>
        <c:auto val="1"/>
        <c:lblAlgn val="ctr"/>
        <c:lblOffset val="100"/>
        <c:noMultiLvlLbl val="0"/>
      </c:catAx>
      <c:valAx>
        <c:axId val="410606976"/>
        <c:scaling>
          <c:orientation val="minMax"/>
          <c:max val="1"/>
        </c:scaling>
        <c:delete val="0"/>
        <c:axPos val="l"/>
        <c:majorGridlines>
          <c:spPr>
            <a:ln>
              <a:prstDash val="dash"/>
            </a:ln>
          </c:spPr>
        </c:majorGridlines>
        <c:title>
          <c:tx>
            <c:rich>
              <a:bodyPr/>
              <a:lstStyle/>
              <a:p>
                <a:pPr>
                  <a:defRPr sz="1200" b="1" i="0" u="none" strike="noStrike" baseline="0">
                    <a:solidFill>
                      <a:srgbClr val="000000"/>
                    </a:solidFill>
                    <a:latin typeface="Calibri"/>
                    <a:ea typeface="Calibri"/>
                    <a:cs typeface="Calibri"/>
                  </a:defRPr>
                </a:pPr>
                <a:r>
                  <a:rPr lang="en-GB" sz="1200"/>
                  <a:t>Movement probability</a:t>
                </a:r>
              </a:p>
            </c:rich>
          </c:tx>
          <c:overlay val="0"/>
        </c:title>
        <c:numFmt formatCode="#,##0.00" sourceLinked="0"/>
        <c:majorTickMark val="out"/>
        <c:minorTickMark val="none"/>
        <c:tickLblPos val="nextTo"/>
        <c:spPr>
          <a:ln w="15875">
            <a:solidFill>
              <a:schemeClr val="tx1"/>
            </a:solidFill>
          </a:ln>
        </c:spPr>
        <c:txPr>
          <a:bodyPr rot="0" vert="horz"/>
          <a:lstStyle/>
          <a:p>
            <a:pPr>
              <a:defRPr sz="1000" b="0" i="0" u="none" strike="noStrike" baseline="0">
                <a:solidFill>
                  <a:srgbClr val="000000"/>
                </a:solidFill>
                <a:latin typeface="Calibri"/>
                <a:ea typeface="Calibri"/>
                <a:cs typeface="Calibri"/>
              </a:defRPr>
            </a:pPr>
            <a:endParaRPr lang="en-US"/>
          </a:p>
        </c:txPr>
        <c:crossAx val="410605056"/>
        <c:crosses val="autoZero"/>
        <c:crossBetween val="between"/>
      </c:valAx>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33132222108609"/>
          <c:y val="2.9380686897752441E-2"/>
          <c:w val="0.74541278931042632"/>
          <c:h val="0.64063434133049035"/>
        </c:manualLayout>
      </c:layout>
      <c:lineChart>
        <c:grouping val="standard"/>
        <c:varyColors val="0"/>
        <c:ser>
          <c:idx val="0"/>
          <c:order val="0"/>
          <c:spPr>
            <a:ln>
              <a:noFill/>
            </a:ln>
          </c:spPr>
          <c:marker>
            <c:symbol val="diamond"/>
            <c:size val="3"/>
            <c:spPr>
              <a:solidFill>
                <a:schemeClr val="tx1"/>
              </a:solidFill>
              <a:ln>
                <a:solidFill>
                  <a:schemeClr val="tx1"/>
                </a:solidFill>
              </a:ln>
            </c:spPr>
          </c:marker>
          <c:errBars>
            <c:errDir val="y"/>
            <c:errBarType val="both"/>
            <c:errValType val="cust"/>
            <c:noEndCap val="0"/>
            <c:plus>
              <c:numRef>
                <c:f>'Reduced Set of Parameters'!$AC$27:$AC$41</c:f>
                <c:numCache>
                  <c:formatCode>General</c:formatCode>
                  <c:ptCount val="15"/>
                  <c:pt idx="0">
                    <c:v>5.0804812999999976E-2</c:v>
                  </c:pt>
                  <c:pt idx="1">
                    <c:v>7.813397200000001E-2</c:v>
                  </c:pt>
                  <c:pt idx="2">
                    <c:v>7.0035728999999991E-2</c:v>
                  </c:pt>
                  <c:pt idx="3">
                    <c:v>7.7743738000000034E-2</c:v>
                  </c:pt>
                  <c:pt idx="4">
                    <c:v>8.8116050000000043E-2</c:v>
                  </c:pt>
                  <c:pt idx="5">
                    <c:v>9.9329362000000171E-2</c:v>
                  </c:pt>
                  <c:pt idx="6">
                    <c:v>0.10597727300000009</c:v>
                  </c:pt>
                  <c:pt idx="7">
                    <c:v>6.8770883000000019E-2</c:v>
                  </c:pt>
                  <c:pt idx="8">
                    <c:v>0.11095725999999995</c:v>
                  </c:pt>
                  <c:pt idx="9">
                    <c:v>0.11387828799999998</c:v>
                  </c:pt>
                  <c:pt idx="10">
                    <c:v>6.4731312000000013E-2</c:v>
                  </c:pt>
                  <c:pt idx="11">
                    <c:v>0.11865715400000004</c:v>
                  </c:pt>
                  <c:pt idx="12">
                    <c:v>7.4457423000000078E-2</c:v>
                  </c:pt>
                  <c:pt idx="13">
                    <c:v>5.8739734000000064E-2</c:v>
                  </c:pt>
                  <c:pt idx="14">
                    <c:v>6.9929909999999984E-2</c:v>
                  </c:pt>
                </c:numCache>
              </c:numRef>
            </c:plus>
            <c:minus>
              <c:numRef>
                <c:f>'Reduced Set of Parameters'!$AD$27:$AD$41</c:f>
                <c:numCache>
                  <c:formatCode>General</c:formatCode>
                  <c:ptCount val="15"/>
                  <c:pt idx="0">
                    <c:v>3.3915775999999995E-2</c:v>
                  </c:pt>
                  <c:pt idx="1">
                    <c:v>5.7817038000000057E-2</c:v>
                  </c:pt>
                  <c:pt idx="2">
                    <c:v>8.4068244000000028E-2</c:v>
                  </c:pt>
                  <c:pt idx="3">
                    <c:v>6.4057181000000032E-2</c:v>
                  </c:pt>
                  <c:pt idx="4">
                    <c:v>7.468354499999999E-2</c:v>
                  </c:pt>
                  <c:pt idx="5">
                    <c:v>9.6598389000000048E-2</c:v>
                  </c:pt>
                  <c:pt idx="6">
                    <c:v>0.10698898099999998</c:v>
                  </c:pt>
                  <c:pt idx="7">
                    <c:v>3.3166090999999988E-2</c:v>
                  </c:pt>
                  <c:pt idx="8">
                    <c:v>0.10428066100000002</c:v>
                  </c:pt>
                  <c:pt idx="9">
                    <c:v>0.111069692</c:v>
                  </c:pt>
                  <c:pt idx="10">
                    <c:v>3.7546315000000031E-2</c:v>
                  </c:pt>
                  <c:pt idx="11">
                    <c:v>0.11288543699999998</c:v>
                  </c:pt>
                  <c:pt idx="12">
                    <c:v>7.5631499999999963E-2</c:v>
                  </c:pt>
                  <c:pt idx="13">
                    <c:v>4.8740843000000006E-2</c:v>
                  </c:pt>
                  <c:pt idx="14">
                    <c:v>5.9758478000000038E-2</c:v>
                  </c:pt>
                </c:numCache>
              </c:numRef>
            </c:minus>
            <c:spPr>
              <a:ln w="3175">
                <a:solidFill>
                  <a:srgbClr val="000000"/>
                </a:solidFill>
                <a:prstDash val="solid"/>
              </a:ln>
            </c:spPr>
          </c:errBars>
          <c:cat>
            <c:multiLvlStrRef>
              <c:f>'Reduced Set of Parameters'!$V$27:$X$41</c:f>
              <c:multiLvlStrCache>
                <c:ptCount val="15"/>
                <c:lvl>
                  <c:pt idx="0">
                    <c:v>IT</c:v>
                  </c:pt>
                  <c:pt idx="1">
                    <c:v>IB</c:v>
                  </c:pt>
                  <c:pt idx="2">
                    <c:v>AF</c:v>
                  </c:pt>
                  <c:pt idx="3">
                    <c:v>IT</c:v>
                  </c:pt>
                  <c:pt idx="4">
                    <c:v>IB</c:v>
                  </c:pt>
                  <c:pt idx="5">
                    <c:v>AF</c:v>
                  </c:pt>
                  <c:pt idx="6">
                    <c:v>FR</c:v>
                  </c:pt>
                  <c:pt idx="7">
                    <c:v>IB</c:v>
                  </c:pt>
                  <c:pt idx="8">
                    <c:v>AF</c:v>
                  </c:pt>
                  <c:pt idx="9">
                    <c:v>FR</c:v>
                  </c:pt>
                  <c:pt idx="10">
                    <c:v>IT</c:v>
                  </c:pt>
                  <c:pt idx="11">
                    <c:v>AF</c:v>
                  </c:pt>
                  <c:pt idx="12">
                    <c:v>FR</c:v>
                  </c:pt>
                  <c:pt idx="13">
                    <c:v>IT</c:v>
                  </c:pt>
                  <c:pt idx="14">
                    <c:v>IB</c:v>
                  </c:pt>
                </c:lvl>
                <c:lvl>
                  <c:pt idx="0">
                    <c:v>FR</c:v>
                  </c:pt>
                  <c:pt idx="3">
                    <c:v>FR</c:v>
                  </c:pt>
                  <c:pt idx="6">
                    <c:v>IT</c:v>
                  </c:pt>
                  <c:pt idx="9">
                    <c:v>IB</c:v>
                  </c:pt>
                  <c:pt idx="12">
                    <c:v>AF</c:v>
                  </c:pt>
                </c:lvl>
                <c:lvl>
                  <c:pt idx="0">
                    <c:v>Fledgling</c:v>
                  </c:pt>
                  <c:pt idx="3">
                    <c:v>Adult</c:v>
                  </c:pt>
                </c:lvl>
              </c:multiLvlStrCache>
            </c:multiLvlStrRef>
          </c:cat>
          <c:val>
            <c:numRef>
              <c:f>'Reduced Set of Parameters'!$Y$27:$Y$41</c:f>
              <c:numCache>
                <c:formatCode>General</c:formatCode>
                <c:ptCount val="15"/>
                <c:pt idx="0">
                  <c:v>9.1721130000000026E-2</c:v>
                </c:pt>
                <c:pt idx="1">
                  <c:v>0.17513946300000011</c:v>
                </c:pt>
                <c:pt idx="2">
                  <c:v>0.73314258799999998</c:v>
                </c:pt>
                <c:pt idx="3">
                  <c:v>0.24548141000000018</c:v>
                </c:pt>
                <c:pt idx="4">
                  <c:v>0.28990382900000022</c:v>
                </c:pt>
                <c:pt idx="5">
                  <c:v>0.46460046100000035</c:v>
                </c:pt>
                <c:pt idx="6">
                  <c:v>0.5111480110000004</c:v>
                </c:pt>
                <c:pt idx="7">
                  <c:v>5.9973470000000036E-2</c:v>
                </c:pt>
                <c:pt idx="8">
                  <c:v>0.42931328300000038</c:v>
                </c:pt>
                <c:pt idx="9">
                  <c:v>0.47232863900000044</c:v>
                </c:pt>
                <c:pt idx="10">
                  <c:v>8.1473049000000006E-2</c:v>
                </c:pt>
                <c:pt idx="11">
                  <c:v>0.446748855</c:v>
                </c:pt>
                <c:pt idx="12">
                  <c:v>0.52599085599999995</c:v>
                </c:pt>
                <c:pt idx="13">
                  <c:v>0.210150794</c:v>
                </c:pt>
                <c:pt idx="14">
                  <c:v>0.26370318100000001</c:v>
                </c:pt>
              </c:numCache>
            </c:numRef>
          </c:val>
          <c:smooth val="0"/>
        </c:ser>
        <c:dLbls>
          <c:showLegendKey val="0"/>
          <c:showVal val="0"/>
          <c:showCatName val="0"/>
          <c:showSerName val="0"/>
          <c:showPercent val="0"/>
          <c:showBubbleSize val="0"/>
        </c:dLbls>
        <c:marker val="1"/>
        <c:smooth val="0"/>
        <c:axId val="410775936"/>
        <c:axId val="410777856"/>
      </c:lineChart>
      <c:catAx>
        <c:axId val="410775936"/>
        <c:scaling>
          <c:orientation val="minMax"/>
        </c:scaling>
        <c:delete val="0"/>
        <c:axPos val="b"/>
        <c:title>
          <c:tx>
            <c:rich>
              <a:bodyPr/>
              <a:lstStyle/>
              <a:p>
                <a:pPr>
                  <a:defRPr b="1"/>
                </a:pPr>
                <a:r>
                  <a:rPr lang="en-GB" b="1"/>
                  <a:t>Age / site starting point  / site destinaton </a:t>
                </a:r>
              </a:p>
            </c:rich>
          </c:tx>
          <c:overlay val="0"/>
        </c:title>
        <c:numFmt formatCode="General" sourceLinked="1"/>
        <c:majorTickMark val="out"/>
        <c:minorTickMark val="none"/>
        <c:tickLblPos val="nextTo"/>
        <c:spPr>
          <a:ln w="15875">
            <a:solidFill>
              <a:schemeClr val="tx1"/>
            </a:solidFill>
          </a:ln>
        </c:spPr>
        <c:txPr>
          <a:bodyPr rot="0" vert="horz"/>
          <a:lstStyle/>
          <a:p>
            <a:pPr>
              <a:defRPr sz="1000"/>
            </a:pPr>
            <a:endParaRPr lang="en-US"/>
          </a:p>
        </c:txPr>
        <c:crossAx val="410777856"/>
        <c:crosses val="autoZero"/>
        <c:auto val="1"/>
        <c:lblAlgn val="ctr"/>
        <c:lblOffset val="100"/>
        <c:noMultiLvlLbl val="0"/>
      </c:catAx>
      <c:valAx>
        <c:axId val="410777856"/>
        <c:scaling>
          <c:orientation val="minMax"/>
        </c:scaling>
        <c:delete val="0"/>
        <c:axPos val="l"/>
        <c:majorGridlines>
          <c:spPr>
            <a:ln>
              <a:prstDash val="dash"/>
            </a:ln>
          </c:spPr>
        </c:majorGridlines>
        <c:title>
          <c:tx>
            <c:rich>
              <a:bodyPr/>
              <a:lstStyle/>
              <a:p>
                <a:pPr>
                  <a:defRPr b="1"/>
                </a:pPr>
                <a:r>
                  <a:rPr lang="en-GB" b="1"/>
                  <a:t>Destination probability</a:t>
                </a:r>
              </a:p>
            </c:rich>
          </c:tx>
          <c:overlay val="0"/>
        </c:title>
        <c:numFmt formatCode="#,##0.00" sourceLinked="0"/>
        <c:majorTickMark val="out"/>
        <c:minorTickMark val="none"/>
        <c:tickLblPos val="nextTo"/>
        <c:spPr>
          <a:ln w="15875">
            <a:solidFill>
              <a:schemeClr val="tx1"/>
            </a:solidFill>
          </a:ln>
        </c:spPr>
        <c:txPr>
          <a:bodyPr rot="0" vert="horz"/>
          <a:lstStyle/>
          <a:p>
            <a:pPr>
              <a:defRPr sz="1000"/>
            </a:pPr>
            <a:endParaRPr lang="en-US"/>
          </a:p>
        </c:txPr>
        <c:crossAx val="410775936"/>
        <c:crosses val="autoZero"/>
        <c:crossBetween val="between"/>
      </c:valAx>
    </c:plotArea>
    <c:plotVisOnly val="1"/>
    <c:dispBlanksAs val="gap"/>
    <c:showDLblsOverMax val="0"/>
  </c:chart>
  <c:spPr>
    <a:ln>
      <a:noFill/>
    </a:ln>
  </c:spPr>
  <c:txPr>
    <a:bodyPr/>
    <a:lstStyle/>
    <a:p>
      <a:pPr>
        <a:defRPr sz="1200" b="0"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0.49469</cdr:x>
      <cdr:y>0.03717</cdr:y>
    </cdr:from>
    <cdr:to>
      <cdr:x>0.49567</cdr:x>
      <cdr:y>0.77163</cdr:y>
    </cdr:to>
    <cdr:cxnSp macro="">
      <cdr:nvCxnSpPr>
        <cdr:cNvPr id="3" name="Straight Connector 2"/>
        <cdr:cNvCxnSpPr/>
      </cdr:nvCxnSpPr>
      <cdr:spPr>
        <a:xfrm xmlns:a="http://schemas.openxmlformats.org/drawingml/2006/main" flipH="1">
          <a:off x="2849786" y="140245"/>
          <a:ext cx="5610" cy="2771250"/>
        </a:xfrm>
        <a:prstGeom xmlns:a="http://schemas.openxmlformats.org/drawingml/2006/main" prst="line">
          <a:avLst/>
        </a:pr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0.19087</cdr:x>
      <cdr:y>0.0275</cdr:y>
    </cdr:from>
    <cdr:to>
      <cdr:x>0.19097</cdr:x>
      <cdr:y>0.83187</cdr:y>
    </cdr:to>
    <cdr:cxnSp macro="">
      <cdr:nvCxnSpPr>
        <cdr:cNvPr id="2" name="Straight Connector 1"/>
        <cdr:cNvCxnSpPr/>
      </cdr:nvCxnSpPr>
      <cdr:spPr>
        <a:xfrm xmlns:a="http://schemas.openxmlformats.org/drawingml/2006/main" flipH="1">
          <a:off x="1099523" y="113681"/>
          <a:ext cx="590" cy="3325136"/>
        </a:xfrm>
        <a:prstGeom xmlns:a="http://schemas.openxmlformats.org/drawingml/2006/main" prst="line">
          <a:avLst/>
        </a:pr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0.25241</cdr:x>
      <cdr:y>0.02924</cdr:y>
    </cdr:from>
    <cdr:to>
      <cdr:x>0.25432</cdr:x>
      <cdr:y>0.67844</cdr:y>
    </cdr:to>
    <cdr:cxnSp macro="">
      <cdr:nvCxnSpPr>
        <cdr:cNvPr id="2" name="Straight Connector 1"/>
        <cdr:cNvCxnSpPr/>
      </cdr:nvCxnSpPr>
      <cdr:spPr>
        <a:xfrm xmlns:a="http://schemas.openxmlformats.org/drawingml/2006/main">
          <a:off x="1480991" y="112196"/>
          <a:ext cx="11219" cy="2490759"/>
        </a:xfrm>
        <a:prstGeom xmlns:a="http://schemas.openxmlformats.org/drawingml/2006/main" prst="line">
          <a:avLst/>
        </a:pr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2908</Words>
  <Characters>16576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Gillingham, Mark</dc:creator>
  <cp:lastModifiedBy>Gillingham, Mark</cp:lastModifiedBy>
  <cp:revision>4</cp:revision>
  <cp:lastPrinted>2013-10-23T09:13:00Z</cp:lastPrinted>
  <dcterms:created xsi:type="dcterms:W3CDTF">2013-09-20T17:03:00Z</dcterms:created>
  <dcterms:modified xsi:type="dcterms:W3CDTF">2013-10-23T10:35:00Z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id="98lLVeQg"/&gt;&lt;style id="http://www.zotero.org/styles/journal-of-ecology" hasBibliography="1" bibliographyStyleHasBeenSet="1"/&gt;&lt;prefs&gt;&lt;pref name="fieldType" value="Field"/&gt;&lt;pref name="storeReference</vt:lpwstr>
  </property>
  <property fmtid="{D5CDD505-2E9C-101B-9397-08002B2CF9AE}" pid="3" name="ZOTERO_PREF_2">
    <vt:lpwstr>s" value="true"/&gt;&lt;pref name="automaticJournalAbbreviations" value="true"/&gt;&lt;pref name="noteType" value="0"/&gt;&lt;/prefs&gt;&lt;/data&gt;</vt:lpwstr>
  </property>
</Properties>
</file>