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04" w:rsidRDefault="00510DF9" w:rsidP="00963704">
      <w:p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en-US"/>
        </w:rPr>
        <w:t>Appendix S</w:t>
      </w:r>
      <w:r w:rsidR="006D3A5D">
        <w:rPr>
          <w:rFonts w:ascii="Times New Roman" w:hAnsi="Times New Roman"/>
          <w:b/>
          <w:sz w:val="24"/>
          <w:szCs w:val="24"/>
          <w:lang w:val="en-US"/>
        </w:rPr>
        <w:t>1</w:t>
      </w:r>
      <w:r w:rsidR="00963704">
        <w:rPr>
          <w:rFonts w:ascii="Times New Roman" w:hAnsi="Times New Roman"/>
          <w:b/>
          <w:sz w:val="24"/>
          <w:szCs w:val="24"/>
          <w:lang w:val="en-US"/>
        </w:rPr>
        <w:t>:</w:t>
      </w:r>
      <w:r w:rsidR="00963704" w:rsidRPr="005D0B5D">
        <w:rPr>
          <w:rFonts w:ascii="Times New Roman" w:hAnsi="Times New Roman"/>
          <w:b/>
          <w:sz w:val="24"/>
          <w:szCs w:val="24"/>
          <w:lang w:val="en-US"/>
        </w:rPr>
        <w:t xml:space="preserve"> Goodness-of-fit tests of capture-mark-recapture models for the MLH</w:t>
      </w:r>
    </w:p>
    <w:p w:rsidR="00963704" w:rsidRPr="007126FC" w:rsidRDefault="00963704" w:rsidP="0068407B">
      <w:pPr>
        <w:pStyle w:val="Caption"/>
        <w:keepNext/>
        <w:ind w:right="4534"/>
        <w:jc w:val="both"/>
        <w:rPr>
          <w:rFonts w:ascii="Times New Roman" w:hAnsi="Times New Roman"/>
          <w:color w:val="auto"/>
          <w:sz w:val="20"/>
          <w:szCs w:val="20"/>
          <w:lang w:val="en-GB"/>
        </w:rPr>
      </w:pPr>
      <w:r w:rsidRPr="007126FC">
        <w:rPr>
          <w:rFonts w:ascii="Times New Roman" w:hAnsi="Times New Roman"/>
          <w:color w:val="auto"/>
          <w:sz w:val="20"/>
          <w:szCs w:val="20"/>
          <w:lang w:val="en-GB"/>
        </w:rPr>
        <w:t>Table S</w:t>
      </w:r>
      <w:r w:rsidR="00451929" w:rsidRPr="007126FC">
        <w:rPr>
          <w:rFonts w:ascii="Times New Roman" w:hAnsi="Times New Roman"/>
          <w:color w:val="auto"/>
          <w:sz w:val="20"/>
          <w:szCs w:val="20"/>
        </w:rPr>
        <w:fldChar w:fldCharType="begin"/>
      </w:r>
      <w:r w:rsidRPr="007126FC">
        <w:rPr>
          <w:rFonts w:ascii="Times New Roman" w:hAnsi="Times New Roman"/>
          <w:color w:val="auto"/>
          <w:sz w:val="20"/>
          <w:szCs w:val="20"/>
          <w:lang w:val="en-GB"/>
        </w:rPr>
        <w:instrText xml:space="preserve"> SEQ Table \* ARABIC </w:instrText>
      </w:r>
      <w:r w:rsidR="00451929" w:rsidRPr="007126FC">
        <w:rPr>
          <w:rFonts w:ascii="Times New Roman" w:hAnsi="Times New Roman"/>
          <w:color w:val="auto"/>
          <w:sz w:val="20"/>
          <w:szCs w:val="20"/>
        </w:rPr>
        <w:fldChar w:fldCharType="separate"/>
      </w:r>
      <w:r w:rsidR="00E71691">
        <w:rPr>
          <w:rFonts w:ascii="Times New Roman" w:hAnsi="Times New Roman"/>
          <w:noProof/>
          <w:color w:val="auto"/>
          <w:sz w:val="20"/>
          <w:szCs w:val="20"/>
          <w:lang w:val="en-GB"/>
        </w:rPr>
        <w:t>1</w:t>
      </w:r>
      <w:r w:rsidR="00451929" w:rsidRPr="007126FC">
        <w:rPr>
          <w:rFonts w:ascii="Times New Roman" w:hAnsi="Times New Roman"/>
          <w:color w:val="auto"/>
          <w:sz w:val="20"/>
          <w:szCs w:val="20"/>
        </w:rPr>
        <w:fldChar w:fldCharType="end"/>
      </w:r>
      <w:r w:rsidRPr="007126FC">
        <w:rPr>
          <w:rFonts w:ascii="Times New Roman" w:hAnsi="Times New Roman"/>
          <w:color w:val="auto"/>
          <w:sz w:val="20"/>
          <w:szCs w:val="20"/>
          <w:lang w:val="en-GB"/>
        </w:rPr>
        <w:t> :</w:t>
      </w:r>
      <w:r w:rsidRPr="007126FC">
        <w:rPr>
          <w:rFonts w:ascii="Times New Roman" w:hAnsi="Times New Roman"/>
          <w:color w:val="auto"/>
          <w:sz w:val="20"/>
          <w:szCs w:val="20"/>
          <w:lang w:val="en-US"/>
        </w:rPr>
        <w:t xml:space="preserve"> </w:t>
      </w:r>
      <w:r w:rsidRPr="0068407B">
        <w:rPr>
          <w:rFonts w:ascii="Times New Roman" w:hAnsi="Times New Roman"/>
          <w:b w:val="0"/>
          <w:color w:val="auto"/>
          <w:sz w:val="20"/>
          <w:szCs w:val="20"/>
          <w:lang w:val="en-US"/>
        </w:rPr>
        <w:t>Results of the different components of goodness-of-fit tests for the general model. Significant tests are indicated by the ‘*’ symbol.</w:t>
      </w:r>
    </w:p>
    <w:tbl>
      <w:tblPr>
        <w:tblW w:w="4537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20"/>
        <w:gridCol w:w="1200"/>
        <w:gridCol w:w="940"/>
        <w:gridCol w:w="977"/>
      </w:tblGrid>
      <w:tr w:rsidR="00963704" w:rsidRPr="00ED2F73" w:rsidTr="00057A3F">
        <w:trPr>
          <w:trHeight w:val="300"/>
        </w:trPr>
        <w:tc>
          <w:tcPr>
            <w:tcW w:w="142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Test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</w:rPr>
              <w:t>χ</w:t>
            </w: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df</w:t>
            </w:r>
            <w:proofErr w:type="spellEnd"/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ĉ</w:t>
            </w:r>
          </w:p>
        </w:tc>
      </w:tr>
      <w:tr w:rsidR="00963704" w:rsidRPr="00ED2F73" w:rsidTr="00CF7813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WBWA*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378.933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141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963704" w:rsidRPr="00ED2F73" w:rsidTr="00CF7813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3G.SR*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13.725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963704" w:rsidRPr="00ED2F73" w:rsidTr="00CF7813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3G.SM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343.586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378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963704" w:rsidRPr="00ED2F73" w:rsidTr="00CF7813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M.ITEC*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267.136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114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963704" w:rsidRPr="00ED2F73" w:rsidTr="00057A3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M.LTEC*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229.637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129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9A25C9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963704" w:rsidRPr="00ED2F73" w:rsidTr="00057A3F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  <w:lang w:val="en-GB"/>
              </w:rPr>
              <w:t>Global Tes</w:t>
            </w: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t*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1233.017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765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1.611787</w:t>
            </w:r>
          </w:p>
        </w:tc>
      </w:tr>
    </w:tbl>
    <w:p w:rsidR="00963704" w:rsidRPr="009A25C9" w:rsidRDefault="00963704" w:rsidP="00963704">
      <w:pPr>
        <w:rPr>
          <w:rFonts w:ascii="Times New Roman" w:hAnsi="Times New Roman"/>
          <w:sz w:val="20"/>
          <w:szCs w:val="20"/>
          <w:lang w:val="en-US"/>
        </w:rPr>
      </w:pPr>
    </w:p>
    <w:p w:rsidR="00963704" w:rsidRPr="009A25C9" w:rsidRDefault="00963704" w:rsidP="0068407B">
      <w:pPr>
        <w:pStyle w:val="Caption"/>
        <w:keepNext/>
        <w:ind w:right="4392"/>
        <w:jc w:val="both"/>
        <w:rPr>
          <w:rFonts w:ascii="Times New Roman" w:hAnsi="Times New Roman"/>
          <w:b w:val="0"/>
          <w:color w:val="auto"/>
          <w:sz w:val="20"/>
          <w:szCs w:val="20"/>
          <w:lang w:val="en-GB"/>
        </w:rPr>
      </w:pPr>
      <w:r w:rsidRPr="009A25C9">
        <w:rPr>
          <w:rFonts w:ascii="Times New Roman" w:hAnsi="Times New Roman"/>
          <w:color w:val="auto"/>
          <w:sz w:val="20"/>
          <w:szCs w:val="20"/>
          <w:lang w:val="en-GB"/>
        </w:rPr>
        <w:t>Table S</w:t>
      </w:r>
      <w:r w:rsidR="00451929" w:rsidRPr="009A25C9">
        <w:rPr>
          <w:rFonts w:ascii="Times New Roman" w:hAnsi="Times New Roman"/>
          <w:color w:val="auto"/>
          <w:sz w:val="20"/>
          <w:szCs w:val="20"/>
        </w:rPr>
        <w:fldChar w:fldCharType="begin"/>
      </w:r>
      <w:r w:rsidRPr="009A25C9">
        <w:rPr>
          <w:rFonts w:ascii="Times New Roman" w:hAnsi="Times New Roman"/>
          <w:color w:val="auto"/>
          <w:sz w:val="20"/>
          <w:szCs w:val="20"/>
          <w:lang w:val="en-GB"/>
        </w:rPr>
        <w:instrText xml:space="preserve"> SEQ Table \* ARABIC </w:instrText>
      </w:r>
      <w:r w:rsidR="00451929" w:rsidRPr="009A25C9">
        <w:rPr>
          <w:rFonts w:ascii="Times New Roman" w:hAnsi="Times New Roman"/>
          <w:color w:val="auto"/>
          <w:sz w:val="20"/>
          <w:szCs w:val="20"/>
        </w:rPr>
        <w:fldChar w:fldCharType="separate"/>
      </w:r>
      <w:r w:rsidR="00E71691">
        <w:rPr>
          <w:rFonts w:ascii="Times New Roman" w:hAnsi="Times New Roman"/>
          <w:noProof/>
          <w:color w:val="auto"/>
          <w:sz w:val="20"/>
          <w:szCs w:val="20"/>
          <w:lang w:val="en-GB"/>
        </w:rPr>
        <w:t>2</w:t>
      </w:r>
      <w:r w:rsidR="00451929" w:rsidRPr="009A25C9">
        <w:rPr>
          <w:rFonts w:ascii="Times New Roman" w:hAnsi="Times New Roman"/>
          <w:color w:val="auto"/>
          <w:sz w:val="20"/>
          <w:szCs w:val="20"/>
        </w:rPr>
        <w:fldChar w:fldCharType="end"/>
      </w:r>
      <w:r w:rsidRPr="009A25C9">
        <w:rPr>
          <w:rFonts w:ascii="Times New Roman" w:hAnsi="Times New Roman"/>
          <w:color w:val="auto"/>
          <w:sz w:val="20"/>
          <w:szCs w:val="20"/>
          <w:lang w:val="en-GB"/>
        </w:rPr>
        <w:t> :</w:t>
      </w:r>
      <w:r w:rsidRPr="009A25C9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68407B">
        <w:rPr>
          <w:rFonts w:ascii="Times New Roman" w:hAnsi="Times New Roman"/>
          <w:b w:val="0"/>
          <w:color w:val="auto"/>
          <w:sz w:val="20"/>
          <w:szCs w:val="20"/>
          <w:lang w:val="en-US"/>
        </w:rPr>
        <w:t>Results of the global goodness-of-fit tests for the general model by cohort. No test was statistically significant.</w:t>
      </w:r>
    </w:p>
    <w:tbl>
      <w:tblPr>
        <w:tblW w:w="464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20"/>
        <w:gridCol w:w="1200"/>
        <w:gridCol w:w="940"/>
        <w:gridCol w:w="1088"/>
      </w:tblGrid>
      <w:tr w:rsidR="00963704" w:rsidRPr="00ED2F73" w:rsidTr="00781776">
        <w:trPr>
          <w:trHeight w:val="300"/>
        </w:trPr>
        <w:tc>
          <w:tcPr>
            <w:tcW w:w="142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Test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A25C9">
              <w:rPr>
                <w:rFonts w:ascii="Times New Roman" w:hAnsi="Times New Roman"/>
                <w:sz w:val="20"/>
                <w:szCs w:val="20"/>
              </w:rPr>
              <w:t>χ</w:t>
            </w: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df</w:t>
            </w:r>
            <w:proofErr w:type="spellEnd"/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ĉ</w:t>
            </w:r>
          </w:p>
        </w:tc>
      </w:tr>
      <w:tr w:rsidR="00963704" w:rsidRPr="00ED2F73" w:rsidTr="00CF7813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1995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218.334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257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</w:tc>
      </w:tr>
      <w:tr w:rsidR="00963704" w:rsidRPr="00ED2F73" w:rsidTr="00CF7813">
        <w:trPr>
          <w:trHeight w:val="300"/>
        </w:trPr>
        <w:tc>
          <w:tcPr>
            <w:tcW w:w="1420" w:type="dxa"/>
            <w:tcBorders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1996</w:t>
            </w:r>
          </w:p>
        </w:tc>
        <w:tc>
          <w:tcPr>
            <w:tcW w:w="1200" w:type="dxa"/>
            <w:tcBorders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120.479</w:t>
            </w:r>
          </w:p>
        </w:tc>
        <w:tc>
          <w:tcPr>
            <w:tcW w:w="940" w:type="dxa"/>
            <w:tcBorders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158</w:t>
            </w:r>
          </w:p>
        </w:tc>
        <w:tc>
          <w:tcPr>
            <w:tcW w:w="1088" w:type="dxa"/>
            <w:tcBorders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</w:tc>
      </w:tr>
      <w:tr w:rsidR="00963704" w:rsidRPr="00ED2F73" w:rsidTr="00CF7813">
        <w:trPr>
          <w:trHeight w:val="300"/>
        </w:trPr>
        <w:tc>
          <w:tcPr>
            <w:tcW w:w="1420" w:type="dxa"/>
            <w:tcBorders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1997</w:t>
            </w:r>
          </w:p>
        </w:tc>
        <w:tc>
          <w:tcPr>
            <w:tcW w:w="1200" w:type="dxa"/>
            <w:tcBorders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437.023</w:t>
            </w:r>
          </w:p>
        </w:tc>
        <w:tc>
          <w:tcPr>
            <w:tcW w:w="940" w:type="dxa"/>
            <w:tcBorders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389</w:t>
            </w:r>
          </w:p>
        </w:tc>
        <w:tc>
          <w:tcPr>
            <w:tcW w:w="1088" w:type="dxa"/>
            <w:tcBorders>
              <w:left w:val="nil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</w:tc>
      </w:tr>
      <w:tr w:rsidR="00963704" w:rsidRPr="00ED2F73" w:rsidTr="00057A3F">
        <w:trPr>
          <w:trHeight w:val="300"/>
        </w:trPr>
        <w:tc>
          <w:tcPr>
            <w:tcW w:w="1420" w:type="dxa"/>
            <w:tcBorders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1998</w:t>
            </w:r>
          </w:p>
        </w:tc>
        <w:tc>
          <w:tcPr>
            <w:tcW w:w="1200" w:type="dxa"/>
            <w:tcBorders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338.944</w:t>
            </w:r>
          </w:p>
        </w:tc>
        <w:tc>
          <w:tcPr>
            <w:tcW w:w="940" w:type="dxa"/>
            <w:tcBorders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297</w:t>
            </w:r>
          </w:p>
        </w:tc>
        <w:tc>
          <w:tcPr>
            <w:tcW w:w="1088" w:type="dxa"/>
            <w:tcBorders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</w:tc>
      </w:tr>
      <w:tr w:rsidR="00963704" w:rsidRPr="00ED2F73" w:rsidTr="00057A3F">
        <w:trPr>
          <w:trHeight w:val="300"/>
        </w:trPr>
        <w:tc>
          <w:tcPr>
            <w:tcW w:w="1420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Global</w:t>
            </w: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1114.78</w:t>
            </w:r>
          </w:p>
        </w:tc>
        <w:tc>
          <w:tcPr>
            <w:tcW w:w="940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sz w:val="20"/>
                <w:szCs w:val="20"/>
                <w:lang w:val="en-GB"/>
              </w:rPr>
              <w:t>1101</w:t>
            </w:r>
          </w:p>
        </w:tc>
        <w:tc>
          <w:tcPr>
            <w:tcW w:w="1088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63704" w:rsidRPr="00ED2F73" w:rsidRDefault="00963704" w:rsidP="00CF7813">
            <w:pPr>
              <w:spacing w:after="100" w:afterAutospacing="1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ED2F7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1.012516</w:t>
            </w:r>
          </w:p>
        </w:tc>
      </w:tr>
    </w:tbl>
    <w:p w:rsidR="00963704" w:rsidRDefault="00963704" w:rsidP="00CE658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sectPr w:rsidR="00963704" w:rsidSect="006F16CA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22B6"/>
    <w:multiLevelType w:val="hybridMultilevel"/>
    <w:tmpl w:val="A26C9E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0023F"/>
    <w:multiLevelType w:val="hybridMultilevel"/>
    <w:tmpl w:val="D16CC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56D44"/>
    <w:multiLevelType w:val="hybridMultilevel"/>
    <w:tmpl w:val="19588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8B54DF"/>
    <w:multiLevelType w:val="hybridMultilevel"/>
    <w:tmpl w:val="736A3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CCB"/>
    <w:rsid w:val="00001821"/>
    <w:rsid w:val="0000353F"/>
    <w:rsid w:val="00015F95"/>
    <w:rsid w:val="00023775"/>
    <w:rsid w:val="0002600B"/>
    <w:rsid w:val="000345F5"/>
    <w:rsid w:val="00042D02"/>
    <w:rsid w:val="00046178"/>
    <w:rsid w:val="00052015"/>
    <w:rsid w:val="00057A3F"/>
    <w:rsid w:val="00065072"/>
    <w:rsid w:val="000743FA"/>
    <w:rsid w:val="000839C7"/>
    <w:rsid w:val="00085836"/>
    <w:rsid w:val="00087B2C"/>
    <w:rsid w:val="000A6179"/>
    <w:rsid w:val="000B09F9"/>
    <w:rsid w:val="000C672D"/>
    <w:rsid w:val="000D302D"/>
    <w:rsid w:val="000E045E"/>
    <w:rsid w:val="00103202"/>
    <w:rsid w:val="0011366C"/>
    <w:rsid w:val="00130574"/>
    <w:rsid w:val="00137E98"/>
    <w:rsid w:val="00150101"/>
    <w:rsid w:val="0015049D"/>
    <w:rsid w:val="00161731"/>
    <w:rsid w:val="00164CCB"/>
    <w:rsid w:val="001732FE"/>
    <w:rsid w:val="0019036F"/>
    <w:rsid w:val="00193755"/>
    <w:rsid w:val="00193F2C"/>
    <w:rsid w:val="001B4323"/>
    <w:rsid w:val="001D138D"/>
    <w:rsid w:val="001E736F"/>
    <w:rsid w:val="001F28F9"/>
    <w:rsid w:val="001F7E9E"/>
    <w:rsid w:val="002149CA"/>
    <w:rsid w:val="00214B07"/>
    <w:rsid w:val="00223DD6"/>
    <w:rsid w:val="0023089B"/>
    <w:rsid w:val="002320BD"/>
    <w:rsid w:val="002377A6"/>
    <w:rsid w:val="00256B30"/>
    <w:rsid w:val="002652EE"/>
    <w:rsid w:val="00270C41"/>
    <w:rsid w:val="00291824"/>
    <w:rsid w:val="002A7E29"/>
    <w:rsid w:val="002B4CB0"/>
    <w:rsid w:val="002C2032"/>
    <w:rsid w:val="002C2DCC"/>
    <w:rsid w:val="002C5C53"/>
    <w:rsid w:val="002E0B71"/>
    <w:rsid w:val="002E1570"/>
    <w:rsid w:val="002E4985"/>
    <w:rsid w:val="002E61F9"/>
    <w:rsid w:val="002F590E"/>
    <w:rsid w:val="0030088B"/>
    <w:rsid w:val="00312C3B"/>
    <w:rsid w:val="0031341C"/>
    <w:rsid w:val="003204A4"/>
    <w:rsid w:val="00320BBB"/>
    <w:rsid w:val="00325088"/>
    <w:rsid w:val="003260FF"/>
    <w:rsid w:val="00333EED"/>
    <w:rsid w:val="003567AE"/>
    <w:rsid w:val="00360C8C"/>
    <w:rsid w:val="00372540"/>
    <w:rsid w:val="0039399F"/>
    <w:rsid w:val="00397C7D"/>
    <w:rsid w:val="003C128B"/>
    <w:rsid w:val="003E4F70"/>
    <w:rsid w:val="003F45CE"/>
    <w:rsid w:val="00403C5B"/>
    <w:rsid w:val="00415C87"/>
    <w:rsid w:val="0041732D"/>
    <w:rsid w:val="00422C7F"/>
    <w:rsid w:val="00451929"/>
    <w:rsid w:val="00454219"/>
    <w:rsid w:val="00466265"/>
    <w:rsid w:val="00475441"/>
    <w:rsid w:val="00481966"/>
    <w:rsid w:val="004A046D"/>
    <w:rsid w:val="004A4FB9"/>
    <w:rsid w:val="004A5310"/>
    <w:rsid w:val="004C2E41"/>
    <w:rsid w:val="004D2C85"/>
    <w:rsid w:val="004E3F2A"/>
    <w:rsid w:val="004E4950"/>
    <w:rsid w:val="004E4BCC"/>
    <w:rsid w:val="004F74E6"/>
    <w:rsid w:val="00510DF9"/>
    <w:rsid w:val="00522BB9"/>
    <w:rsid w:val="005264BD"/>
    <w:rsid w:val="00537A73"/>
    <w:rsid w:val="00540C98"/>
    <w:rsid w:val="005612EE"/>
    <w:rsid w:val="005734C8"/>
    <w:rsid w:val="005901A3"/>
    <w:rsid w:val="005B58E5"/>
    <w:rsid w:val="005C1C03"/>
    <w:rsid w:val="005D007E"/>
    <w:rsid w:val="005D0B5D"/>
    <w:rsid w:val="005D5E68"/>
    <w:rsid w:val="00600EE9"/>
    <w:rsid w:val="0060167C"/>
    <w:rsid w:val="006218BF"/>
    <w:rsid w:val="00625F6A"/>
    <w:rsid w:val="00637A68"/>
    <w:rsid w:val="006663CD"/>
    <w:rsid w:val="0068407B"/>
    <w:rsid w:val="00695C9F"/>
    <w:rsid w:val="00696C43"/>
    <w:rsid w:val="006A187E"/>
    <w:rsid w:val="006C20C1"/>
    <w:rsid w:val="006C2F1F"/>
    <w:rsid w:val="006D180B"/>
    <w:rsid w:val="006D19B6"/>
    <w:rsid w:val="006D3A5D"/>
    <w:rsid w:val="006E7812"/>
    <w:rsid w:val="006F16CA"/>
    <w:rsid w:val="00703317"/>
    <w:rsid w:val="007066D2"/>
    <w:rsid w:val="007126FC"/>
    <w:rsid w:val="007200C9"/>
    <w:rsid w:val="00752DD7"/>
    <w:rsid w:val="00753577"/>
    <w:rsid w:val="00761615"/>
    <w:rsid w:val="00781776"/>
    <w:rsid w:val="00781F10"/>
    <w:rsid w:val="00784A8A"/>
    <w:rsid w:val="0078650D"/>
    <w:rsid w:val="00792465"/>
    <w:rsid w:val="0079532D"/>
    <w:rsid w:val="007A1115"/>
    <w:rsid w:val="007A1756"/>
    <w:rsid w:val="007A4FBC"/>
    <w:rsid w:val="007C4B92"/>
    <w:rsid w:val="007D1CDF"/>
    <w:rsid w:val="007D4A5F"/>
    <w:rsid w:val="007E0E73"/>
    <w:rsid w:val="007E17AD"/>
    <w:rsid w:val="007F1431"/>
    <w:rsid w:val="007F4716"/>
    <w:rsid w:val="008100AB"/>
    <w:rsid w:val="00826C17"/>
    <w:rsid w:val="008314E9"/>
    <w:rsid w:val="0084728B"/>
    <w:rsid w:val="00855047"/>
    <w:rsid w:val="0086134B"/>
    <w:rsid w:val="00864001"/>
    <w:rsid w:val="00884617"/>
    <w:rsid w:val="00885A95"/>
    <w:rsid w:val="0089490D"/>
    <w:rsid w:val="008A302E"/>
    <w:rsid w:val="008B1149"/>
    <w:rsid w:val="009006E1"/>
    <w:rsid w:val="00912CC2"/>
    <w:rsid w:val="009173CE"/>
    <w:rsid w:val="00941509"/>
    <w:rsid w:val="0095686E"/>
    <w:rsid w:val="00960629"/>
    <w:rsid w:val="00963704"/>
    <w:rsid w:val="0097135E"/>
    <w:rsid w:val="0099646F"/>
    <w:rsid w:val="009A25C9"/>
    <w:rsid w:val="009A4449"/>
    <w:rsid w:val="009B40CD"/>
    <w:rsid w:val="009C43EC"/>
    <w:rsid w:val="009C47C8"/>
    <w:rsid w:val="009C5B30"/>
    <w:rsid w:val="009F6649"/>
    <w:rsid w:val="00A27E25"/>
    <w:rsid w:val="00A305BE"/>
    <w:rsid w:val="00A34AD5"/>
    <w:rsid w:val="00A35F1D"/>
    <w:rsid w:val="00A43CCC"/>
    <w:rsid w:val="00A47821"/>
    <w:rsid w:val="00A5017B"/>
    <w:rsid w:val="00A550EB"/>
    <w:rsid w:val="00A6385B"/>
    <w:rsid w:val="00A70248"/>
    <w:rsid w:val="00A7028C"/>
    <w:rsid w:val="00A80552"/>
    <w:rsid w:val="00A82A21"/>
    <w:rsid w:val="00AA4757"/>
    <w:rsid w:val="00AB4380"/>
    <w:rsid w:val="00AC6B1A"/>
    <w:rsid w:val="00B049E3"/>
    <w:rsid w:val="00B04F92"/>
    <w:rsid w:val="00B05BCF"/>
    <w:rsid w:val="00B17218"/>
    <w:rsid w:val="00B26BC4"/>
    <w:rsid w:val="00B432D1"/>
    <w:rsid w:val="00B63F41"/>
    <w:rsid w:val="00B6494D"/>
    <w:rsid w:val="00B75824"/>
    <w:rsid w:val="00B9381D"/>
    <w:rsid w:val="00BC1AD1"/>
    <w:rsid w:val="00BD0E81"/>
    <w:rsid w:val="00BE2310"/>
    <w:rsid w:val="00BE2451"/>
    <w:rsid w:val="00C00172"/>
    <w:rsid w:val="00C21082"/>
    <w:rsid w:val="00C21881"/>
    <w:rsid w:val="00C21AF8"/>
    <w:rsid w:val="00C22700"/>
    <w:rsid w:val="00C25ACB"/>
    <w:rsid w:val="00C3514F"/>
    <w:rsid w:val="00C3730B"/>
    <w:rsid w:val="00C80653"/>
    <w:rsid w:val="00CA3564"/>
    <w:rsid w:val="00CB0E2C"/>
    <w:rsid w:val="00CB5809"/>
    <w:rsid w:val="00CB64B6"/>
    <w:rsid w:val="00CD0D20"/>
    <w:rsid w:val="00CD57E6"/>
    <w:rsid w:val="00CE6580"/>
    <w:rsid w:val="00CF10D1"/>
    <w:rsid w:val="00CF133A"/>
    <w:rsid w:val="00CF7813"/>
    <w:rsid w:val="00D11005"/>
    <w:rsid w:val="00D13DBB"/>
    <w:rsid w:val="00D22C8D"/>
    <w:rsid w:val="00D63F6D"/>
    <w:rsid w:val="00D6570F"/>
    <w:rsid w:val="00D84357"/>
    <w:rsid w:val="00D85D11"/>
    <w:rsid w:val="00D87B2B"/>
    <w:rsid w:val="00D90ED3"/>
    <w:rsid w:val="00D92AF7"/>
    <w:rsid w:val="00DA07DF"/>
    <w:rsid w:val="00DA2C7F"/>
    <w:rsid w:val="00DB0AFC"/>
    <w:rsid w:val="00DC5BDD"/>
    <w:rsid w:val="00DC5CA2"/>
    <w:rsid w:val="00DD1BDA"/>
    <w:rsid w:val="00E044AF"/>
    <w:rsid w:val="00E14F22"/>
    <w:rsid w:val="00E21040"/>
    <w:rsid w:val="00E30654"/>
    <w:rsid w:val="00E42F51"/>
    <w:rsid w:val="00E47504"/>
    <w:rsid w:val="00E7103B"/>
    <w:rsid w:val="00E71691"/>
    <w:rsid w:val="00E72C4F"/>
    <w:rsid w:val="00E7349F"/>
    <w:rsid w:val="00E7498F"/>
    <w:rsid w:val="00E86807"/>
    <w:rsid w:val="00E872EF"/>
    <w:rsid w:val="00EA0FD0"/>
    <w:rsid w:val="00EB6308"/>
    <w:rsid w:val="00EC6E29"/>
    <w:rsid w:val="00ED1966"/>
    <w:rsid w:val="00ED2F73"/>
    <w:rsid w:val="00EE6B50"/>
    <w:rsid w:val="00EE7691"/>
    <w:rsid w:val="00EF1DD2"/>
    <w:rsid w:val="00EF3053"/>
    <w:rsid w:val="00EF3498"/>
    <w:rsid w:val="00EF4353"/>
    <w:rsid w:val="00F007E7"/>
    <w:rsid w:val="00F1313E"/>
    <w:rsid w:val="00F250D1"/>
    <w:rsid w:val="00F367A0"/>
    <w:rsid w:val="00F36CCC"/>
    <w:rsid w:val="00F43B15"/>
    <w:rsid w:val="00F53760"/>
    <w:rsid w:val="00F62D4C"/>
    <w:rsid w:val="00F7759D"/>
    <w:rsid w:val="00FA5A20"/>
    <w:rsid w:val="00FB41AB"/>
    <w:rsid w:val="00FC2D1F"/>
    <w:rsid w:val="00FD1931"/>
    <w:rsid w:val="00F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CB0"/>
    <w:pPr>
      <w:spacing w:after="240" w:line="360" w:lineRule="auto"/>
      <w:jc w:val="both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164CCB"/>
    <w:pPr>
      <w:spacing w:after="200" w:line="240" w:lineRule="auto"/>
      <w:jc w:val="left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5E"/>
    <w:rPr>
      <w:rFonts w:ascii="Tahoma" w:eastAsia="Times New Roman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rsid w:val="001B4323"/>
    <w:rPr>
      <w:rFonts w:cs="Times New Roman"/>
      <w:color w:val="0000FF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1B4323"/>
    <w:pPr>
      <w:spacing w:after="0" w:line="480" w:lineRule="auto"/>
      <w:ind w:left="720" w:hanging="720"/>
    </w:pPr>
  </w:style>
  <w:style w:type="table" w:styleId="TableGrid">
    <w:name w:val="Table Grid"/>
    <w:basedOn w:val="TableNormal"/>
    <w:uiPriority w:val="59"/>
    <w:rsid w:val="00356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567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2E61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61F9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List3">
    <w:name w:val="Table List 3"/>
    <w:basedOn w:val="TableNormal"/>
    <w:rsid w:val="00015F95"/>
    <w:pPr>
      <w:spacing w:after="24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3E4F7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4A4FB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A4FB9"/>
    <w:pPr>
      <w:spacing w:after="0" w:line="240" w:lineRule="auto"/>
      <w:jc w:val="left"/>
    </w:pPr>
    <w:rPr>
      <w:rFonts w:ascii="Times New Roman" w:hAnsi="Times New Roman"/>
      <w:sz w:val="20"/>
      <w:szCs w:val="20"/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4FB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hithilite">
    <w:name w:val="hithilite"/>
    <w:basedOn w:val="DefaultParagraphFont"/>
    <w:uiPriority w:val="99"/>
    <w:rsid w:val="007E17AD"/>
    <w:rPr>
      <w:rFonts w:cs="Times New Roman"/>
    </w:rPr>
  </w:style>
  <w:style w:type="character" w:customStyle="1" w:styleId="CharChar1">
    <w:name w:val="Char Char1"/>
    <w:uiPriority w:val="99"/>
    <w:rsid w:val="007E17AD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032"/>
    <w:pPr>
      <w:spacing w:after="240"/>
      <w:jc w:val="both"/>
    </w:pPr>
    <w:rPr>
      <w:rFonts w:ascii="Calibr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032"/>
    <w:rPr>
      <w:rFonts w:ascii="Calibri" w:eastAsia="Times New Roman" w:hAnsi="Calibri" w:cs="Times New Roman"/>
      <w:b/>
      <w:bCs/>
      <w:sz w:val="2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CB0"/>
    <w:pPr>
      <w:spacing w:after="240" w:line="360" w:lineRule="auto"/>
      <w:jc w:val="both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164CCB"/>
    <w:pPr>
      <w:spacing w:after="200" w:line="240" w:lineRule="auto"/>
      <w:jc w:val="left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5E"/>
    <w:rPr>
      <w:rFonts w:ascii="Tahoma" w:eastAsia="Times New Roman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rsid w:val="001B4323"/>
    <w:rPr>
      <w:rFonts w:cs="Times New Roman"/>
      <w:color w:val="0000FF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1B4323"/>
    <w:pPr>
      <w:spacing w:after="0" w:line="480" w:lineRule="auto"/>
      <w:ind w:left="720" w:hanging="720"/>
    </w:pPr>
  </w:style>
  <w:style w:type="table" w:styleId="TableGrid">
    <w:name w:val="Table Grid"/>
    <w:basedOn w:val="TableNormal"/>
    <w:uiPriority w:val="59"/>
    <w:rsid w:val="00356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567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2E61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61F9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List3">
    <w:name w:val="Table List 3"/>
    <w:basedOn w:val="TableNormal"/>
    <w:rsid w:val="00015F95"/>
    <w:pPr>
      <w:spacing w:after="24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3E4F7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4A4FB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A4FB9"/>
    <w:pPr>
      <w:spacing w:after="0" w:line="240" w:lineRule="auto"/>
      <w:jc w:val="left"/>
    </w:pPr>
    <w:rPr>
      <w:rFonts w:ascii="Times New Roman" w:hAnsi="Times New Roman"/>
      <w:sz w:val="20"/>
      <w:szCs w:val="20"/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4FB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hithilite">
    <w:name w:val="hithilite"/>
    <w:basedOn w:val="DefaultParagraphFont"/>
    <w:uiPriority w:val="99"/>
    <w:rsid w:val="007E17AD"/>
    <w:rPr>
      <w:rFonts w:cs="Times New Roman"/>
    </w:rPr>
  </w:style>
  <w:style w:type="character" w:customStyle="1" w:styleId="CharChar1">
    <w:name w:val="Char Char1"/>
    <w:uiPriority w:val="99"/>
    <w:rsid w:val="007E17AD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032"/>
    <w:pPr>
      <w:spacing w:after="240"/>
      <w:jc w:val="both"/>
    </w:pPr>
    <w:rPr>
      <w:rFonts w:ascii="Calibr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032"/>
    <w:rPr>
      <w:rFonts w:ascii="Calibri" w:eastAsia="Times New Roman" w:hAnsi="Calibri" w:cs="Times New Roman"/>
      <w:b/>
      <w:bCs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01DD6-9A6E-45F3-8260-B87F0BF4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Gillingham, Mark</dc:creator>
  <cp:lastModifiedBy>Gillingham, Mark</cp:lastModifiedBy>
  <cp:revision>4</cp:revision>
  <cp:lastPrinted>2013-10-23T09:19:00Z</cp:lastPrinted>
  <dcterms:created xsi:type="dcterms:W3CDTF">2013-09-20T17:03:00Z</dcterms:created>
  <dcterms:modified xsi:type="dcterms:W3CDTF">2013-10-23T10:35:00Z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zotero-version="4.0.12"&gt;&lt;session id="JCy4jKCD"/&gt;&lt;style id="http://www.zotero.org/styles/molecular-ecology" hasBibliography="1" bibliographyStyleHasBeenSet="1"/&gt;&lt;prefs&gt;&lt;pref name="fieldType" value="Field"/&gt;&lt;pref name="storeReferences</vt:lpwstr>
  </property>
  <property fmtid="{D5CDD505-2E9C-101B-9397-08002B2CF9AE}" pid="3" name="ZOTERO_PREF_2">
    <vt:lpwstr>" value="true"/&gt;&lt;pref name="noteType" value="0"/&gt;&lt;pref name="automaticJournalAbbreviations" value="false"/&gt;&lt;/prefs&gt;&lt;/data&gt;</vt:lpwstr>
  </property>
</Properties>
</file>