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F0" w:rsidRPr="005264BD" w:rsidRDefault="00D74FF0" w:rsidP="00D74FF0">
      <w:pPr>
        <w:pStyle w:val="Caption"/>
        <w:keepNext/>
        <w:jc w:val="both"/>
        <w:rPr>
          <w:rFonts w:ascii="Times New Roman" w:hAnsi="Times New Roman"/>
          <w:color w:val="auto"/>
          <w:sz w:val="24"/>
          <w:szCs w:val="24"/>
          <w:lang w:val="en-GB"/>
        </w:rPr>
      </w:pPr>
      <w:r w:rsidRPr="005264BD">
        <w:rPr>
          <w:rFonts w:ascii="Times New Roman" w:hAnsi="Times New Roman"/>
          <w:color w:val="auto"/>
          <w:sz w:val="24"/>
          <w:szCs w:val="24"/>
          <w:lang w:val="en-US"/>
        </w:rPr>
        <w:t>Appendix S</w:t>
      </w:r>
      <w:r>
        <w:rPr>
          <w:rFonts w:ascii="Times New Roman" w:hAnsi="Times New Roman"/>
          <w:color w:val="auto"/>
          <w:sz w:val="24"/>
          <w:szCs w:val="24"/>
          <w:lang w:val="en-US"/>
        </w:rPr>
        <w:t>3</w:t>
      </w:r>
      <w:r w:rsidRPr="005264BD">
        <w:rPr>
          <w:rFonts w:ascii="Times New Roman" w:hAnsi="Times New Roman"/>
          <w:color w:val="auto"/>
          <w:sz w:val="24"/>
          <w:szCs w:val="24"/>
          <w:lang w:val="en-US"/>
        </w:rPr>
        <w:t xml:space="preserve">: </w:t>
      </w:r>
      <w:proofErr w:type="spellStart"/>
      <w:r w:rsidRPr="005264BD">
        <w:rPr>
          <w:rFonts w:ascii="Times New Roman" w:hAnsi="Times New Roman"/>
          <w:color w:val="000000" w:themeColor="text1"/>
          <w:sz w:val="24"/>
          <w:szCs w:val="24"/>
          <w:lang w:val="en-GB"/>
        </w:rPr>
        <w:t>Heterozygosity</w:t>
      </w:r>
      <w:proofErr w:type="spellEnd"/>
      <w:r w:rsidRPr="005264BD">
        <w:rPr>
          <w:rFonts w:ascii="Times New Roman" w:hAnsi="Times New Roman"/>
          <w:color w:val="000000" w:themeColor="text1"/>
          <w:sz w:val="24"/>
          <w:szCs w:val="24"/>
          <w:lang w:val="en-GB"/>
        </w:rPr>
        <w:t>–</w:t>
      </w:r>
      <w:proofErr w:type="spellStart"/>
      <w:r w:rsidRPr="005264BD">
        <w:rPr>
          <w:rFonts w:ascii="Times New Roman" w:hAnsi="Times New Roman"/>
          <w:color w:val="000000" w:themeColor="text1"/>
          <w:sz w:val="24"/>
          <w:szCs w:val="24"/>
          <w:lang w:val="en-GB"/>
        </w:rPr>
        <w:t>heterozygosity</w:t>
      </w:r>
      <w:proofErr w:type="spellEnd"/>
      <w:r w:rsidRPr="005264BD">
        <w:rPr>
          <w:rFonts w:ascii="Times New Roman" w:hAnsi="Times New Roman"/>
          <w:color w:val="000000" w:themeColor="text1"/>
          <w:sz w:val="24"/>
          <w:szCs w:val="24"/>
          <w:lang w:val="en-GB"/>
        </w:rPr>
        <w:t xml:space="preserve"> correlations using the R package ‘</w:t>
      </w:r>
      <w:proofErr w:type="spellStart"/>
      <w:r w:rsidRPr="005264BD">
        <w:rPr>
          <w:rFonts w:ascii="Times New Roman" w:hAnsi="Times New Roman"/>
          <w:color w:val="000000" w:themeColor="text1"/>
          <w:sz w:val="24"/>
          <w:szCs w:val="24"/>
          <w:lang w:val="en-GB"/>
        </w:rPr>
        <w:t>Rhh</w:t>
      </w:r>
      <w:proofErr w:type="spellEnd"/>
      <w:r w:rsidRPr="005264BD">
        <w:rPr>
          <w:rFonts w:ascii="Times New Roman" w:hAnsi="Times New Roman"/>
          <w:color w:val="000000" w:themeColor="text1"/>
          <w:sz w:val="24"/>
          <w:szCs w:val="24"/>
          <w:lang w:val="en-GB"/>
        </w:rPr>
        <w:t>’</w:t>
      </w:r>
    </w:p>
    <w:p w:rsidR="00D74FF0" w:rsidRPr="00703E98" w:rsidRDefault="00D74FF0" w:rsidP="00D74FF0">
      <w:pPr>
        <w:pStyle w:val="Caption"/>
        <w:keepNext/>
        <w:ind w:right="3543"/>
        <w:jc w:val="both"/>
        <w:rPr>
          <w:rFonts w:ascii="Times New Roman" w:hAnsi="Times New Roman"/>
          <w:b w:val="0"/>
          <w:color w:val="auto"/>
          <w:sz w:val="20"/>
          <w:szCs w:val="20"/>
          <w:lang w:val="en-GB"/>
        </w:rPr>
      </w:pPr>
      <w:r w:rsidRPr="00703E98">
        <w:rPr>
          <w:rFonts w:ascii="Times New Roman" w:hAnsi="Times New Roman"/>
          <w:color w:val="auto"/>
          <w:sz w:val="20"/>
          <w:szCs w:val="20"/>
          <w:lang w:val="en-GB"/>
        </w:rPr>
        <w:t>Table S</w:t>
      </w:r>
      <w:r w:rsidR="00646E14" w:rsidRPr="00906A21">
        <w:rPr>
          <w:rFonts w:ascii="Times New Roman" w:hAnsi="Times New Roman"/>
          <w:color w:val="auto"/>
          <w:sz w:val="20"/>
          <w:szCs w:val="20"/>
          <w:lang w:val="en-GB"/>
        </w:rPr>
        <w:t>4</w:t>
      </w:r>
      <w:r w:rsidRPr="00703E98">
        <w:rPr>
          <w:rFonts w:ascii="Times New Roman" w:hAnsi="Times New Roman"/>
          <w:color w:val="auto"/>
          <w:sz w:val="20"/>
          <w:szCs w:val="20"/>
          <w:lang w:val="en-GB"/>
        </w:rPr>
        <w:t xml:space="preserve"> : </w:t>
      </w:r>
      <w:proofErr w:type="spellStart"/>
      <w:r w:rsidRPr="00703E98">
        <w:rPr>
          <w:rFonts w:ascii="Times New Roman" w:hAnsi="Times New Roman"/>
          <w:b w:val="0"/>
          <w:color w:val="auto"/>
          <w:sz w:val="20"/>
          <w:szCs w:val="20"/>
          <w:lang w:val="en-GB"/>
        </w:rPr>
        <w:t>Heterozygosity</w:t>
      </w:r>
      <w:proofErr w:type="spellEnd"/>
      <w:r w:rsidRPr="00703E98">
        <w:rPr>
          <w:rFonts w:ascii="Times New Roman" w:hAnsi="Times New Roman"/>
          <w:b w:val="0"/>
          <w:color w:val="auto"/>
          <w:sz w:val="20"/>
          <w:szCs w:val="20"/>
          <w:lang w:val="en-GB"/>
        </w:rPr>
        <w:t>–</w:t>
      </w:r>
      <w:proofErr w:type="spellStart"/>
      <w:r w:rsidRPr="00703E98">
        <w:rPr>
          <w:rFonts w:ascii="Times New Roman" w:hAnsi="Times New Roman"/>
          <w:b w:val="0"/>
          <w:color w:val="auto"/>
          <w:sz w:val="20"/>
          <w:szCs w:val="20"/>
          <w:lang w:val="en-GB"/>
        </w:rPr>
        <w:t>heterozygosity</w:t>
      </w:r>
      <w:proofErr w:type="spellEnd"/>
      <w:r w:rsidRPr="00703E98">
        <w:rPr>
          <w:rFonts w:ascii="Times New Roman" w:hAnsi="Times New Roman"/>
          <w:b w:val="0"/>
          <w:color w:val="auto"/>
          <w:sz w:val="20"/>
          <w:szCs w:val="20"/>
          <w:lang w:val="en-GB"/>
        </w:rPr>
        <w:t xml:space="preserve"> correlations </w:t>
      </w:r>
      <w:r w:rsidRPr="00703E98">
        <w:rPr>
          <w:rFonts w:ascii="Times New Roman" w:hAnsi="Times New Roman"/>
          <w:b w:val="0"/>
          <w:color w:val="auto"/>
          <w:sz w:val="20"/>
          <w:szCs w:val="20"/>
        </w:rPr>
        <w:fldChar w:fldCharType="begin"/>
      </w:r>
      <w:r w:rsidRPr="00703E98">
        <w:rPr>
          <w:rFonts w:ascii="Times New Roman" w:hAnsi="Times New Roman"/>
          <w:b w:val="0"/>
          <w:color w:val="auto"/>
          <w:sz w:val="20"/>
          <w:szCs w:val="20"/>
          <w:lang w:val="en-GB"/>
        </w:rPr>
        <w:instrText xml:space="preserve"> ADDIN ZOTERO_ITEM CSL_CITATION {"citationID":"1qoacfdk4q","properties":{"formattedCitation":"{\\rtf (Balloux \\i et al.\\i0{} 2004)}","plainCitation":"(Balloux et al. 2004)"},"citationItems":[{"id":1577,"uris":["http://zotero.org/users/1341740/items/ISHJPCBR"],"uri":["http://zotero.org/users/1341740/items/ISHJPCBR"],"itemData":{"id":1577,"type":"article-journal","title":"Does heterozygosity estimate inbreeding in real populations?","container-title":"Molecular Ecology","page":"3021–3031","volume":"13","issue":"10","source":"Wiley Online Library","abstract":"Many recent studies report that individual heterozygosity at a handful of apparently neutral microsatellite markers is correlated with key components of fitness, with most studies invoking inbreeding depression as the likely underlying mechanism. The implicit assumption is that an individual's inbreeding coefficient can be estimated reliably using only 10 or so markers, but the validity of this assumption is unclear. Consequently, we have used individual-based simulations to examine the conditions under which heterozygosity and inbreeding are likely to be correlated. Our results indicate that the parameter space in which this occurs is surprisingly narrow, requiring that inbreeding events are both frequent and severe, for example, through selfing, strong population structure and/or high levels of polygyny. Even then, the correlations are strong only when large numbers of loci ( 200) can be deployed to estimate heterozygosity. With the handful of markers used in most studies, correlations only become likely under the most extreme scenario we looked at, namely 20 demes of 20 individuals coupled with strong polygyny. This finding is supported by the observation that heterozygosity is only weakly correlated among markers within an individual, even in a dataset comprising 400 markers typed in diverse human populations, some of which favour consanguineous marriages. If heterozygosity and inbreeding coefficient are generally uncorrelated, then heterozygosity–fitness correlations probably have little to do with inbreeding depression. Instead, one would need to invoke chance linkage between the markers used and one or more gene(s) experiencing balancing selection. Unfortunately, both explanations sit somewhat uncomfortably with current understanding. If inbreeding is the dominant mechanism, then our simulations indicate that consanguineous mating would have to be vastly more common than is predicted for most realistic populations. Conversely, if heterosis provides the answer, there need to be many more polymorphisms with major fitness effects and higher levels of linkage disequilibrium than are generally assumed.","DOI":"10.1111/j.1365-294X.2004.02318.x","ISSN":"1365-294X","language":"en","author":[{"family":"Balloux","given":"F."},{"family":"Amos","given":"W."},{"family":"Coulson","given":"T."}],"issued":{"date-parts":[["2004"]]},"accessed":{"date-parts":[["2013",9,18]]}}}],"schema":"https://github.com/citation-style-language/schema/raw/master/csl-citation.json"} </w:instrText>
      </w:r>
      <w:r w:rsidRPr="00703E98">
        <w:rPr>
          <w:rFonts w:ascii="Times New Roman" w:hAnsi="Times New Roman"/>
          <w:b w:val="0"/>
          <w:color w:val="auto"/>
          <w:sz w:val="20"/>
          <w:szCs w:val="20"/>
        </w:rPr>
        <w:fldChar w:fldCharType="separate"/>
      </w:r>
      <w:r w:rsidRPr="00703E98">
        <w:rPr>
          <w:rFonts w:ascii="Times New Roman" w:hAnsi="Times New Roman"/>
          <w:b w:val="0"/>
          <w:color w:val="auto"/>
          <w:sz w:val="20"/>
          <w:szCs w:val="20"/>
          <w:lang w:val="en-GB"/>
        </w:rPr>
        <w:t>(</w:t>
      </w:r>
      <w:proofErr w:type="spellStart"/>
      <w:r w:rsidRPr="00703E98">
        <w:rPr>
          <w:rFonts w:ascii="Times New Roman" w:hAnsi="Times New Roman"/>
          <w:b w:val="0"/>
          <w:color w:val="auto"/>
          <w:sz w:val="20"/>
          <w:szCs w:val="20"/>
          <w:lang w:val="en-GB"/>
        </w:rPr>
        <w:t>Balloux</w:t>
      </w:r>
      <w:proofErr w:type="spellEnd"/>
      <w:r w:rsidRPr="00703E98">
        <w:rPr>
          <w:rFonts w:ascii="Times New Roman" w:hAnsi="Times New Roman"/>
          <w:b w:val="0"/>
          <w:color w:val="auto"/>
          <w:sz w:val="20"/>
          <w:szCs w:val="20"/>
          <w:lang w:val="en-GB"/>
        </w:rPr>
        <w:t xml:space="preserve"> </w:t>
      </w:r>
      <w:r w:rsidRPr="00703E98">
        <w:rPr>
          <w:rFonts w:ascii="Times New Roman" w:hAnsi="Times New Roman"/>
          <w:b w:val="0"/>
          <w:i/>
          <w:iCs/>
          <w:color w:val="auto"/>
          <w:sz w:val="20"/>
          <w:szCs w:val="20"/>
          <w:lang w:val="en-GB"/>
        </w:rPr>
        <w:t>et al.</w:t>
      </w:r>
      <w:r w:rsidRPr="00703E98">
        <w:rPr>
          <w:rFonts w:ascii="Times New Roman" w:hAnsi="Times New Roman"/>
          <w:b w:val="0"/>
          <w:color w:val="auto"/>
          <w:sz w:val="20"/>
          <w:szCs w:val="20"/>
          <w:lang w:val="en-GB"/>
        </w:rPr>
        <w:t xml:space="preserve"> 2004)</w:t>
      </w:r>
      <w:r w:rsidRPr="00703E98">
        <w:rPr>
          <w:rFonts w:ascii="Times New Roman" w:hAnsi="Times New Roman"/>
          <w:b w:val="0"/>
          <w:color w:val="auto"/>
          <w:sz w:val="20"/>
          <w:szCs w:val="20"/>
        </w:rPr>
        <w:fldChar w:fldCharType="end"/>
      </w:r>
      <w:r w:rsidRPr="00703E98">
        <w:rPr>
          <w:rFonts w:ascii="Times New Roman" w:hAnsi="Times New Roman"/>
          <w:b w:val="0"/>
          <w:color w:val="auto"/>
          <w:sz w:val="20"/>
          <w:szCs w:val="20"/>
          <w:lang w:val="en-GB"/>
        </w:rPr>
        <w:t xml:space="preserve"> for 1023 individuals using 10 microsatellite loci for standardized </w:t>
      </w:r>
      <w:proofErr w:type="spellStart"/>
      <w:r w:rsidRPr="00703E98">
        <w:rPr>
          <w:rFonts w:ascii="Times New Roman" w:hAnsi="Times New Roman"/>
          <w:b w:val="0"/>
          <w:color w:val="auto"/>
          <w:sz w:val="20"/>
          <w:szCs w:val="20"/>
          <w:lang w:val="en-GB"/>
        </w:rPr>
        <w:t>heterozygosity</w:t>
      </w:r>
      <w:proofErr w:type="spellEnd"/>
      <w:r w:rsidRPr="00703E98">
        <w:rPr>
          <w:rFonts w:ascii="Times New Roman" w:hAnsi="Times New Roman"/>
          <w:b w:val="0"/>
          <w:color w:val="auto"/>
          <w:sz w:val="20"/>
          <w:szCs w:val="20"/>
          <w:lang w:val="en-GB"/>
        </w:rPr>
        <w:t xml:space="preserve"> </w:t>
      </w:r>
      <w:r w:rsidRPr="00703E98">
        <w:rPr>
          <w:rFonts w:ascii="Times New Roman" w:hAnsi="Times New Roman"/>
          <w:b w:val="0"/>
          <w:color w:val="auto"/>
          <w:sz w:val="20"/>
          <w:szCs w:val="20"/>
          <w:lang w:val="en-GB"/>
        </w:rPr>
        <w:fldChar w:fldCharType="begin"/>
      </w:r>
      <w:r w:rsidR="00703E98" w:rsidRPr="00703E98">
        <w:rPr>
          <w:rFonts w:ascii="Times New Roman" w:hAnsi="Times New Roman"/>
          <w:b w:val="0"/>
          <w:color w:val="auto"/>
          <w:sz w:val="20"/>
          <w:szCs w:val="20"/>
          <w:lang w:val="en-GB"/>
        </w:rPr>
        <w:instrText xml:space="preserve"> ADDIN ZOTERO_ITEM CSL_CITATION {"citationID":"WDfsYyFB","properties":{"formattedCitation":"{\\rtf (SH; Coltman \\i et al.\\i0{} 1999)}","plainCitation":"(SH; Coltman et al. 1999)"},"citationItems":[{"id":1580,"uris":["http://zotero.org/users/1341740/items/PSGJFIHE"],"uri":["http://zotero.org/users/1341740/items/PSGJFIHE"],"itemData":{"id":1580,"type":"article-journal","title":"Parasite-Mediated Selection against Inbred Soay Sheep in a Free-Living, Island Population","container-title":"Evolution","page":"1259","volume":"53","issue":"4","source":"CrossRef","DOI":"10.2307/2640828","ISSN":"00143820","author":[{"family":"Coltman","given":"David W."},{"family":"Pilkington","given":"Jill G."},{"family":"Smith","given":"Judith A."},{"family":"Pemberton","given":"Josephine M."}],"issued":{"date-parts":[["1999",8]]},"accessed":{"date-parts":[["2013",9,18]]}},"prefix":"SH; "}],"schema":"https://github.com/citation-style-language/schema/raw/master/csl-citation.json"} </w:instrText>
      </w:r>
      <w:r w:rsidRPr="00703E98">
        <w:rPr>
          <w:rFonts w:ascii="Times New Roman" w:hAnsi="Times New Roman"/>
          <w:b w:val="0"/>
          <w:color w:val="auto"/>
          <w:sz w:val="20"/>
          <w:szCs w:val="20"/>
          <w:lang w:val="en-GB"/>
        </w:rPr>
        <w:fldChar w:fldCharType="separate"/>
      </w:r>
      <w:r w:rsidR="00703E98" w:rsidRPr="00703E98">
        <w:rPr>
          <w:rFonts w:ascii="Times New Roman" w:hAnsi="Times New Roman"/>
          <w:b w:val="0"/>
          <w:color w:val="auto"/>
          <w:sz w:val="20"/>
          <w:szCs w:val="20"/>
          <w:lang w:val="en-GB"/>
        </w:rPr>
        <w:t xml:space="preserve">(SH; Coltman </w:t>
      </w:r>
      <w:r w:rsidR="00703E98" w:rsidRPr="00703E98">
        <w:rPr>
          <w:rFonts w:ascii="Times New Roman" w:hAnsi="Times New Roman"/>
          <w:b w:val="0"/>
          <w:i/>
          <w:iCs/>
          <w:color w:val="auto"/>
          <w:sz w:val="20"/>
          <w:szCs w:val="20"/>
          <w:lang w:val="en-GB"/>
        </w:rPr>
        <w:t>et al.</w:t>
      </w:r>
      <w:r w:rsidR="00703E98" w:rsidRPr="00703E98">
        <w:rPr>
          <w:rFonts w:ascii="Times New Roman" w:hAnsi="Times New Roman"/>
          <w:b w:val="0"/>
          <w:color w:val="auto"/>
          <w:sz w:val="20"/>
          <w:szCs w:val="20"/>
          <w:lang w:val="en-GB"/>
        </w:rPr>
        <w:t xml:space="preserve"> 1999)</w:t>
      </w:r>
      <w:r w:rsidRPr="00703E98">
        <w:rPr>
          <w:rFonts w:ascii="Times New Roman" w:hAnsi="Times New Roman"/>
          <w:b w:val="0"/>
          <w:color w:val="auto"/>
          <w:sz w:val="20"/>
          <w:szCs w:val="20"/>
          <w:lang w:val="en-GB"/>
        </w:rPr>
        <w:fldChar w:fldCharType="end"/>
      </w:r>
      <w:r w:rsidRPr="00703E98">
        <w:rPr>
          <w:rFonts w:ascii="Times New Roman" w:hAnsi="Times New Roman"/>
          <w:b w:val="0"/>
          <w:color w:val="auto"/>
          <w:sz w:val="20"/>
          <w:szCs w:val="20"/>
          <w:lang w:val="en-GB"/>
        </w:rPr>
        <w:t xml:space="preserve">; internal relatedness </w:t>
      </w:r>
      <w:r w:rsidRPr="00703E98">
        <w:rPr>
          <w:rFonts w:ascii="Times New Roman" w:hAnsi="Times New Roman"/>
          <w:b w:val="0"/>
          <w:color w:val="auto"/>
          <w:sz w:val="20"/>
          <w:szCs w:val="20"/>
          <w:lang w:val="en-GB"/>
        </w:rPr>
        <w:fldChar w:fldCharType="begin"/>
      </w:r>
      <w:r w:rsidRPr="00703E98">
        <w:rPr>
          <w:rFonts w:ascii="Times New Roman" w:hAnsi="Times New Roman"/>
          <w:b w:val="0"/>
          <w:color w:val="auto"/>
          <w:sz w:val="20"/>
          <w:szCs w:val="20"/>
          <w:lang w:val="en-GB"/>
        </w:rPr>
        <w:instrText xml:space="preserve"> ADDIN ZOTERO_ITEM CSL_CITATION {"citationID":"GIVVwIE1","properties":{"formattedCitation":"{\\rtf (IR; Amos \\i et al.\\i0{} 2001)}","plainCitation":"(IR; Amos et al. 2001)"},"citationItems":[{"id":1582,"uris":["http://zotero.org/users/1341740/items/GZKEWHX7"],"uri":["http://zotero.org/users/1341740/items/GZKEWHX7"],"itemData":{"id":1582,"type":"article-journal","title":"The influence of parental relatedness on reproductive success","container-title":"Proceedings of the Royal Society of London. Series B: Biological Sciences","page":"2021-2027","volume":"268","issue":"1480","source":"rspb.royalsocietypublishing.org","abstract":"The relationship between fitness and parental similarity has been dominated by studies of how inbreeding depression lowers fecundity in incestuous matings. A widespread implicit assumption is that adult fitness (reproduction) of individuals born to parents who are not unusually closely related is more or less equal. Examination of three long–lived vertebrates, the long–finned pilot whale, the grey seal and the wandering albatross reveals significant negative relationships between parental similarity and genetic estimates of reproductive success. This effect could, in principle, be driven by a small number of low quality, inbred individuals. However, when the data are partitioned into individuals with above average and below average parental similarity, we find no evidence that the slopes differ, suggesting that the effect is more or less similar across the full range of parental similarity values. Our results thus uncover a selective pressure that favours not only inbreeding avoidance, but also the selection of maximally dissimilar mates.","DOI":"10.1098/rspb.2001.1751","ISSN":"0962-8452, 1471-2954","note":"PMID: 11571049","journalAbbreviation":"Proc. R. Soc. Lond. B","language":"en","author":[{"family":"Amos","given":"W."},{"family":"Wilmer","given":"J. Worthington"},{"family":"Fullard","given":"K."},{"family":"Burg","given":"T. M."},{"family":"Croxall","given":"J. P."},{"family":"Bloch","given":"D."},{"family":"Coulson","given":"T."}],"issued":{"date-parts":[["2001",10,7]]},"accessed":{"date-parts":[["2013",9,18]]},"PMID":"11571049"},"prefix":"IR; "}],"schema":"https://github.com/citation-style-language/schema/raw/master/csl-citation.json"} </w:instrText>
      </w:r>
      <w:r w:rsidRPr="00703E98">
        <w:rPr>
          <w:rFonts w:ascii="Times New Roman" w:hAnsi="Times New Roman"/>
          <w:b w:val="0"/>
          <w:color w:val="auto"/>
          <w:sz w:val="20"/>
          <w:szCs w:val="20"/>
          <w:lang w:val="en-GB"/>
        </w:rPr>
        <w:fldChar w:fldCharType="separate"/>
      </w:r>
      <w:r w:rsidR="00703E98" w:rsidRPr="00703E98">
        <w:rPr>
          <w:rFonts w:ascii="Times New Roman" w:hAnsi="Times New Roman"/>
          <w:b w:val="0"/>
          <w:color w:val="auto"/>
          <w:sz w:val="20"/>
          <w:szCs w:val="20"/>
          <w:lang w:val="en-GB"/>
        </w:rPr>
        <w:t xml:space="preserve">(IR; Amos </w:t>
      </w:r>
      <w:r w:rsidR="00703E98" w:rsidRPr="00703E98">
        <w:rPr>
          <w:rFonts w:ascii="Times New Roman" w:hAnsi="Times New Roman"/>
          <w:b w:val="0"/>
          <w:i/>
          <w:iCs/>
          <w:color w:val="auto"/>
          <w:sz w:val="20"/>
          <w:szCs w:val="20"/>
          <w:lang w:val="en-GB"/>
        </w:rPr>
        <w:t>et al.</w:t>
      </w:r>
      <w:r w:rsidR="00703E98" w:rsidRPr="00703E98">
        <w:rPr>
          <w:rFonts w:ascii="Times New Roman" w:hAnsi="Times New Roman"/>
          <w:b w:val="0"/>
          <w:color w:val="auto"/>
          <w:sz w:val="20"/>
          <w:szCs w:val="20"/>
          <w:lang w:val="en-GB"/>
        </w:rPr>
        <w:t xml:space="preserve"> 2001)</w:t>
      </w:r>
      <w:r w:rsidRPr="00703E98">
        <w:rPr>
          <w:rFonts w:ascii="Times New Roman" w:hAnsi="Times New Roman"/>
          <w:b w:val="0"/>
          <w:color w:val="auto"/>
          <w:sz w:val="20"/>
          <w:szCs w:val="20"/>
          <w:lang w:val="en-GB"/>
        </w:rPr>
        <w:fldChar w:fldCharType="end"/>
      </w:r>
      <w:r w:rsidRPr="00703E98">
        <w:rPr>
          <w:rFonts w:ascii="Times New Roman" w:hAnsi="Times New Roman"/>
          <w:b w:val="0"/>
          <w:color w:val="auto"/>
          <w:sz w:val="20"/>
          <w:szCs w:val="20"/>
          <w:lang w:val="en-GB"/>
        </w:rPr>
        <w:t xml:space="preserve">; </w:t>
      </w:r>
      <w:proofErr w:type="spellStart"/>
      <w:r w:rsidRPr="00703E98">
        <w:rPr>
          <w:rFonts w:ascii="Times New Roman" w:hAnsi="Times New Roman"/>
          <w:b w:val="0"/>
          <w:color w:val="auto"/>
          <w:sz w:val="20"/>
          <w:szCs w:val="20"/>
          <w:lang w:val="en-GB"/>
        </w:rPr>
        <w:t>homozygosity</w:t>
      </w:r>
      <w:proofErr w:type="spellEnd"/>
      <w:r w:rsidRPr="00703E98">
        <w:rPr>
          <w:rFonts w:ascii="Times New Roman" w:hAnsi="Times New Roman"/>
          <w:b w:val="0"/>
          <w:color w:val="auto"/>
          <w:sz w:val="20"/>
          <w:szCs w:val="20"/>
          <w:lang w:val="en-GB"/>
        </w:rPr>
        <w:t xml:space="preserve"> by loci </w:t>
      </w:r>
      <w:r w:rsidRPr="00703E98">
        <w:rPr>
          <w:rFonts w:ascii="Times New Roman" w:hAnsi="Times New Roman"/>
          <w:b w:val="0"/>
          <w:color w:val="auto"/>
          <w:sz w:val="20"/>
          <w:szCs w:val="20"/>
          <w:lang w:val="en-GB"/>
        </w:rPr>
        <w:fldChar w:fldCharType="begin"/>
      </w:r>
      <w:r w:rsidRPr="00703E98">
        <w:rPr>
          <w:rFonts w:ascii="Times New Roman" w:hAnsi="Times New Roman"/>
          <w:b w:val="0"/>
          <w:color w:val="auto"/>
          <w:sz w:val="20"/>
          <w:szCs w:val="20"/>
          <w:lang w:val="en-GB"/>
        </w:rPr>
        <w:instrText xml:space="preserve"> ADDIN ZOTERO_ITEM CSL_CITATION {"citationID":"jvqdIsgx","properties":{"formattedCitation":"{\\rtf (HL; Aparicio \\i et al.\\i0{} 2006)}","plainCitation":"(HL; Aparicio et al. 2006)"},"citationItems":[{"id":1586,"uris":["http://zotero.org/users/1341740/items/IBQ3R6Q2"],"uri":["http://zotero.org/users/1341740/items/IBQ3R6Q2"],"itemData":{"id":1586,"type":"article-journal","title":"What should we weigh to estimate heterozygosity, alleles or loci?","container-title":"Molecular Ecology","page":"4659–4665","volume":"15","issue":"14","source":"Wiley Online Library","abstract":"The interest to study the effects of inbreeding in natural populations has increased in the last years. Several microsatellite-derived metrics have recently been developed to infer inbreeding from multilocus heterozygosity data without requiring detailed pedigrees that are difficult to obtain in open populations. Internal relatedness (IR) is currently the most widespread used index and its main attribute is that allele frequency is incorporated into the measure. However, IR underestimates heterozygosity of individuals carrying rare alleles. For example, descendants of immigrants paired with natives (normally more outbred) bearing novel or rare alleles would be considered more homozygous than descendants of native parents. Thus, the analogy between homozygosity and inbreeding that generally is carried out would have no logic in those cases. We propose an alternative index, homozygosity by loci (HL) that avoids such problems by weighing the contribution of each locus to the homozygosity index depending on their allelic variability. Under a wide range of simulated scenarios, we found that our index (HL) correlated better than both IR and uncorrected homozygosity (HO), measured as proportion of homozygous loci) with genome-wide homozygosity and inbreeding coefficients in open populations. In these populations, which are likely to prevail in nature, the use of HL instead of IR reduced considerably the sample sizes required to achieve a given statistical power. This is likely to have important consequences on the ability to detect heterozygosity fitness correlations assuming the relationship between genome-wide heterozygosity and fitness traits.","DOI":"10.1111/j.1365-294X.2006.03111.x","ISSN":"1365-294X","language":"en","author":[{"family":"Aparicio","given":"J. M."},{"family":"Ortego","given":"J."},{"family":"Cordero","given":"P. J."}],"issued":{"date-parts":[["2006"]]},"accessed":{"date-parts":[["2013",9,18]]}},"prefix":"HL; "}],"schema":"https://github.com/citation-style-language/schema/raw/master/csl-citation.json"} </w:instrText>
      </w:r>
      <w:r w:rsidRPr="00703E98">
        <w:rPr>
          <w:rFonts w:ascii="Times New Roman" w:hAnsi="Times New Roman"/>
          <w:b w:val="0"/>
          <w:color w:val="auto"/>
          <w:sz w:val="20"/>
          <w:szCs w:val="20"/>
          <w:lang w:val="en-GB"/>
        </w:rPr>
        <w:fldChar w:fldCharType="separate"/>
      </w:r>
      <w:r w:rsidRPr="00703E98">
        <w:rPr>
          <w:rFonts w:ascii="Times New Roman" w:hAnsi="Times New Roman"/>
          <w:b w:val="0"/>
          <w:color w:val="auto"/>
          <w:sz w:val="20"/>
          <w:szCs w:val="20"/>
          <w:lang w:val="en-GB"/>
        </w:rPr>
        <w:t xml:space="preserve">(HL; Aparicio </w:t>
      </w:r>
      <w:r w:rsidRPr="00703E98">
        <w:rPr>
          <w:rFonts w:ascii="Times New Roman" w:hAnsi="Times New Roman"/>
          <w:b w:val="0"/>
          <w:i/>
          <w:iCs/>
          <w:color w:val="auto"/>
          <w:sz w:val="20"/>
          <w:szCs w:val="20"/>
          <w:lang w:val="en-GB"/>
        </w:rPr>
        <w:t>et al.</w:t>
      </w:r>
      <w:r w:rsidRPr="00703E98">
        <w:rPr>
          <w:rFonts w:ascii="Times New Roman" w:hAnsi="Times New Roman"/>
          <w:b w:val="0"/>
          <w:color w:val="auto"/>
          <w:sz w:val="20"/>
          <w:szCs w:val="20"/>
          <w:lang w:val="en-GB"/>
        </w:rPr>
        <w:t xml:space="preserve"> 2006)</w:t>
      </w:r>
      <w:r w:rsidRPr="00703E98">
        <w:rPr>
          <w:rFonts w:ascii="Times New Roman" w:hAnsi="Times New Roman"/>
          <w:b w:val="0"/>
          <w:color w:val="auto"/>
          <w:sz w:val="20"/>
          <w:szCs w:val="20"/>
          <w:lang w:val="en-GB"/>
        </w:rPr>
        <w:fldChar w:fldCharType="end"/>
      </w:r>
      <w:r w:rsidRPr="00703E98">
        <w:rPr>
          <w:rFonts w:ascii="Times New Roman" w:hAnsi="Times New Roman"/>
          <w:b w:val="0"/>
          <w:color w:val="auto"/>
          <w:sz w:val="20"/>
          <w:szCs w:val="20"/>
          <w:lang w:val="en-GB"/>
        </w:rPr>
        <w:t xml:space="preserve"> the using the R package ‘</w:t>
      </w:r>
      <w:proofErr w:type="spellStart"/>
      <w:r w:rsidRPr="00703E98">
        <w:rPr>
          <w:rFonts w:ascii="Times New Roman" w:hAnsi="Times New Roman"/>
          <w:b w:val="0"/>
          <w:color w:val="auto"/>
          <w:sz w:val="20"/>
          <w:szCs w:val="20"/>
          <w:lang w:val="en-GB"/>
        </w:rPr>
        <w:t>Rhh</w:t>
      </w:r>
      <w:proofErr w:type="spellEnd"/>
      <w:r w:rsidRPr="00703E98">
        <w:rPr>
          <w:rFonts w:ascii="Times New Roman" w:hAnsi="Times New Roman"/>
          <w:b w:val="0"/>
          <w:color w:val="auto"/>
          <w:sz w:val="20"/>
          <w:szCs w:val="20"/>
          <w:lang w:val="en-GB"/>
        </w:rPr>
        <w:t xml:space="preserve">’ </w:t>
      </w:r>
      <w:r w:rsidRPr="00703E98">
        <w:rPr>
          <w:rFonts w:ascii="Times New Roman" w:hAnsi="Times New Roman"/>
          <w:b w:val="0"/>
          <w:color w:val="auto"/>
          <w:sz w:val="20"/>
          <w:szCs w:val="20"/>
          <w:lang w:val="en-GB"/>
        </w:rPr>
        <w:fldChar w:fldCharType="begin"/>
      </w:r>
      <w:r w:rsidRPr="00703E98">
        <w:rPr>
          <w:rFonts w:ascii="Times New Roman" w:hAnsi="Times New Roman"/>
          <w:b w:val="0"/>
          <w:color w:val="auto"/>
          <w:sz w:val="20"/>
          <w:szCs w:val="20"/>
          <w:lang w:val="en-GB"/>
        </w:rPr>
        <w:instrText xml:space="preserve"> ADDIN ZOTERO_ITEM CSL_CITATION {"citationID":"1tb93j2vjr","properties":{"formattedCitation":"{\\rtf (Alho \\i et al.\\i0{} 2010)}","plainCitation":"(Alho et al. 2010)"},"citationItems":[{"id":1589,"uris":["http://zotero.org/users/1341740/items/IM37SQP6"],"uri":["http://zotero.org/users/1341740/items/IM37SQP6"],"itemData":{"id":1589,"type":"article-journal","title":"Rhh: an R extension for estimating multilocus heterozygosity and heterozygosity–heterozygosity correlation","container-title":"Molecular Ecology Resources","page":"720–722","volume":"10","issue":"4","source":"Wiley Online Library","abstract":"Individual multilocus heterozygosity estimates based on a limited number of loci are expected to correlate only weakly with the inbreeding level of an individual. Before using multilocus heterozygosity estimates in studies of inbreeding, their ability to capture information on inbreeding in the given setting should be tested. A convenient method for this is to compute the heterozygosity–heterozygosity correlation, i.e. the mean correlation between multilocus heterozygosity estimates calculated from random samples of loci, which should be positive if multilocus heterozygosity carries a signature of inbreeding. Rhh is an extension package for the statistical software r that estimates this correlation and calculates three measures of individual multilocus heterozygosity: homozygosity by loci, internal relatedness and standardized heterozygosity. The extension package is available through the CRAN (http://cran.r-project.org) and has a homepage at http://www.helsinki.fi/biosci/egru/research/software.","DOI":"10.1111/j.1755-0998.2010.02830.x","ISSN":"1755-0998","shortTitle":"Rhh","language":"en","author":[{"family":"Alho","given":"Jussi S."},{"family":"Välimäki","given":"Kaisa"},{"family":"Merilä","given":"Juha"}],"issued":{"date-parts":[["2010"]]},"accessed":{"date-parts":[["2013",9,18]]}}}],"schema":"https://github.com/citation-style-language/schema/raw/master/csl-citation.json"} </w:instrText>
      </w:r>
      <w:r w:rsidRPr="00703E98">
        <w:rPr>
          <w:rFonts w:ascii="Times New Roman" w:hAnsi="Times New Roman"/>
          <w:b w:val="0"/>
          <w:color w:val="auto"/>
          <w:sz w:val="20"/>
          <w:szCs w:val="20"/>
          <w:lang w:val="en-GB"/>
        </w:rPr>
        <w:fldChar w:fldCharType="separate"/>
      </w:r>
      <w:r w:rsidRPr="00703E98">
        <w:rPr>
          <w:rFonts w:ascii="Times New Roman" w:hAnsi="Times New Roman"/>
          <w:b w:val="0"/>
          <w:color w:val="auto"/>
          <w:sz w:val="20"/>
          <w:szCs w:val="20"/>
          <w:lang w:val="en-GB"/>
        </w:rPr>
        <w:t xml:space="preserve">(Alho </w:t>
      </w:r>
      <w:r w:rsidRPr="00703E98">
        <w:rPr>
          <w:rFonts w:ascii="Times New Roman" w:hAnsi="Times New Roman"/>
          <w:b w:val="0"/>
          <w:i/>
          <w:iCs/>
          <w:color w:val="auto"/>
          <w:sz w:val="20"/>
          <w:szCs w:val="20"/>
          <w:lang w:val="en-GB"/>
        </w:rPr>
        <w:t>et al.</w:t>
      </w:r>
      <w:r w:rsidRPr="00703E98">
        <w:rPr>
          <w:rFonts w:ascii="Times New Roman" w:hAnsi="Times New Roman"/>
          <w:b w:val="0"/>
          <w:color w:val="auto"/>
          <w:sz w:val="20"/>
          <w:szCs w:val="20"/>
          <w:lang w:val="en-GB"/>
        </w:rPr>
        <w:t xml:space="preserve"> 2010)</w:t>
      </w:r>
      <w:r w:rsidRPr="00703E98">
        <w:rPr>
          <w:rFonts w:ascii="Times New Roman" w:hAnsi="Times New Roman"/>
          <w:b w:val="0"/>
          <w:color w:val="auto"/>
          <w:sz w:val="20"/>
          <w:szCs w:val="20"/>
          <w:lang w:val="en-GB"/>
        </w:rPr>
        <w:fldChar w:fldCharType="end"/>
      </w:r>
      <w:r w:rsidRPr="00703E98">
        <w:rPr>
          <w:rFonts w:ascii="Times New Roman" w:hAnsi="Times New Roman"/>
          <w:b w:val="0"/>
          <w:color w:val="auto"/>
          <w:sz w:val="20"/>
          <w:szCs w:val="20"/>
          <w:lang w:val="en-GB"/>
        </w:rPr>
        <w:t xml:space="preserve"> with 1000 randomizations. </w:t>
      </w:r>
    </w:p>
    <w:tbl>
      <w:tblPr>
        <w:tblStyle w:val="TableList3"/>
        <w:tblW w:w="0" w:type="auto"/>
        <w:tblLook w:val="04A0" w:firstRow="1" w:lastRow="0" w:firstColumn="1" w:lastColumn="0" w:noHBand="0" w:noVBand="1"/>
      </w:tblPr>
      <w:tblGrid>
        <w:gridCol w:w="2782"/>
        <w:gridCol w:w="1076"/>
        <w:gridCol w:w="1710"/>
      </w:tblGrid>
      <w:tr w:rsidR="00D74FF0" w:rsidTr="00641E0F">
        <w:trPr>
          <w:cnfStyle w:val="100000000000" w:firstRow="1" w:lastRow="0" w:firstColumn="0" w:lastColumn="0" w:oddVBand="0" w:evenVBand="0" w:oddHBand="0" w:evenHBand="0" w:firstRowFirstColumn="0" w:firstRowLastColumn="0" w:lastRowFirstColumn="0" w:lastRowLastColumn="0"/>
        </w:trPr>
        <w:tc>
          <w:tcPr>
            <w:tcW w:w="2782" w:type="dxa"/>
            <w:tcBorders>
              <w:top w:val="single" w:sz="12" w:space="0" w:color="auto"/>
              <w:bottom w:val="single" w:sz="4" w:space="0" w:color="auto"/>
            </w:tcBorders>
          </w:tcPr>
          <w:p w:rsidR="00D74FF0" w:rsidRPr="00C3730B" w:rsidRDefault="00D74FF0" w:rsidP="00641E0F">
            <w:pPr>
              <w:spacing w:after="0" w:line="480" w:lineRule="auto"/>
              <w:rPr>
                <w:rFonts w:ascii="Times New Roman" w:hAnsi="Times New Roman"/>
                <w:lang w:val="en-GB"/>
              </w:rPr>
            </w:pPr>
            <w:proofErr w:type="spellStart"/>
            <w:r w:rsidRPr="00C3730B">
              <w:rPr>
                <w:rFonts w:ascii="Times New Roman" w:hAnsi="Times New Roman"/>
                <w:lang w:val="en-GB"/>
              </w:rPr>
              <w:t>Heterozygosity</w:t>
            </w:r>
            <w:proofErr w:type="spellEnd"/>
            <w:r w:rsidRPr="00C3730B">
              <w:rPr>
                <w:rFonts w:ascii="Times New Roman" w:hAnsi="Times New Roman"/>
                <w:lang w:val="en-GB"/>
              </w:rPr>
              <w:t xml:space="preserve"> estimate</w:t>
            </w:r>
          </w:p>
        </w:tc>
        <w:tc>
          <w:tcPr>
            <w:tcW w:w="1076" w:type="dxa"/>
            <w:tcBorders>
              <w:top w:val="single" w:sz="12" w:space="0" w:color="auto"/>
              <w:bottom w:val="single" w:sz="4" w:space="0" w:color="auto"/>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GB"/>
              </w:rPr>
              <w:t xml:space="preserve">Mean </w:t>
            </w:r>
            <w:r w:rsidRPr="00C3730B">
              <w:rPr>
                <w:rFonts w:ascii="Times New Roman" w:hAnsi="Times New Roman"/>
                <w:i/>
                <w:lang w:val="en-GB"/>
              </w:rPr>
              <w:t>r</w:t>
            </w:r>
          </w:p>
        </w:tc>
        <w:tc>
          <w:tcPr>
            <w:tcW w:w="1710" w:type="dxa"/>
            <w:tcBorders>
              <w:top w:val="single" w:sz="12" w:space="0" w:color="auto"/>
              <w:bottom w:val="single" w:sz="4" w:space="0" w:color="auto"/>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GB"/>
              </w:rPr>
              <w:t>95%</w:t>
            </w:r>
            <w:r>
              <w:rPr>
                <w:rFonts w:ascii="Times New Roman" w:hAnsi="Times New Roman"/>
                <w:lang w:val="en-GB"/>
              </w:rPr>
              <w:t xml:space="preserve"> </w:t>
            </w:r>
            <w:proofErr w:type="spellStart"/>
            <w:r w:rsidRPr="00C3730B">
              <w:rPr>
                <w:rFonts w:ascii="Times New Roman" w:hAnsi="Times New Roman"/>
                <w:lang w:val="en-GB"/>
              </w:rPr>
              <w:t>Quantile</w:t>
            </w:r>
            <w:proofErr w:type="spellEnd"/>
          </w:p>
        </w:tc>
      </w:tr>
      <w:tr w:rsidR="00D74FF0" w:rsidTr="00641E0F">
        <w:tc>
          <w:tcPr>
            <w:tcW w:w="2782" w:type="dxa"/>
            <w:tcBorders>
              <w:top w:val="single" w:sz="4" w:space="0" w:color="auto"/>
              <w:bottom w:val="nil"/>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US"/>
              </w:rPr>
              <w:t>SH</w:t>
            </w:r>
          </w:p>
        </w:tc>
        <w:tc>
          <w:tcPr>
            <w:tcW w:w="1076" w:type="dxa"/>
            <w:tcBorders>
              <w:top w:val="single" w:sz="4" w:space="0" w:color="auto"/>
              <w:bottom w:val="nil"/>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US"/>
              </w:rPr>
              <w:t>-0.030</w:t>
            </w:r>
          </w:p>
        </w:tc>
        <w:tc>
          <w:tcPr>
            <w:tcW w:w="1710" w:type="dxa"/>
            <w:tcBorders>
              <w:top w:val="single" w:sz="4" w:space="0" w:color="auto"/>
              <w:bottom w:val="nil"/>
            </w:tcBorders>
          </w:tcPr>
          <w:p w:rsidR="00D74FF0" w:rsidRPr="00C3730B" w:rsidRDefault="00D74FF0" w:rsidP="00641E0F">
            <w:pPr>
              <w:spacing w:after="0" w:line="480" w:lineRule="auto"/>
              <w:rPr>
                <w:rFonts w:ascii="Times New Roman" w:hAnsi="Times New Roman"/>
                <w:lang w:val="en-US"/>
              </w:rPr>
            </w:pPr>
            <w:r>
              <w:rPr>
                <w:rFonts w:ascii="Times New Roman" w:hAnsi="Times New Roman"/>
                <w:lang w:val="en-US"/>
              </w:rPr>
              <w:t>-0.068,</w:t>
            </w:r>
            <w:r w:rsidRPr="00C3730B">
              <w:rPr>
                <w:rFonts w:ascii="Times New Roman" w:hAnsi="Times New Roman"/>
                <w:lang w:val="en-US"/>
              </w:rPr>
              <w:t xml:space="preserve"> 0.012</w:t>
            </w:r>
          </w:p>
        </w:tc>
      </w:tr>
      <w:tr w:rsidR="00D74FF0" w:rsidTr="00641E0F">
        <w:tc>
          <w:tcPr>
            <w:tcW w:w="2782" w:type="dxa"/>
            <w:tcBorders>
              <w:top w:val="nil"/>
              <w:bottom w:val="nil"/>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US"/>
              </w:rPr>
              <w:t>IR</w:t>
            </w:r>
          </w:p>
        </w:tc>
        <w:tc>
          <w:tcPr>
            <w:tcW w:w="1076" w:type="dxa"/>
            <w:tcBorders>
              <w:top w:val="nil"/>
              <w:bottom w:val="nil"/>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US"/>
              </w:rPr>
              <w:t>-0.030</w:t>
            </w:r>
          </w:p>
        </w:tc>
        <w:tc>
          <w:tcPr>
            <w:tcW w:w="1710" w:type="dxa"/>
            <w:tcBorders>
              <w:top w:val="nil"/>
              <w:bottom w:val="nil"/>
            </w:tcBorders>
          </w:tcPr>
          <w:p w:rsidR="00D74FF0" w:rsidRPr="00C3730B" w:rsidRDefault="00D74FF0" w:rsidP="00641E0F">
            <w:pPr>
              <w:spacing w:after="0" w:line="480" w:lineRule="auto"/>
              <w:rPr>
                <w:rFonts w:ascii="Times New Roman" w:hAnsi="Times New Roman"/>
                <w:lang w:val="en-US"/>
              </w:rPr>
            </w:pPr>
            <w:r>
              <w:rPr>
                <w:rFonts w:ascii="Times New Roman" w:hAnsi="Times New Roman"/>
                <w:lang w:val="en-US"/>
              </w:rPr>
              <w:t>-0.069,</w:t>
            </w:r>
            <w:r w:rsidRPr="00C3730B">
              <w:rPr>
                <w:rFonts w:ascii="Times New Roman" w:hAnsi="Times New Roman"/>
                <w:lang w:val="en-US"/>
              </w:rPr>
              <w:t xml:space="preserve"> 0.007</w:t>
            </w:r>
          </w:p>
        </w:tc>
      </w:tr>
      <w:tr w:rsidR="00D74FF0" w:rsidTr="00641E0F">
        <w:tc>
          <w:tcPr>
            <w:tcW w:w="2782" w:type="dxa"/>
            <w:tcBorders>
              <w:top w:val="nil"/>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US"/>
              </w:rPr>
              <w:t>HL</w:t>
            </w:r>
          </w:p>
        </w:tc>
        <w:tc>
          <w:tcPr>
            <w:tcW w:w="1076" w:type="dxa"/>
            <w:tcBorders>
              <w:top w:val="nil"/>
            </w:tcBorders>
          </w:tcPr>
          <w:p w:rsidR="00D74FF0" w:rsidRPr="00C3730B" w:rsidRDefault="00D74FF0" w:rsidP="00641E0F">
            <w:pPr>
              <w:spacing w:after="0" w:line="480" w:lineRule="auto"/>
              <w:rPr>
                <w:rFonts w:ascii="Times New Roman" w:hAnsi="Times New Roman"/>
                <w:lang w:val="en-US"/>
              </w:rPr>
            </w:pPr>
            <w:r w:rsidRPr="00C3730B">
              <w:rPr>
                <w:rFonts w:ascii="Times New Roman" w:hAnsi="Times New Roman"/>
                <w:lang w:val="en-US"/>
              </w:rPr>
              <w:t>-0.031</w:t>
            </w:r>
          </w:p>
        </w:tc>
        <w:tc>
          <w:tcPr>
            <w:tcW w:w="1710" w:type="dxa"/>
            <w:tcBorders>
              <w:top w:val="nil"/>
            </w:tcBorders>
          </w:tcPr>
          <w:p w:rsidR="00D74FF0" w:rsidRPr="00C3730B" w:rsidRDefault="00D74FF0" w:rsidP="00641E0F">
            <w:pPr>
              <w:spacing w:after="0" w:line="480" w:lineRule="auto"/>
              <w:rPr>
                <w:rFonts w:ascii="Times New Roman" w:hAnsi="Times New Roman"/>
                <w:lang w:val="en-US"/>
              </w:rPr>
            </w:pPr>
            <w:r>
              <w:rPr>
                <w:rFonts w:ascii="Times New Roman" w:hAnsi="Times New Roman"/>
                <w:lang w:val="en-US"/>
              </w:rPr>
              <w:t>-0.068,</w:t>
            </w:r>
            <w:r w:rsidRPr="00C3730B">
              <w:rPr>
                <w:rFonts w:ascii="Times New Roman" w:hAnsi="Times New Roman"/>
                <w:lang w:val="en-US"/>
              </w:rPr>
              <w:t xml:space="preserve">  0.006</w:t>
            </w:r>
          </w:p>
        </w:tc>
      </w:tr>
    </w:tbl>
    <w:p w:rsidR="00D74FF0" w:rsidRDefault="00D74FF0" w:rsidP="00D74FF0">
      <w:pPr>
        <w:rPr>
          <w:lang w:val="en-US"/>
        </w:rPr>
      </w:pPr>
    </w:p>
    <w:p w:rsidR="00D74FF0" w:rsidRPr="0079532D" w:rsidRDefault="00D74FF0" w:rsidP="00906A21">
      <w:pPr>
        <w:pStyle w:val="Bibliography"/>
        <w:spacing w:after="100" w:afterAutospacing="1"/>
        <w:rPr>
          <w:rFonts w:ascii="Times New Roman" w:hAnsi="Times New Roman"/>
          <w:b/>
          <w:sz w:val="24"/>
          <w:szCs w:val="24"/>
          <w:lang w:val="en-GB"/>
        </w:rPr>
      </w:pPr>
      <w:bookmarkStart w:id="0" w:name="_GoBack"/>
      <w:bookmarkEnd w:id="0"/>
      <w:r w:rsidRPr="0079532D">
        <w:rPr>
          <w:rFonts w:ascii="Times New Roman" w:hAnsi="Times New Roman"/>
          <w:b/>
          <w:sz w:val="24"/>
          <w:szCs w:val="24"/>
          <w:lang w:val="en-GB"/>
        </w:rPr>
        <w:t>References</w:t>
      </w:r>
    </w:p>
    <w:p w:rsidR="00703E98" w:rsidRPr="00703E98" w:rsidRDefault="00D74FF0" w:rsidP="00703E98">
      <w:pPr>
        <w:pStyle w:val="Bibliography"/>
        <w:rPr>
          <w:rFonts w:ascii="Times New Roman" w:hAnsi="Times New Roman"/>
          <w:sz w:val="24"/>
          <w:lang w:val="en-GB"/>
        </w:rPr>
      </w:pPr>
      <w:r w:rsidRPr="0079532D">
        <w:fldChar w:fldCharType="begin"/>
      </w:r>
      <w:r>
        <w:rPr>
          <w:lang w:val="en-GB"/>
        </w:rPr>
        <w:instrText xml:space="preserve"> ADDIN ZOTERO_BIBL {"custom":[]} CSL_BIBLIOGRAPHY </w:instrText>
      </w:r>
      <w:r w:rsidRPr="0079532D">
        <w:fldChar w:fldCharType="separate"/>
      </w:r>
      <w:r w:rsidR="00703E98" w:rsidRPr="00703E98">
        <w:rPr>
          <w:rFonts w:ascii="Times New Roman" w:hAnsi="Times New Roman"/>
          <w:sz w:val="24"/>
          <w:lang w:val="en-GB"/>
        </w:rPr>
        <w:t xml:space="preserve">Alho, J.S., Välimäki, K. &amp; Merilä, J. (2010) Rhh: an R extension for estimating multilocus heterozygosity and heterozygosity–heterozygosity correlation. </w:t>
      </w:r>
      <w:r w:rsidR="00703E98" w:rsidRPr="00703E98">
        <w:rPr>
          <w:rFonts w:ascii="Times New Roman" w:hAnsi="Times New Roman"/>
          <w:i/>
          <w:iCs/>
          <w:sz w:val="24"/>
          <w:lang w:val="en-GB"/>
        </w:rPr>
        <w:t>Molecular Ecology Resources</w:t>
      </w:r>
      <w:r w:rsidR="00703E98" w:rsidRPr="00703E98">
        <w:rPr>
          <w:rFonts w:ascii="Times New Roman" w:hAnsi="Times New Roman"/>
          <w:sz w:val="24"/>
          <w:lang w:val="en-GB"/>
        </w:rPr>
        <w:t xml:space="preserve">, </w:t>
      </w:r>
      <w:r w:rsidR="00703E98" w:rsidRPr="00703E98">
        <w:rPr>
          <w:rFonts w:ascii="Times New Roman" w:hAnsi="Times New Roman"/>
          <w:b/>
          <w:bCs/>
          <w:sz w:val="24"/>
          <w:lang w:val="en-GB"/>
        </w:rPr>
        <w:t>10</w:t>
      </w:r>
      <w:r w:rsidR="00703E98" w:rsidRPr="00703E98">
        <w:rPr>
          <w:rFonts w:ascii="Times New Roman" w:hAnsi="Times New Roman"/>
          <w:sz w:val="24"/>
          <w:lang w:val="en-GB"/>
        </w:rPr>
        <w:t>, 720–722.</w:t>
      </w:r>
    </w:p>
    <w:p w:rsidR="00703E98" w:rsidRPr="00703E98" w:rsidRDefault="00703E98" w:rsidP="00703E98">
      <w:pPr>
        <w:pStyle w:val="Bibliography"/>
        <w:rPr>
          <w:rFonts w:ascii="Times New Roman" w:hAnsi="Times New Roman"/>
          <w:sz w:val="24"/>
          <w:lang w:val="en-GB"/>
        </w:rPr>
      </w:pPr>
      <w:r w:rsidRPr="00703E98">
        <w:rPr>
          <w:rFonts w:ascii="Times New Roman" w:hAnsi="Times New Roman"/>
          <w:sz w:val="24"/>
          <w:lang w:val="en-GB"/>
        </w:rPr>
        <w:t xml:space="preserve">Amos, W., Wilmer, J.W., Fullard, K., Burg, T.M., Croxall, J.P., Bloch, D. &amp; Coulson, T. (2001) The influence of parental relatedness on reproductive success. </w:t>
      </w:r>
      <w:r w:rsidRPr="00703E98">
        <w:rPr>
          <w:rFonts w:ascii="Times New Roman" w:hAnsi="Times New Roman"/>
          <w:i/>
          <w:iCs/>
          <w:sz w:val="24"/>
          <w:lang w:val="en-GB"/>
        </w:rPr>
        <w:t>Proceedings of the Royal Society of London. Series B: Biological Sciences</w:t>
      </w:r>
      <w:r w:rsidRPr="00703E98">
        <w:rPr>
          <w:rFonts w:ascii="Times New Roman" w:hAnsi="Times New Roman"/>
          <w:sz w:val="24"/>
          <w:lang w:val="en-GB"/>
        </w:rPr>
        <w:t xml:space="preserve">, </w:t>
      </w:r>
      <w:r w:rsidRPr="00703E98">
        <w:rPr>
          <w:rFonts w:ascii="Times New Roman" w:hAnsi="Times New Roman"/>
          <w:b/>
          <w:bCs/>
          <w:sz w:val="24"/>
          <w:lang w:val="en-GB"/>
        </w:rPr>
        <w:t>268</w:t>
      </w:r>
      <w:r w:rsidRPr="00703E98">
        <w:rPr>
          <w:rFonts w:ascii="Times New Roman" w:hAnsi="Times New Roman"/>
          <w:sz w:val="24"/>
          <w:lang w:val="en-GB"/>
        </w:rPr>
        <w:t>, 2021–2027.</w:t>
      </w:r>
    </w:p>
    <w:p w:rsidR="00703E98" w:rsidRPr="00703E98" w:rsidRDefault="00703E98" w:rsidP="00703E98">
      <w:pPr>
        <w:pStyle w:val="Bibliography"/>
        <w:rPr>
          <w:rFonts w:ascii="Times New Roman" w:hAnsi="Times New Roman"/>
          <w:sz w:val="24"/>
          <w:lang w:val="en-GB"/>
        </w:rPr>
      </w:pPr>
      <w:r w:rsidRPr="00703E98">
        <w:rPr>
          <w:rFonts w:ascii="Times New Roman" w:hAnsi="Times New Roman"/>
          <w:sz w:val="24"/>
          <w:lang w:val="en-GB"/>
        </w:rPr>
        <w:t xml:space="preserve">Aparicio, J.M., Ortego, J. &amp; Cordero, P.J. (2006) What should we weigh to estimate heterozygosity, alleles or loci? </w:t>
      </w:r>
      <w:r w:rsidRPr="00703E98">
        <w:rPr>
          <w:rFonts w:ascii="Times New Roman" w:hAnsi="Times New Roman"/>
          <w:i/>
          <w:iCs/>
          <w:sz w:val="24"/>
          <w:lang w:val="en-GB"/>
        </w:rPr>
        <w:t>Molecular Ecology</w:t>
      </w:r>
      <w:r w:rsidRPr="00703E98">
        <w:rPr>
          <w:rFonts w:ascii="Times New Roman" w:hAnsi="Times New Roman"/>
          <w:sz w:val="24"/>
          <w:lang w:val="en-GB"/>
        </w:rPr>
        <w:t xml:space="preserve">, </w:t>
      </w:r>
      <w:r w:rsidRPr="00703E98">
        <w:rPr>
          <w:rFonts w:ascii="Times New Roman" w:hAnsi="Times New Roman"/>
          <w:b/>
          <w:bCs/>
          <w:sz w:val="24"/>
          <w:lang w:val="en-GB"/>
        </w:rPr>
        <w:t>15</w:t>
      </w:r>
      <w:r w:rsidRPr="00703E98">
        <w:rPr>
          <w:rFonts w:ascii="Times New Roman" w:hAnsi="Times New Roman"/>
          <w:sz w:val="24"/>
          <w:lang w:val="en-GB"/>
        </w:rPr>
        <w:t>, 4659–4665.</w:t>
      </w:r>
    </w:p>
    <w:p w:rsidR="00703E98" w:rsidRPr="00703E98" w:rsidRDefault="00703E98" w:rsidP="00703E98">
      <w:pPr>
        <w:pStyle w:val="Bibliography"/>
        <w:rPr>
          <w:rFonts w:ascii="Times New Roman" w:hAnsi="Times New Roman"/>
          <w:sz w:val="24"/>
          <w:lang w:val="en-GB"/>
        </w:rPr>
      </w:pPr>
      <w:r w:rsidRPr="00703E98">
        <w:rPr>
          <w:rFonts w:ascii="Times New Roman" w:hAnsi="Times New Roman"/>
          <w:sz w:val="24"/>
          <w:lang w:val="en-GB"/>
        </w:rPr>
        <w:t xml:space="preserve">Balloux, F., Amos, W. &amp; Coulson, T. (2004) Does heterozygosity estimate inbreeding in real populations? </w:t>
      </w:r>
      <w:r w:rsidRPr="00703E98">
        <w:rPr>
          <w:rFonts w:ascii="Times New Roman" w:hAnsi="Times New Roman"/>
          <w:i/>
          <w:iCs/>
          <w:sz w:val="24"/>
          <w:lang w:val="en-GB"/>
        </w:rPr>
        <w:t>Molecular Ecology</w:t>
      </w:r>
      <w:r w:rsidRPr="00703E98">
        <w:rPr>
          <w:rFonts w:ascii="Times New Roman" w:hAnsi="Times New Roman"/>
          <w:sz w:val="24"/>
          <w:lang w:val="en-GB"/>
        </w:rPr>
        <w:t xml:space="preserve">, </w:t>
      </w:r>
      <w:r w:rsidRPr="00703E98">
        <w:rPr>
          <w:rFonts w:ascii="Times New Roman" w:hAnsi="Times New Roman"/>
          <w:b/>
          <w:bCs/>
          <w:sz w:val="24"/>
          <w:lang w:val="en-GB"/>
        </w:rPr>
        <w:t>13</w:t>
      </w:r>
      <w:r w:rsidRPr="00703E98">
        <w:rPr>
          <w:rFonts w:ascii="Times New Roman" w:hAnsi="Times New Roman"/>
          <w:sz w:val="24"/>
          <w:lang w:val="en-GB"/>
        </w:rPr>
        <w:t>, 3021–3031.</w:t>
      </w:r>
    </w:p>
    <w:p w:rsidR="00703E98" w:rsidRPr="00703E98" w:rsidRDefault="00703E98" w:rsidP="00703E98">
      <w:pPr>
        <w:pStyle w:val="Bibliography"/>
        <w:rPr>
          <w:rFonts w:ascii="Times New Roman" w:hAnsi="Times New Roman"/>
          <w:sz w:val="24"/>
        </w:rPr>
      </w:pPr>
      <w:r w:rsidRPr="00703E98">
        <w:rPr>
          <w:rFonts w:ascii="Times New Roman" w:hAnsi="Times New Roman"/>
          <w:sz w:val="24"/>
          <w:lang w:val="en-GB"/>
        </w:rPr>
        <w:t xml:space="preserve">Coltman, D.W., Pilkington, J.G., Smith, J.A. &amp; Pemberton, J.M. (1999) Parasite-Mediated Selection against Inbred Soay Sheep in a Free-Living, Island Population. </w:t>
      </w:r>
      <w:r w:rsidRPr="00703E98">
        <w:rPr>
          <w:rFonts w:ascii="Times New Roman" w:hAnsi="Times New Roman"/>
          <w:i/>
          <w:iCs/>
          <w:sz w:val="24"/>
        </w:rPr>
        <w:t>Evolution</w:t>
      </w:r>
      <w:r w:rsidRPr="00703E98">
        <w:rPr>
          <w:rFonts w:ascii="Times New Roman" w:hAnsi="Times New Roman"/>
          <w:sz w:val="24"/>
        </w:rPr>
        <w:t xml:space="preserve">, </w:t>
      </w:r>
      <w:r w:rsidRPr="00703E98">
        <w:rPr>
          <w:rFonts w:ascii="Times New Roman" w:hAnsi="Times New Roman"/>
          <w:b/>
          <w:bCs/>
          <w:sz w:val="24"/>
        </w:rPr>
        <w:t>53</w:t>
      </w:r>
      <w:r w:rsidRPr="00703E98">
        <w:rPr>
          <w:rFonts w:ascii="Times New Roman" w:hAnsi="Times New Roman"/>
          <w:sz w:val="24"/>
        </w:rPr>
        <w:t>, 1259.</w:t>
      </w:r>
    </w:p>
    <w:p w:rsidR="00D74FF0" w:rsidRPr="009F3974" w:rsidRDefault="00D74FF0" w:rsidP="00D74FF0">
      <w:pPr>
        <w:spacing w:after="0" w:line="240" w:lineRule="auto"/>
        <w:ind w:left="1440" w:hanging="720"/>
        <w:jc w:val="left"/>
        <w:rPr>
          <w:rFonts w:ascii="Times New Roman" w:hAnsi="Times New Roman"/>
          <w:sz w:val="12"/>
          <w:szCs w:val="12"/>
          <w:lang w:val="en-US"/>
        </w:rPr>
      </w:pPr>
      <w:r w:rsidRPr="0079532D">
        <w:rPr>
          <w:rFonts w:ascii="Times New Roman" w:hAnsi="Times New Roman"/>
          <w:sz w:val="24"/>
          <w:szCs w:val="24"/>
        </w:rPr>
        <w:fldChar w:fldCharType="end"/>
      </w:r>
    </w:p>
    <w:p w:rsidR="00D74FF0" w:rsidRPr="00161731" w:rsidRDefault="00D74FF0" w:rsidP="00D74FF0">
      <w:pPr>
        <w:rPr>
          <w:lang w:val="en-US"/>
        </w:rPr>
      </w:pPr>
    </w:p>
    <w:p w:rsidR="00D74FF0" w:rsidRPr="00015F95" w:rsidRDefault="00D74FF0" w:rsidP="00D74FF0">
      <w:pPr>
        <w:rPr>
          <w:lang w:val="en-US"/>
        </w:rPr>
      </w:pPr>
    </w:p>
    <w:p w:rsidR="0040643D" w:rsidRDefault="00906A21"/>
    <w:sectPr w:rsidR="0040643D" w:rsidSect="006F16CA">
      <w:pgSz w:w="11906" w:h="16838"/>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2B6"/>
    <w:multiLevelType w:val="hybridMultilevel"/>
    <w:tmpl w:val="A26C9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E0023F"/>
    <w:multiLevelType w:val="hybridMultilevel"/>
    <w:tmpl w:val="D16CC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856D44"/>
    <w:multiLevelType w:val="hybridMultilevel"/>
    <w:tmpl w:val="1958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8B54DF"/>
    <w:multiLevelType w:val="hybridMultilevel"/>
    <w:tmpl w:val="736A3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FF0"/>
    <w:rsid w:val="002311C3"/>
    <w:rsid w:val="00372540"/>
    <w:rsid w:val="004E4950"/>
    <w:rsid w:val="00646E14"/>
    <w:rsid w:val="00703E98"/>
    <w:rsid w:val="00906A21"/>
    <w:rsid w:val="00B8061A"/>
    <w:rsid w:val="00BB0ECF"/>
    <w:rsid w:val="00D74FF0"/>
    <w:rsid w:val="00ED5804"/>
    <w:rsid w:val="00F65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FF0"/>
    <w:pPr>
      <w:spacing w:after="240" w:line="360" w:lineRule="auto"/>
      <w:jc w:val="both"/>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D74FF0"/>
    <w:pPr>
      <w:spacing w:after="200" w:line="240" w:lineRule="auto"/>
      <w:jc w:val="left"/>
    </w:pPr>
    <w:rPr>
      <w:b/>
      <w:bCs/>
      <w:color w:val="4F81BD"/>
      <w:sz w:val="18"/>
      <w:szCs w:val="18"/>
    </w:rPr>
  </w:style>
  <w:style w:type="paragraph" w:styleId="BalloonText">
    <w:name w:val="Balloon Text"/>
    <w:basedOn w:val="Normal"/>
    <w:link w:val="BalloonTextChar"/>
    <w:uiPriority w:val="99"/>
    <w:semiHidden/>
    <w:unhideWhenUsed/>
    <w:rsid w:val="00D74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FF0"/>
    <w:rPr>
      <w:rFonts w:ascii="Tahoma" w:eastAsia="Times New Roman" w:hAnsi="Tahoma" w:cs="Tahoma"/>
      <w:sz w:val="16"/>
      <w:szCs w:val="16"/>
      <w:lang w:val="fr-FR"/>
    </w:rPr>
  </w:style>
  <w:style w:type="character" w:styleId="Hyperlink">
    <w:name w:val="Hyperlink"/>
    <w:basedOn w:val="DefaultParagraphFont"/>
    <w:uiPriority w:val="99"/>
    <w:rsid w:val="00D74FF0"/>
    <w:rPr>
      <w:rFonts w:cs="Times New Roman"/>
      <w:color w:val="0000FF"/>
      <w:u w:val="single"/>
    </w:rPr>
  </w:style>
  <w:style w:type="paragraph" w:styleId="Bibliography">
    <w:name w:val="Bibliography"/>
    <w:basedOn w:val="Normal"/>
    <w:next w:val="Normal"/>
    <w:uiPriority w:val="37"/>
    <w:unhideWhenUsed/>
    <w:rsid w:val="00D74FF0"/>
    <w:pPr>
      <w:spacing w:line="240" w:lineRule="auto"/>
      <w:ind w:left="720" w:hanging="720"/>
    </w:pPr>
  </w:style>
  <w:style w:type="table" w:styleId="TableGrid">
    <w:name w:val="Table Grid"/>
    <w:basedOn w:val="TableNormal"/>
    <w:uiPriority w:val="59"/>
    <w:rsid w:val="00D74F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D74FF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D74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D74FF0"/>
    <w:rPr>
      <w:rFonts w:ascii="Courier New" w:eastAsia="Times New Roman" w:hAnsi="Courier New" w:cs="Courier New"/>
      <w:sz w:val="20"/>
      <w:szCs w:val="20"/>
      <w:lang w:eastAsia="en-GB"/>
    </w:rPr>
  </w:style>
  <w:style w:type="table" w:styleId="TableList3">
    <w:name w:val="Table List 3"/>
    <w:basedOn w:val="TableNormal"/>
    <w:rsid w:val="00D74FF0"/>
    <w:pPr>
      <w:spacing w:after="240" w:line="360"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ListParagraph">
    <w:name w:val="List Paragraph"/>
    <w:basedOn w:val="Normal"/>
    <w:uiPriority w:val="34"/>
    <w:qFormat/>
    <w:rsid w:val="00D74FF0"/>
    <w:pPr>
      <w:ind w:left="720"/>
      <w:contextualSpacing/>
    </w:pPr>
  </w:style>
  <w:style w:type="character" w:styleId="CommentReference">
    <w:name w:val="annotation reference"/>
    <w:basedOn w:val="DefaultParagraphFont"/>
    <w:uiPriority w:val="99"/>
    <w:rsid w:val="00D74FF0"/>
    <w:rPr>
      <w:rFonts w:cs="Times New Roman"/>
      <w:sz w:val="16"/>
    </w:rPr>
  </w:style>
  <w:style w:type="paragraph" w:styleId="CommentText">
    <w:name w:val="annotation text"/>
    <w:basedOn w:val="Normal"/>
    <w:link w:val="CommentTextChar"/>
    <w:uiPriority w:val="99"/>
    <w:rsid w:val="00D74FF0"/>
    <w:pPr>
      <w:spacing w:after="0" w:line="240" w:lineRule="auto"/>
      <w:jc w:val="left"/>
    </w:pPr>
    <w:rPr>
      <w:rFonts w:ascii="Times New Roman" w:hAnsi="Times New Roman"/>
      <w:sz w:val="20"/>
      <w:szCs w:val="20"/>
      <w:lang w:eastAsia="fr-FR"/>
    </w:rPr>
  </w:style>
  <w:style w:type="character" w:customStyle="1" w:styleId="CommentTextChar">
    <w:name w:val="Comment Text Char"/>
    <w:basedOn w:val="DefaultParagraphFont"/>
    <w:link w:val="CommentText"/>
    <w:uiPriority w:val="99"/>
    <w:rsid w:val="00D74FF0"/>
    <w:rPr>
      <w:rFonts w:ascii="Times New Roman" w:eastAsia="Times New Roman" w:hAnsi="Times New Roman" w:cs="Times New Roman"/>
      <w:sz w:val="20"/>
      <w:szCs w:val="20"/>
      <w:lang w:val="fr-FR" w:eastAsia="fr-FR"/>
    </w:rPr>
  </w:style>
  <w:style w:type="character" w:customStyle="1" w:styleId="hithilite">
    <w:name w:val="hithilite"/>
    <w:basedOn w:val="DefaultParagraphFont"/>
    <w:uiPriority w:val="99"/>
    <w:rsid w:val="00D74FF0"/>
    <w:rPr>
      <w:rFonts w:cs="Times New Roman"/>
    </w:rPr>
  </w:style>
  <w:style w:type="character" w:customStyle="1" w:styleId="CharChar1">
    <w:name w:val="Char Char1"/>
    <w:uiPriority w:val="99"/>
    <w:rsid w:val="00D74FF0"/>
    <w:rPr>
      <w:lang w:val="fr-FR" w:eastAsia="fr-FR"/>
    </w:rPr>
  </w:style>
  <w:style w:type="paragraph" w:styleId="CommentSubject">
    <w:name w:val="annotation subject"/>
    <w:basedOn w:val="CommentText"/>
    <w:next w:val="CommentText"/>
    <w:link w:val="CommentSubjectChar"/>
    <w:uiPriority w:val="99"/>
    <w:semiHidden/>
    <w:unhideWhenUsed/>
    <w:rsid w:val="00D74FF0"/>
    <w:pPr>
      <w:spacing w:after="240"/>
      <w:jc w:val="both"/>
    </w:pPr>
    <w:rPr>
      <w:rFonts w:ascii="Calibri" w:hAnsi="Calibri"/>
      <w:b/>
      <w:bCs/>
      <w:lang w:eastAsia="en-US"/>
    </w:rPr>
  </w:style>
  <w:style w:type="character" w:customStyle="1" w:styleId="CommentSubjectChar">
    <w:name w:val="Comment Subject Char"/>
    <w:basedOn w:val="CommentTextChar"/>
    <w:link w:val="CommentSubject"/>
    <w:uiPriority w:val="99"/>
    <w:semiHidden/>
    <w:rsid w:val="00D74FF0"/>
    <w:rPr>
      <w:rFonts w:ascii="Calibri" w:eastAsia="Times New Roman" w:hAnsi="Calibri" w:cs="Times New Roman"/>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FF0"/>
    <w:pPr>
      <w:spacing w:after="240" w:line="360" w:lineRule="auto"/>
      <w:jc w:val="both"/>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D74FF0"/>
    <w:pPr>
      <w:spacing w:after="200" w:line="240" w:lineRule="auto"/>
      <w:jc w:val="left"/>
    </w:pPr>
    <w:rPr>
      <w:b/>
      <w:bCs/>
      <w:color w:val="4F81BD"/>
      <w:sz w:val="18"/>
      <w:szCs w:val="18"/>
    </w:rPr>
  </w:style>
  <w:style w:type="paragraph" w:styleId="BalloonText">
    <w:name w:val="Balloon Text"/>
    <w:basedOn w:val="Normal"/>
    <w:link w:val="BalloonTextChar"/>
    <w:uiPriority w:val="99"/>
    <w:semiHidden/>
    <w:unhideWhenUsed/>
    <w:rsid w:val="00D74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FF0"/>
    <w:rPr>
      <w:rFonts w:ascii="Tahoma" w:eastAsia="Times New Roman" w:hAnsi="Tahoma" w:cs="Tahoma"/>
      <w:sz w:val="16"/>
      <w:szCs w:val="16"/>
      <w:lang w:val="fr-FR"/>
    </w:rPr>
  </w:style>
  <w:style w:type="character" w:styleId="Hyperlink">
    <w:name w:val="Hyperlink"/>
    <w:basedOn w:val="DefaultParagraphFont"/>
    <w:uiPriority w:val="99"/>
    <w:rsid w:val="00D74FF0"/>
    <w:rPr>
      <w:rFonts w:cs="Times New Roman"/>
      <w:color w:val="0000FF"/>
      <w:u w:val="single"/>
    </w:rPr>
  </w:style>
  <w:style w:type="paragraph" w:styleId="Bibliography">
    <w:name w:val="Bibliography"/>
    <w:basedOn w:val="Normal"/>
    <w:next w:val="Normal"/>
    <w:uiPriority w:val="37"/>
    <w:unhideWhenUsed/>
    <w:rsid w:val="00D74FF0"/>
    <w:pPr>
      <w:spacing w:line="240" w:lineRule="auto"/>
      <w:ind w:left="720" w:hanging="720"/>
    </w:pPr>
  </w:style>
  <w:style w:type="table" w:styleId="TableGrid">
    <w:name w:val="Table Grid"/>
    <w:basedOn w:val="TableNormal"/>
    <w:uiPriority w:val="59"/>
    <w:rsid w:val="00D74F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D74FF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D74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D74FF0"/>
    <w:rPr>
      <w:rFonts w:ascii="Courier New" w:eastAsia="Times New Roman" w:hAnsi="Courier New" w:cs="Courier New"/>
      <w:sz w:val="20"/>
      <w:szCs w:val="20"/>
      <w:lang w:eastAsia="en-GB"/>
    </w:rPr>
  </w:style>
  <w:style w:type="table" w:styleId="TableList3">
    <w:name w:val="Table List 3"/>
    <w:basedOn w:val="TableNormal"/>
    <w:rsid w:val="00D74FF0"/>
    <w:pPr>
      <w:spacing w:after="240" w:line="360"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ListParagraph">
    <w:name w:val="List Paragraph"/>
    <w:basedOn w:val="Normal"/>
    <w:uiPriority w:val="34"/>
    <w:qFormat/>
    <w:rsid w:val="00D74FF0"/>
    <w:pPr>
      <w:ind w:left="720"/>
      <w:contextualSpacing/>
    </w:pPr>
  </w:style>
  <w:style w:type="character" w:styleId="CommentReference">
    <w:name w:val="annotation reference"/>
    <w:basedOn w:val="DefaultParagraphFont"/>
    <w:uiPriority w:val="99"/>
    <w:rsid w:val="00D74FF0"/>
    <w:rPr>
      <w:rFonts w:cs="Times New Roman"/>
      <w:sz w:val="16"/>
    </w:rPr>
  </w:style>
  <w:style w:type="paragraph" w:styleId="CommentText">
    <w:name w:val="annotation text"/>
    <w:basedOn w:val="Normal"/>
    <w:link w:val="CommentTextChar"/>
    <w:uiPriority w:val="99"/>
    <w:rsid w:val="00D74FF0"/>
    <w:pPr>
      <w:spacing w:after="0" w:line="240" w:lineRule="auto"/>
      <w:jc w:val="left"/>
    </w:pPr>
    <w:rPr>
      <w:rFonts w:ascii="Times New Roman" w:hAnsi="Times New Roman"/>
      <w:sz w:val="20"/>
      <w:szCs w:val="20"/>
      <w:lang w:eastAsia="fr-FR"/>
    </w:rPr>
  </w:style>
  <w:style w:type="character" w:customStyle="1" w:styleId="CommentTextChar">
    <w:name w:val="Comment Text Char"/>
    <w:basedOn w:val="DefaultParagraphFont"/>
    <w:link w:val="CommentText"/>
    <w:uiPriority w:val="99"/>
    <w:rsid w:val="00D74FF0"/>
    <w:rPr>
      <w:rFonts w:ascii="Times New Roman" w:eastAsia="Times New Roman" w:hAnsi="Times New Roman" w:cs="Times New Roman"/>
      <w:sz w:val="20"/>
      <w:szCs w:val="20"/>
      <w:lang w:val="fr-FR" w:eastAsia="fr-FR"/>
    </w:rPr>
  </w:style>
  <w:style w:type="character" w:customStyle="1" w:styleId="hithilite">
    <w:name w:val="hithilite"/>
    <w:basedOn w:val="DefaultParagraphFont"/>
    <w:uiPriority w:val="99"/>
    <w:rsid w:val="00D74FF0"/>
    <w:rPr>
      <w:rFonts w:cs="Times New Roman"/>
    </w:rPr>
  </w:style>
  <w:style w:type="character" w:customStyle="1" w:styleId="CharChar1">
    <w:name w:val="Char Char1"/>
    <w:uiPriority w:val="99"/>
    <w:rsid w:val="00D74FF0"/>
    <w:rPr>
      <w:lang w:val="fr-FR" w:eastAsia="fr-FR"/>
    </w:rPr>
  </w:style>
  <w:style w:type="paragraph" w:styleId="CommentSubject">
    <w:name w:val="annotation subject"/>
    <w:basedOn w:val="CommentText"/>
    <w:next w:val="CommentText"/>
    <w:link w:val="CommentSubjectChar"/>
    <w:uiPriority w:val="99"/>
    <w:semiHidden/>
    <w:unhideWhenUsed/>
    <w:rsid w:val="00D74FF0"/>
    <w:pPr>
      <w:spacing w:after="240"/>
      <w:jc w:val="both"/>
    </w:pPr>
    <w:rPr>
      <w:rFonts w:ascii="Calibri" w:hAnsi="Calibri"/>
      <w:b/>
      <w:bCs/>
      <w:lang w:eastAsia="en-US"/>
    </w:rPr>
  </w:style>
  <w:style w:type="character" w:customStyle="1" w:styleId="CommentSubjectChar">
    <w:name w:val="Comment Subject Char"/>
    <w:basedOn w:val="CommentTextChar"/>
    <w:link w:val="CommentSubject"/>
    <w:uiPriority w:val="99"/>
    <w:semiHidden/>
    <w:rsid w:val="00D74FF0"/>
    <w:rPr>
      <w:rFonts w:ascii="Calibri" w:eastAsia="Times New Roman" w:hAnsi="Calibri" w:cs="Times New Roman"/>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1871</Words>
  <Characters>10667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Gillingham, Mark</dc:creator>
  <cp:lastModifiedBy>Gillingham, Mark</cp:lastModifiedBy>
  <cp:revision>4</cp:revision>
  <cp:lastPrinted>2013-10-23T09:21:00Z</cp:lastPrinted>
  <dcterms:created xsi:type="dcterms:W3CDTF">2013-09-20T17:03:00Z</dcterms:created>
  <dcterms:modified xsi:type="dcterms:W3CDTF">2013-10-23T10:35:00Z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id="g7cXfwZA"/&gt;&lt;style id="http://www.zotero.org/styles/journal-of-ecology" hasBibliography="1" bibliographyStyleHasBeenSet="1"/&gt;&lt;prefs&gt;&lt;pref name="fieldType" value="Field"/&gt;&lt;pref name="storeReference</vt:lpwstr>
  </property>
  <property fmtid="{D5CDD505-2E9C-101B-9397-08002B2CF9AE}" pid="3" name="ZOTERO_PREF_2">
    <vt:lpwstr>s" value="true"/&gt;&lt;pref name="automaticJournalAbbreviations" value="true"/&gt;&lt;pref name="noteType" value="0"/&gt;&lt;/prefs&gt;&lt;/data&gt;</vt:lpwstr>
  </property>
</Properties>
</file>