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1493" w:rsidRDefault="00281493" w:rsidP="00281493">
      <w:pPr>
        <w:rPr>
          <w:rFonts w:ascii="Arial" w:hAnsi="Arial" w:cs="Arial"/>
        </w:rPr>
      </w:pPr>
      <w:bookmarkStart w:id="0" w:name="_GoBack"/>
      <w:bookmarkEnd w:id="0"/>
    </w:p>
    <w:p w:rsidR="00281493" w:rsidRPr="00FA06E2" w:rsidRDefault="00281493" w:rsidP="00281493">
      <w:pPr>
        <w:rPr>
          <w:rFonts w:ascii="Arial" w:hAnsi="Arial" w:cs="Arial"/>
        </w:rPr>
      </w:pPr>
      <w:r>
        <w:rPr>
          <w:rFonts w:ascii="Arial" w:hAnsi="Arial" w:cs="Arial"/>
        </w:rPr>
        <w:t>Supplementary T</w:t>
      </w:r>
      <w:r w:rsidRPr="00FA06E2">
        <w:rPr>
          <w:rFonts w:ascii="Arial" w:hAnsi="Arial" w:cs="Arial"/>
        </w:rPr>
        <w:t xml:space="preserve">able </w:t>
      </w:r>
      <w:r>
        <w:rPr>
          <w:rFonts w:ascii="Arial" w:hAnsi="Arial" w:cs="Arial"/>
        </w:rPr>
        <w:t>2</w:t>
      </w:r>
      <w:r w:rsidRPr="00FA06E2">
        <w:rPr>
          <w:rFonts w:ascii="Arial" w:hAnsi="Arial" w:cs="Arial"/>
        </w:rPr>
        <w:t xml:space="preserve">: Websites with </w:t>
      </w:r>
      <w:r>
        <w:rPr>
          <w:rFonts w:ascii="Arial" w:hAnsi="Arial" w:cs="Arial"/>
        </w:rPr>
        <w:t xml:space="preserve">training resources and guidelines </w:t>
      </w:r>
      <w:r w:rsidRPr="00FA06E2">
        <w:rPr>
          <w:rFonts w:ascii="Arial" w:hAnsi="Arial" w:cs="Arial"/>
        </w:rPr>
        <w:t>for genome annotation</w:t>
      </w:r>
    </w:p>
    <w:tbl>
      <w:tblPr>
        <w:tblStyle w:val="TableGrid"/>
        <w:tblW w:w="0" w:type="auto"/>
        <w:tblLayout w:type="fixed"/>
        <w:tblLook w:val="04A0" w:firstRow="1" w:lastRow="0" w:firstColumn="1" w:lastColumn="0" w:noHBand="0" w:noVBand="1"/>
      </w:tblPr>
      <w:tblGrid>
        <w:gridCol w:w="1525"/>
        <w:gridCol w:w="3600"/>
        <w:gridCol w:w="4225"/>
      </w:tblGrid>
      <w:tr w:rsidR="00281493" w:rsidRPr="00FA06E2" w:rsidTr="003B0504">
        <w:tc>
          <w:tcPr>
            <w:tcW w:w="1525" w:type="dxa"/>
          </w:tcPr>
          <w:p w:rsidR="00281493" w:rsidRPr="0011531D" w:rsidRDefault="00281493" w:rsidP="003B0504">
            <w:pPr>
              <w:rPr>
                <w:rFonts w:ascii="Arial" w:hAnsi="Arial" w:cs="Arial"/>
                <w:b/>
              </w:rPr>
            </w:pPr>
            <w:r w:rsidRPr="0011531D">
              <w:rPr>
                <w:rFonts w:ascii="Arial" w:hAnsi="Arial" w:cs="Arial"/>
                <w:b/>
              </w:rPr>
              <w:t>Source</w:t>
            </w:r>
          </w:p>
        </w:tc>
        <w:tc>
          <w:tcPr>
            <w:tcW w:w="3600" w:type="dxa"/>
          </w:tcPr>
          <w:p w:rsidR="00281493" w:rsidRPr="0011531D" w:rsidRDefault="00281493" w:rsidP="003B0504">
            <w:pPr>
              <w:rPr>
                <w:rFonts w:ascii="Arial" w:hAnsi="Arial" w:cs="Arial"/>
                <w:b/>
              </w:rPr>
            </w:pPr>
            <w:r w:rsidRPr="0011531D">
              <w:rPr>
                <w:rFonts w:ascii="Arial" w:hAnsi="Arial" w:cs="Arial"/>
                <w:b/>
              </w:rPr>
              <w:t>Description</w:t>
            </w:r>
          </w:p>
        </w:tc>
        <w:tc>
          <w:tcPr>
            <w:tcW w:w="4225" w:type="dxa"/>
          </w:tcPr>
          <w:p w:rsidR="00281493" w:rsidRPr="0011531D" w:rsidRDefault="00281493" w:rsidP="003B0504">
            <w:pPr>
              <w:rPr>
                <w:rFonts w:ascii="Arial" w:hAnsi="Arial" w:cs="Arial"/>
                <w:b/>
              </w:rPr>
            </w:pPr>
            <w:r w:rsidRPr="0011531D">
              <w:rPr>
                <w:rFonts w:ascii="Arial" w:hAnsi="Arial" w:cs="Arial"/>
                <w:b/>
              </w:rPr>
              <w:t>Link</w:t>
            </w:r>
          </w:p>
        </w:tc>
      </w:tr>
      <w:tr w:rsidR="00281493" w:rsidRPr="00FA06E2" w:rsidTr="003B0504">
        <w:tc>
          <w:tcPr>
            <w:tcW w:w="1525" w:type="dxa"/>
          </w:tcPr>
          <w:p w:rsidR="00281493" w:rsidRPr="00FA06E2" w:rsidRDefault="00281493" w:rsidP="003B0504">
            <w:pPr>
              <w:rPr>
                <w:rFonts w:ascii="Arial" w:hAnsi="Arial" w:cs="Arial"/>
              </w:rPr>
            </w:pPr>
            <w:proofErr w:type="spellStart"/>
            <w:r w:rsidRPr="00FA06E2">
              <w:rPr>
                <w:rFonts w:ascii="Arial" w:hAnsi="Arial" w:cs="Arial"/>
              </w:rPr>
              <w:t>PlantGDB</w:t>
            </w:r>
            <w:proofErr w:type="spellEnd"/>
          </w:p>
        </w:tc>
        <w:tc>
          <w:tcPr>
            <w:tcW w:w="3600" w:type="dxa"/>
          </w:tcPr>
          <w:p w:rsidR="00281493" w:rsidRPr="00FA06E2" w:rsidRDefault="00281493" w:rsidP="003B0504">
            <w:pPr>
              <w:rPr>
                <w:rFonts w:ascii="Arial" w:hAnsi="Arial" w:cs="Arial"/>
              </w:rPr>
            </w:pPr>
            <w:r w:rsidRPr="00FA06E2">
              <w:rPr>
                <w:rFonts w:ascii="Arial" w:hAnsi="Arial" w:cs="Arial"/>
              </w:rPr>
              <w:t xml:space="preserve">Annotation tutorials </w:t>
            </w:r>
          </w:p>
        </w:tc>
        <w:tc>
          <w:tcPr>
            <w:tcW w:w="4225" w:type="dxa"/>
          </w:tcPr>
          <w:p w:rsidR="00281493" w:rsidRPr="00FA06E2" w:rsidRDefault="00281493" w:rsidP="003B0504">
            <w:pPr>
              <w:rPr>
                <w:rFonts w:ascii="Arial" w:hAnsi="Arial" w:cs="Arial"/>
              </w:rPr>
            </w:pPr>
            <w:hyperlink r:id="rId6" w:history="1">
              <w:r w:rsidRPr="00FA06E2">
                <w:rPr>
                  <w:rStyle w:val="Hyperlink"/>
                  <w:rFonts w:ascii="Arial" w:hAnsi="Arial" w:cs="Arial"/>
                </w:rPr>
                <w:t>http://www.plantgdb.org/tutorial/annotatemodule/studentsection.html</w:t>
              </w:r>
            </w:hyperlink>
            <w:r w:rsidRPr="00FA06E2">
              <w:rPr>
                <w:rFonts w:ascii="Arial" w:hAnsi="Arial" w:cs="Arial"/>
              </w:rPr>
              <w:t xml:space="preserve"> </w:t>
            </w:r>
          </w:p>
        </w:tc>
      </w:tr>
      <w:tr w:rsidR="00281493" w:rsidRPr="00FA06E2" w:rsidTr="003B0504">
        <w:tc>
          <w:tcPr>
            <w:tcW w:w="1525" w:type="dxa"/>
          </w:tcPr>
          <w:p w:rsidR="00281493" w:rsidRPr="00FA06E2" w:rsidRDefault="00281493" w:rsidP="003B0504">
            <w:pPr>
              <w:rPr>
                <w:rFonts w:ascii="Arial" w:hAnsi="Arial" w:cs="Arial"/>
              </w:rPr>
            </w:pPr>
            <w:r w:rsidRPr="00FA06E2">
              <w:rPr>
                <w:rFonts w:ascii="Arial" w:hAnsi="Arial" w:cs="Arial"/>
              </w:rPr>
              <w:t>Genomics Education partnership</w:t>
            </w:r>
          </w:p>
        </w:tc>
        <w:tc>
          <w:tcPr>
            <w:tcW w:w="3600" w:type="dxa"/>
          </w:tcPr>
          <w:p w:rsidR="00281493" w:rsidRPr="00FA06E2" w:rsidRDefault="00281493" w:rsidP="003B0504">
            <w:pPr>
              <w:rPr>
                <w:rFonts w:ascii="Arial" w:hAnsi="Arial" w:cs="Arial"/>
              </w:rPr>
            </w:pPr>
            <w:r w:rsidRPr="00FA06E2">
              <w:rPr>
                <w:rFonts w:ascii="Arial" w:hAnsi="Arial" w:cs="Arial"/>
              </w:rPr>
              <w:t>Tutorials about basics including NCBI blast and identifying homology</w:t>
            </w:r>
          </w:p>
        </w:tc>
        <w:tc>
          <w:tcPr>
            <w:tcW w:w="4225" w:type="dxa"/>
          </w:tcPr>
          <w:p w:rsidR="00281493" w:rsidRPr="00FA06E2" w:rsidRDefault="00281493" w:rsidP="003B0504">
            <w:pPr>
              <w:rPr>
                <w:rFonts w:ascii="Arial" w:hAnsi="Arial" w:cs="Arial"/>
              </w:rPr>
            </w:pPr>
            <w:hyperlink r:id="rId7" w:history="1">
              <w:r w:rsidRPr="00FA06E2">
                <w:rPr>
                  <w:rStyle w:val="Hyperlink"/>
                  <w:rFonts w:ascii="Arial" w:hAnsi="Arial" w:cs="Arial"/>
                </w:rPr>
                <w:t>http://gep.wustl.edu/curriculum/course_materials_WU/annotation/tutorials_and_walkthroughs</w:t>
              </w:r>
            </w:hyperlink>
            <w:r w:rsidRPr="00FA06E2">
              <w:rPr>
                <w:rFonts w:ascii="Arial" w:hAnsi="Arial" w:cs="Arial"/>
              </w:rPr>
              <w:t xml:space="preserve"> </w:t>
            </w:r>
          </w:p>
        </w:tc>
      </w:tr>
      <w:tr w:rsidR="00281493" w:rsidRPr="00FA06E2" w:rsidTr="003B0504">
        <w:tc>
          <w:tcPr>
            <w:tcW w:w="1525" w:type="dxa"/>
          </w:tcPr>
          <w:p w:rsidR="00281493" w:rsidRPr="00FA06E2" w:rsidRDefault="00281493" w:rsidP="003B0504">
            <w:pPr>
              <w:rPr>
                <w:rFonts w:ascii="Arial" w:hAnsi="Arial" w:cs="Arial"/>
              </w:rPr>
            </w:pPr>
            <w:r>
              <w:rPr>
                <w:rFonts w:ascii="Arial" w:hAnsi="Arial" w:cs="Arial"/>
              </w:rPr>
              <w:t>i</w:t>
            </w:r>
            <w:r w:rsidRPr="00FA06E2">
              <w:rPr>
                <w:rFonts w:ascii="Arial" w:hAnsi="Arial" w:cs="Arial"/>
              </w:rPr>
              <w:t>5k</w:t>
            </w:r>
          </w:p>
        </w:tc>
        <w:tc>
          <w:tcPr>
            <w:tcW w:w="3600" w:type="dxa"/>
          </w:tcPr>
          <w:p w:rsidR="00281493" w:rsidRPr="00FA06E2" w:rsidRDefault="00281493" w:rsidP="003B0504">
            <w:pPr>
              <w:rPr>
                <w:rFonts w:ascii="Arial" w:hAnsi="Arial" w:cs="Arial"/>
              </w:rPr>
            </w:pPr>
            <w:r w:rsidRPr="00FA06E2">
              <w:rPr>
                <w:rFonts w:ascii="Arial" w:hAnsi="Arial" w:cs="Arial"/>
              </w:rPr>
              <w:t xml:space="preserve">Overview of manual curation procedures </w:t>
            </w:r>
            <w:r>
              <w:rPr>
                <w:rFonts w:ascii="Arial" w:hAnsi="Arial" w:cs="Arial"/>
              </w:rPr>
              <w:t>for insect genomes</w:t>
            </w:r>
          </w:p>
        </w:tc>
        <w:tc>
          <w:tcPr>
            <w:tcW w:w="4225" w:type="dxa"/>
          </w:tcPr>
          <w:p w:rsidR="00281493" w:rsidRPr="00FA06E2" w:rsidRDefault="00281493" w:rsidP="003B0504">
            <w:pPr>
              <w:rPr>
                <w:rFonts w:ascii="Arial" w:hAnsi="Arial" w:cs="Arial"/>
              </w:rPr>
            </w:pPr>
            <w:hyperlink r:id="rId8" w:history="1">
              <w:r w:rsidRPr="00FA06E2">
                <w:rPr>
                  <w:rStyle w:val="Hyperlink"/>
                  <w:rFonts w:ascii="Arial" w:hAnsi="Arial" w:cs="Arial"/>
                </w:rPr>
                <w:t>https://i5k.nal.usda.gov/manual-curation-overview</w:t>
              </w:r>
            </w:hyperlink>
            <w:r w:rsidRPr="00FA06E2">
              <w:rPr>
                <w:rFonts w:ascii="Arial" w:hAnsi="Arial" w:cs="Arial"/>
              </w:rPr>
              <w:t xml:space="preserve"> </w:t>
            </w:r>
          </w:p>
        </w:tc>
      </w:tr>
      <w:tr w:rsidR="00281493" w:rsidRPr="00FA06E2" w:rsidTr="003B0504">
        <w:tc>
          <w:tcPr>
            <w:tcW w:w="1525" w:type="dxa"/>
          </w:tcPr>
          <w:p w:rsidR="00281493" w:rsidRPr="00FA06E2" w:rsidRDefault="00281493" w:rsidP="003B0504">
            <w:pPr>
              <w:rPr>
                <w:rFonts w:ascii="Arial" w:hAnsi="Arial" w:cs="Arial"/>
              </w:rPr>
            </w:pPr>
            <w:r w:rsidRPr="00FA06E2">
              <w:rPr>
                <w:rFonts w:ascii="Arial" w:hAnsi="Arial" w:cs="Arial"/>
              </w:rPr>
              <w:t>Apollo</w:t>
            </w:r>
          </w:p>
        </w:tc>
        <w:tc>
          <w:tcPr>
            <w:tcW w:w="3600" w:type="dxa"/>
          </w:tcPr>
          <w:p w:rsidR="00281493" w:rsidRPr="00FA06E2" w:rsidRDefault="00281493" w:rsidP="003B0504">
            <w:pPr>
              <w:rPr>
                <w:rFonts w:ascii="Arial" w:hAnsi="Arial" w:cs="Arial"/>
              </w:rPr>
            </w:pPr>
            <w:r w:rsidRPr="00FA06E2">
              <w:rPr>
                <w:rFonts w:ascii="Arial" w:hAnsi="Arial" w:cs="Arial"/>
              </w:rPr>
              <w:t>User guide</w:t>
            </w:r>
          </w:p>
        </w:tc>
        <w:tc>
          <w:tcPr>
            <w:tcW w:w="4225" w:type="dxa"/>
          </w:tcPr>
          <w:p w:rsidR="00281493" w:rsidRPr="00FA06E2" w:rsidRDefault="00281493" w:rsidP="003B0504">
            <w:pPr>
              <w:rPr>
                <w:rFonts w:ascii="Arial" w:hAnsi="Arial" w:cs="Arial"/>
              </w:rPr>
            </w:pPr>
            <w:hyperlink r:id="rId9" w:history="1">
              <w:r w:rsidRPr="00FA06E2">
                <w:rPr>
                  <w:rStyle w:val="Hyperlink"/>
                  <w:rFonts w:ascii="Arial" w:hAnsi="Arial" w:cs="Arial"/>
                </w:rPr>
                <w:t>http://genomearchitect.github.io/users-guide/</w:t>
              </w:r>
            </w:hyperlink>
            <w:r w:rsidRPr="00FA06E2">
              <w:rPr>
                <w:rFonts w:ascii="Arial" w:hAnsi="Arial" w:cs="Arial"/>
              </w:rPr>
              <w:t xml:space="preserve"> </w:t>
            </w:r>
          </w:p>
        </w:tc>
      </w:tr>
      <w:tr w:rsidR="00281493" w:rsidRPr="00FA06E2" w:rsidTr="003B0504">
        <w:tc>
          <w:tcPr>
            <w:tcW w:w="1525" w:type="dxa"/>
          </w:tcPr>
          <w:p w:rsidR="00281493" w:rsidRPr="00FA06E2" w:rsidRDefault="00281493" w:rsidP="003B0504">
            <w:pPr>
              <w:rPr>
                <w:rFonts w:ascii="Arial" w:hAnsi="Arial" w:cs="Arial"/>
              </w:rPr>
            </w:pPr>
            <w:r w:rsidRPr="00FA06E2">
              <w:rPr>
                <w:rFonts w:ascii="Arial" w:hAnsi="Arial" w:cs="Arial"/>
              </w:rPr>
              <w:t>Okinawa Institute of Science and Technology Graduate University</w:t>
            </w:r>
          </w:p>
        </w:tc>
        <w:tc>
          <w:tcPr>
            <w:tcW w:w="3600" w:type="dxa"/>
          </w:tcPr>
          <w:p w:rsidR="00281493" w:rsidRPr="00FA06E2" w:rsidRDefault="00281493" w:rsidP="003B0504">
            <w:pPr>
              <w:rPr>
                <w:rFonts w:ascii="Arial" w:hAnsi="Arial" w:cs="Arial"/>
              </w:rPr>
            </w:pPr>
            <w:r w:rsidRPr="00FA06E2">
              <w:rPr>
                <w:rFonts w:ascii="Arial" w:hAnsi="Arial" w:cs="Arial"/>
              </w:rPr>
              <w:t>Introduction to genetics, basic techniques and evolutionary analysis</w:t>
            </w:r>
          </w:p>
        </w:tc>
        <w:tc>
          <w:tcPr>
            <w:tcW w:w="4225" w:type="dxa"/>
          </w:tcPr>
          <w:p w:rsidR="00281493" w:rsidRPr="00FA06E2" w:rsidRDefault="00281493" w:rsidP="003B0504">
            <w:pPr>
              <w:rPr>
                <w:rFonts w:ascii="Arial" w:hAnsi="Arial" w:cs="Arial"/>
              </w:rPr>
            </w:pPr>
            <w:hyperlink r:id="rId10" w:history="1">
              <w:r w:rsidRPr="00FA06E2">
                <w:rPr>
                  <w:rStyle w:val="Hyperlink"/>
                  <w:rFonts w:ascii="Arial" w:hAnsi="Arial" w:cs="Arial"/>
                </w:rPr>
                <w:t>http://ecoevo.unit.oist.jp/lab/?page_id=50</w:t>
              </w:r>
            </w:hyperlink>
            <w:r w:rsidRPr="00FA06E2">
              <w:rPr>
                <w:rFonts w:ascii="Arial" w:hAnsi="Arial" w:cs="Arial"/>
              </w:rPr>
              <w:t xml:space="preserve"> </w:t>
            </w:r>
          </w:p>
        </w:tc>
      </w:tr>
      <w:tr w:rsidR="00281493" w:rsidRPr="00FA06E2" w:rsidTr="003B0504">
        <w:tc>
          <w:tcPr>
            <w:tcW w:w="1525" w:type="dxa"/>
          </w:tcPr>
          <w:p w:rsidR="00281493" w:rsidRPr="00FA06E2" w:rsidRDefault="00281493" w:rsidP="003B0504">
            <w:pPr>
              <w:rPr>
                <w:rFonts w:ascii="Arial" w:hAnsi="Arial" w:cs="Arial"/>
              </w:rPr>
            </w:pPr>
            <w:proofErr w:type="spellStart"/>
            <w:r w:rsidRPr="00FA06E2">
              <w:rPr>
                <w:rFonts w:ascii="Arial" w:hAnsi="Arial" w:cs="Arial"/>
              </w:rPr>
              <w:t>FlyBase</w:t>
            </w:r>
            <w:proofErr w:type="spellEnd"/>
          </w:p>
        </w:tc>
        <w:tc>
          <w:tcPr>
            <w:tcW w:w="3600" w:type="dxa"/>
          </w:tcPr>
          <w:p w:rsidR="00281493" w:rsidRPr="00FA06E2" w:rsidRDefault="00281493" w:rsidP="003B0504">
            <w:pPr>
              <w:rPr>
                <w:rFonts w:ascii="Arial" w:hAnsi="Arial" w:cs="Arial"/>
              </w:rPr>
            </w:pPr>
            <w:r w:rsidRPr="00FA06E2">
              <w:rPr>
                <w:rFonts w:ascii="Arial" w:hAnsi="Arial" w:cs="Arial"/>
              </w:rPr>
              <w:t>Gene Model Annotation Guidelines</w:t>
            </w:r>
          </w:p>
        </w:tc>
        <w:tc>
          <w:tcPr>
            <w:tcW w:w="4225" w:type="dxa"/>
          </w:tcPr>
          <w:p w:rsidR="00281493" w:rsidRPr="00FA06E2" w:rsidRDefault="00281493" w:rsidP="003B0504">
            <w:pPr>
              <w:rPr>
                <w:rFonts w:ascii="Arial" w:hAnsi="Arial" w:cs="Arial"/>
              </w:rPr>
            </w:pPr>
            <w:hyperlink r:id="rId11" w:history="1">
              <w:r w:rsidRPr="00FA06E2">
                <w:rPr>
                  <w:rStyle w:val="Hyperlink"/>
                  <w:rFonts w:ascii="Arial" w:hAnsi="Arial" w:cs="Arial"/>
                </w:rPr>
                <w:t>https://wiki.flybase.org/wiki/FlyBase:Gene_Model_Annotation_Guidelines</w:t>
              </w:r>
            </w:hyperlink>
            <w:r w:rsidRPr="00FA06E2">
              <w:rPr>
                <w:rFonts w:ascii="Arial" w:hAnsi="Arial" w:cs="Arial"/>
              </w:rPr>
              <w:t xml:space="preserve"> </w:t>
            </w:r>
          </w:p>
        </w:tc>
      </w:tr>
      <w:tr w:rsidR="00281493" w:rsidRPr="00FA06E2" w:rsidTr="003B0504">
        <w:tc>
          <w:tcPr>
            <w:tcW w:w="1525" w:type="dxa"/>
          </w:tcPr>
          <w:p w:rsidR="00281493" w:rsidRPr="00FA06E2" w:rsidRDefault="00281493" w:rsidP="003B0504">
            <w:pPr>
              <w:rPr>
                <w:rFonts w:ascii="Arial" w:hAnsi="Arial" w:cs="Arial"/>
              </w:rPr>
            </w:pPr>
            <w:proofErr w:type="spellStart"/>
            <w:r w:rsidRPr="00FA06E2">
              <w:rPr>
                <w:rFonts w:ascii="Arial" w:hAnsi="Arial" w:cs="Arial"/>
                <w:i/>
              </w:rPr>
              <w:t>Diaphorina</w:t>
            </w:r>
            <w:proofErr w:type="spellEnd"/>
            <w:r w:rsidRPr="00FA06E2">
              <w:rPr>
                <w:rFonts w:ascii="Arial" w:hAnsi="Arial" w:cs="Arial"/>
                <w:i/>
              </w:rPr>
              <w:t xml:space="preserve"> </w:t>
            </w:r>
            <w:proofErr w:type="spellStart"/>
            <w:r w:rsidRPr="00FA06E2">
              <w:rPr>
                <w:rFonts w:ascii="Arial" w:hAnsi="Arial" w:cs="Arial"/>
                <w:i/>
              </w:rPr>
              <w:t>citri</w:t>
            </w:r>
            <w:proofErr w:type="spellEnd"/>
            <w:r w:rsidRPr="00FA06E2">
              <w:rPr>
                <w:rFonts w:ascii="Arial" w:hAnsi="Arial" w:cs="Arial"/>
              </w:rPr>
              <w:t xml:space="preserve"> annotation project</w:t>
            </w:r>
          </w:p>
        </w:tc>
        <w:tc>
          <w:tcPr>
            <w:tcW w:w="3600" w:type="dxa"/>
          </w:tcPr>
          <w:p w:rsidR="00281493" w:rsidRPr="00FA06E2" w:rsidRDefault="00281493" w:rsidP="003B0504">
            <w:pPr>
              <w:rPr>
                <w:rFonts w:ascii="Arial" w:hAnsi="Arial" w:cs="Arial"/>
              </w:rPr>
            </w:pPr>
            <w:r w:rsidRPr="00FA06E2">
              <w:rPr>
                <w:rFonts w:ascii="Arial" w:hAnsi="Arial" w:cs="Arial"/>
              </w:rPr>
              <w:t>Annotation guidelines, tutorial and exercises in supplementary data</w:t>
            </w:r>
          </w:p>
        </w:tc>
        <w:tc>
          <w:tcPr>
            <w:tcW w:w="4225" w:type="dxa"/>
          </w:tcPr>
          <w:p w:rsidR="00281493" w:rsidRPr="00FA06E2" w:rsidRDefault="00281493" w:rsidP="003B0504">
            <w:pPr>
              <w:rPr>
                <w:rFonts w:ascii="Arial" w:hAnsi="Arial" w:cs="Arial"/>
              </w:rPr>
            </w:pPr>
            <w:hyperlink r:id="rId12" w:history="1">
              <w:r w:rsidRPr="00330FC4">
                <w:rPr>
                  <w:rStyle w:val="Hyperlink"/>
                  <w:rFonts w:ascii="Arial" w:hAnsi="Arial" w:cs="Arial"/>
                </w:rPr>
                <w:t>https://citrusgreening.org/annotation/updates</w:t>
              </w:r>
            </w:hyperlink>
            <w:r>
              <w:rPr>
                <w:rFonts w:ascii="Arial" w:hAnsi="Arial" w:cs="Arial"/>
              </w:rPr>
              <w:t xml:space="preserve"> and </w:t>
            </w:r>
            <w:proofErr w:type="spellStart"/>
            <w:r w:rsidRPr="00FA06E2">
              <w:rPr>
                <w:rFonts w:ascii="Arial" w:hAnsi="Arial" w:cs="Arial"/>
              </w:rPr>
              <w:t>Saha</w:t>
            </w:r>
            <w:proofErr w:type="spellEnd"/>
            <w:r w:rsidRPr="00FA06E2">
              <w:rPr>
                <w:rFonts w:ascii="Arial" w:hAnsi="Arial" w:cs="Arial"/>
              </w:rPr>
              <w:t xml:space="preserve"> et al., 2017 </w:t>
            </w:r>
            <w:r w:rsidRPr="00FA06E2">
              <w:rPr>
                <w:rFonts w:ascii="Arial" w:hAnsi="Arial" w:cs="Arial"/>
              </w:rPr>
              <w:fldChar w:fldCharType="begin" w:fldLock="1"/>
            </w:r>
            <w:r w:rsidRPr="00FA06E2">
              <w:rPr>
                <w:rFonts w:ascii="Arial" w:hAnsi="Arial" w:cs="Arial"/>
              </w:rPr>
              <w:instrText>ADDIN CSL_CITATION {"citationItems":[{"id":"ITEM-1","itemData":{"DOI":"10.1093/database/bax032","abstract":"The Asian citrus psyllid (Diaphorina citri Kuwayama) is the insect vector of the bacterium Candidatus Liberibacter asiaticus (CLas), the pathogen associated with citrus Huanglongbing (HLB, citrus greening). HLB threatens citrus production worldwide. Suppression or reduction of the insect vector using chemical insecticides has been the primary method to inhibit the spread of citrus greening disease. Accurate structural and functional annotation of the Asian citrus psyllid genome, as well as a clear understanding of the interactions between the insect and CLas, are required for development of new molecular-based HLB control methods. A draft assembly of the D. citri genome has been generated and annotated with automated pipelines. However, knowledge transfer from well-curated reference genomes such as that of Drosophila melanogaster to newly sequenced ones is challenging due to the complexity and diversity of insect genomes. To identify and improve gene models as potential targets for pest control, we manually curated several gene families with a focus on genes that have key functional roles in D. citri biology and CLas interactions. This community effort produced 530 manually curated gene models across developmental, physiological, RNAi regulatory and immunity-related pathways. As previously shown in the pea aphid, RNAi machinery genes putatively involved in the microRNA pathway have been specifically duplicated. A comprehensive transcriptome enabled us to identify a number of gene families that are either missing or misassembled in the draft genome. In order to develop biocuration as a training experience, we included undergraduate and graduate students from multiple institutions, as well as experienced annotators from the insect genomics research community. The resulting gene set (OGS v1.0) combines both automatically predicted and manually curated gene models.","author":[{"dropping-particle":"","family":"Saha","given":"Surya","non-dropping-particle":"","parse-names":false,"suffix":""},{"dropping-particle":"","family":"Hosmani","given":"Prashant S","non-dropping-particle":"","parse-names":false,"suffix":""},{"dropping-particle":"","family":"Villalobos-Ayala","given":"Krystal","non-dropping-particle":"","parse-names":false,"suffix":""},{"dropping-particle":"","family":"Miller","given":"Sherry","non-dropping-particle":"","parse-names":false,"suffix":""},{"dropping-particle":"","family":"Shippy","given":"Teresa","non-dropping-particle":"","parse-names":false,"suffix":""},{"dropping-particle":"","family":"Flores","given":"Mirella","non-dropping-particle":"","parse-names":false,"suffix":""},{"dropping-particle":"","family":"Rosendale","given":"Andrew","non-dropping-particle":"","parse-names":false,"suffix":""},{"dropping-particle":"","family":"Cordola","given":"Chris","non-dropping-particle":"","parse-names":false,"suffix":""},{"dropping-particle":"","family":"Bell","given":"Tracey","non-dropping-particle":"","parse-names":false,"suffix":""},{"dropping-particle":"","family":"Mann","given":"Hannah","non-dropping-particle":"","parse-names":false,"suffix":""},{"dropping-particle":"","family":"DeAvila","given":"Gabe","non-dropping-particle":"","parse-names":false,"suffix":""},{"dropping-particle":"","family":"DeAvila","given":"Daniel","non-dropping-particle":"","parse-names":false,"suffix":""},{"dropping-particle":"","family":"Moore","given":"Zachary","non-dropping-particle":"","parse-names":false,"suffix":""},{"dropping-particle":"","family":"Buller","given":"Kyle","non-dropping-particle":"","parse-names":false,"suffix":""},{"dropping-particle":"","family":"Ciolkevich","given":"Kathryn","non-dropping-particle":"","parse-names":false,"suffix":""},{"dropping-particle":"","family":"Nandyal","given":"Samantha","non-dropping-particle":"","parse-names":false,"suffix":""},{"dropping-particle":"","family":"Mahoney","given":"Robert","non-dropping-particle":"","parse-names":false,"suffix":""},{"dropping-particle":"","family":"Voorhis","given":"Joshua","non-dropping-particle":"Van","parse-names":false,"suffix":""},{"dropping-particle":"","family":"Dunlevy","given":"Megan","non-dropping-particle":"","parse-names":false,"suffix":""},{"dropping-particle":"","family":"Farrow","given":"David","non-dropping-particle":"","parse-names":false,"suffix":""},{"dropping-particle":"","family":"Hunter","given":"David","non-dropping-particle":"","parse-names":false,"suffix":""},{"dropping-particle":"","family":"Morgan","given":"Taylar","non-dropping-particle":"","parse-names":false,"suffix":""},{"dropping-particle":"","family":"Shore","given":"Kayla","non-dropping-particle":"","parse-names":false,"suffix":""},{"dropping-particle":"","family":"Guzman","given":"Victoria","non-dropping-particle":"","parse-names":false,"suffix":""},{"dropping-particle":"","family":"Izsak","given":"Allison","non-dropping-particle":"","parse-names":false,"suffix":""},{"dropping-particle":"","family":"Dixon","given":"Danielle E","non-dropping-particle":"","parse-names":false,"suffix":""},{"dropping-particle":"","family":"Cridge","given":"Andrew","non-dropping-particle":"","parse-names":false,"suffix":""},{"dropping-particle":"","family":"Cano","given":"Liliana","non-dropping-particle":"","parse-names":false,"suffix":""},{"dropping-particle":"","family":"Cao","given":"Xiaolong","non-dropping-particle":"","parse-names":false,"suffix":""},{"dropping-particle":"","family":"Jiang","given":"Haobo","non-dropping-particle":"","parse-names":false,"suffix":""},{"dropping-particle":"","family":"Leng","given":"Nan","non-dropping-particle":"","parse-names":false,"suffix":""},{"dropping-particle":"","family":"Johnson","given":"Shannon","non-dropping-particle":"","parse-names":false,"suffix":""},{"dropping-particle":"","family":"Cantarel","given":"Brandi L","non-dropping-particle":"","parse-names":false,"suffix":""},{"dropping-particle":"","family":"Richards","given":"Stephen","non-dropping-particle":"","parse-names":false,"suffix":""},{"dropping-particle":"","family":"English","given":"Adam","non-dropping-particle":"","parse-names":false,"suffix":""},{"dropping-particle":"","family":"Shatters","given":"Robert G","non-dropping-particle":"","parse-names":false,"suffix":""},{"dropping-particle":"","family":"Childers","given":"Chris","non-dropping-particle":"","parse-names":false,"suffix":""},{"dropping-particle":"","family":"Chen","given":"Mei-Ju","non-dropping-particle":"","parse-names":false,"suffix":""},{"dropping-particle":"","family":"Hunter","given":"Wayne","non-dropping-particle":"","parse-names":false,"suffix":""},{"dropping-particle":"","family":"Cilia","given":"Michelle","non-dropping-particle":"","parse-names":false,"suffix":""},{"dropping-particle":"","family":"Mueller","given":"Lukas A","non-dropping-particle":"","parse-names":false,"suffix":""},{"dropping-particle":"","family":"Munoz-Torres","given":"Monica","non-dropping-particle":"","parse-names":false,"suffix":""},{"dropping-particle":"","family":"Nelson","given":"David","non-dropping-particle":"","parse-names":false,"suffix":""},{"dropping-particle":"","family":"Poelchau","given":"Monica F","non-dropping-particle":"","parse-names":false,"suffix":""},{"dropping-particle":"","family":"Benoit","given":"Joshua B","non-dropping-particle":"","parse-names":false,"suffix":""},{"dropping-particle":"","family":"Wiersma-Koch","given":"Helen","non-dropping-particle":"","parse-names":false,"suffix":""},{"dropping-particle":"","family":"D’Elia","given":"Tom","non-dropping-particle":"","parse-names":false,"suffix":""},{"dropping-particle":"","family":"Brown","given":"Susan J","non-dropping-particle":"","parse-names":false,"suffix":""}],"container-title":"Database","id":"ITEM-1","issued":{"date-parts":[["2017"]]},"note":"Supp Notes are a word doc, not PDF","page":"bax032","title":"Improved annotation of the insect vector of citrus greening disease: biocuration by a diverse genomics community","type":"article-journal","volume":"2017"},"uris":["http://www.mendeley.com/documents/?uuid=787c580e-cd99-4e93-bd64-0578f8ce900b"]}],"mendeley":{"formattedCitation":"[9]","plainTextFormattedCitation":"[9]","previouslyFormattedCitation":"[8]"},"properties":{"noteIndex":0},"schema":"https://github.com/citation-style-language/schema/raw/master/csl-citation.json"}</w:instrText>
            </w:r>
            <w:r w:rsidRPr="00FA06E2">
              <w:rPr>
                <w:rFonts w:ascii="Arial" w:hAnsi="Arial" w:cs="Arial"/>
              </w:rPr>
              <w:fldChar w:fldCharType="separate"/>
            </w:r>
            <w:r w:rsidRPr="00FA06E2">
              <w:rPr>
                <w:rFonts w:ascii="Arial" w:hAnsi="Arial" w:cs="Arial"/>
                <w:noProof/>
              </w:rPr>
              <w:t>[9]</w:t>
            </w:r>
            <w:r w:rsidRPr="00FA06E2">
              <w:rPr>
                <w:rFonts w:ascii="Arial" w:hAnsi="Arial" w:cs="Arial"/>
              </w:rPr>
              <w:fldChar w:fldCharType="end"/>
            </w:r>
          </w:p>
        </w:tc>
      </w:tr>
    </w:tbl>
    <w:p w:rsidR="00281493" w:rsidRDefault="00281493" w:rsidP="00281493">
      <w:pPr>
        <w:rPr>
          <w:rFonts w:ascii="Arial" w:hAnsi="Arial" w:cs="Arial"/>
        </w:rPr>
      </w:pPr>
    </w:p>
    <w:p w:rsidR="005275ED" w:rsidRDefault="005275ED"/>
    <w:sectPr w:rsidR="005275ED">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3885" w:rsidRDefault="00863885" w:rsidP="00281493">
      <w:pPr>
        <w:spacing w:after="0" w:line="240" w:lineRule="auto"/>
      </w:pPr>
      <w:r>
        <w:separator/>
      </w:r>
    </w:p>
  </w:endnote>
  <w:endnote w:type="continuationSeparator" w:id="0">
    <w:p w:rsidR="00863885" w:rsidRDefault="00863885" w:rsidP="00281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3885" w:rsidRDefault="00863885" w:rsidP="00281493">
      <w:pPr>
        <w:spacing w:after="0" w:line="240" w:lineRule="auto"/>
      </w:pPr>
      <w:r>
        <w:separator/>
      </w:r>
    </w:p>
  </w:footnote>
  <w:footnote w:type="continuationSeparator" w:id="0">
    <w:p w:rsidR="00863885" w:rsidRDefault="00863885" w:rsidP="002814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1493" w:rsidRDefault="00281493" w:rsidP="00281493">
    <w:pPr>
      <w:pStyle w:val="Header"/>
    </w:pPr>
    <w:r w:rsidRPr="00E961E1">
      <w:t>A quick guide for student-driven community genome annotation</w:t>
    </w:r>
  </w:p>
  <w:p w:rsidR="00281493" w:rsidRDefault="002814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493"/>
    <w:rsid w:val="00281493"/>
    <w:rsid w:val="005275ED"/>
    <w:rsid w:val="00863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B8DB28-D7A6-4D40-B8D4-5613EEE71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14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81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81493"/>
    <w:rPr>
      <w:color w:val="0563C1" w:themeColor="hyperlink"/>
      <w:u w:val="single"/>
    </w:rPr>
  </w:style>
  <w:style w:type="paragraph" w:styleId="Header">
    <w:name w:val="header"/>
    <w:basedOn w:val="Normal"/>
    <w:link w:val="HeaderChar"/>
    <w:uiPriority w:val="99"/>
    <w:unhideWhenUsed/>
    <w:rsid w:val="002814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1493"/>
  </w:style>
  <w:style w:type="paragraph" w:styleId="Footer">
    <w:name w:val="footer"/>
    <w:basedOn w:val="Normal"/>
    <w:link w:val="FooterChar"/>
    <w:uiPriority w:val="99"/>
    <w:unhideWhenUsed/>
    <w:rsid w:val="002814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14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5k.nal.usda.gov/manual-curation-overview"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gep.wustl.edu/curriculum/course_materials_WU/annotation/tutorials_and_walkthroughs" TargetMode="External"/><Relationship Id="rId12" Type="http://schemas.openxmlformats.org/officeDocument/2006/relationships/hyperlink" Target="https://citrusgreening.org/annotation/updat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lantgdb.org/tutorial/annotatemodule/studentsection.html" TargetMode="External"/><Relationship Id="rId11" Type="http://schemas.openxmlformats.org/officeDocument/2006/relationships/hyperlink" Target="https://wiki.flybase.org/wiki/FlyBase:Gene_Model_Annotation_Guidelines"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ecoevo.unit.oist.jp/lab/?page_id=50" TargetMode="External"/><Relationship Id="rId4" Type="http://schemas.openxmlformats.org/officeDocument/2006/relationships/footnotes" Target="footnotes.xml"/><Relationship Id="rId9" Type="http://schemas.openxmlformats.org/officeDocument/2006/relationships/hyperlink" Target="http://genomearchitect.github.io/users-guid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1489</Words>
  <Characters>8493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Kelsey John Klein</dc:creator>
  <cp:keywords/>
  <dc:description/>
  <cp:lastModifiedBy>Kelsey John Klein</cp:lastModifiedBy>
  <cp:revision>1</cp:revision>
  <dcterms:created xsi:type="dcterms:W3CDTF">2019-03-19T17:52:00Z</dcterms:created>
  <dcterms:modified xsi:type="dcterms:W3CDTF">2019-03-19T17:54:00Z</dcterms:modified>
</cp:coreProperties>
</file>