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B46" w:rsidRPr="00083B85" w:rsidRDefault="00791B46" w:rsidP="00791B46">
      <w:pPr>
        <w:spacing w:after="0" w:line="240" w:lineRule="auto"/>
        <w:rPr>
          <w:b/>
          <w:color w:val="000000"/>
          <w:sz w:val="24"/>
          <w:szCs w:val="24"/>
        </w:rPr>
      </w:pPr>
    </w:p>
    <w:p w:rsidR="00791B46" w:rsidRPr="00083B85" w:rsidRDefault="00791B46" w:rsidP="00791B46">
      <w:pPr>
        <w:spacing w:line="480" w:lineRule="auto"/>
        <w:rPr>
          <w:b/>
          <w:color w:val="000000"/>
          <w:sz w:val="24"/>
          <w:szCs w:val="24"/>
        </w:rPr>
      </w:pPr>
      <w:r w:rsidRPr="00083B85">
        <w:rPr>
          <w:b/>
          <w:color w:val="000000"/>
          <w:sz w:val="24"/>
          <w:szCs w:val="24"/>
        </w:rPr>
        <w:t xml:space="preserve">S2 Table. Type and </w:t>
      </w:r>
      <w:r>
        <w:rPr>
          <w:b/>
          <w:color w:val="000000"/>
          <w:sz w:val="24"/>
          <w:szCs w:val="24"/>
        </w:rPr>
        <w:t>f</w:t>
      </w:r>
      <w:r w:rsidRPr="00083B85">
        <w:rPr>
          <w:b/>
          <w:color w:val="000000"/>
          <w:sz w:val="24"/>
          <w:szCs w:val="24"/>
        </w:rPr>
        <w:t xml:space="preserve">requency of AVF interventions for </w:t>
      </w:r>
      <w:r>
        <w:rPr>
          <w:b/>
          <w:color w:val="000000"/>
          <w:sz w:val="24"/>
          <w:szCs w:val="24"/>
        </w:rPr>
        <w:t>f</w:t>
      </w:r>
      <w:r w:rsidRPr="00083B85">
        <w:rPr>
          <w:b/>
          <w:color w:val="000000"/>
          <w:sz w:val="24"/>
          <w:szCs w:val="24"/>
        </w:rPr>
        <w:t xml:space="preserve">ish </w:t>
      </w:r>
      <w:r>
        <w:rPr>
          <w:b/>
          <w:color w:val="000000"/>
          <w:sz w:val="24"/>
          <w:szCs w:val="24"/>
        </w:rPr>
        <w:t>o</w:t>
      </w:r>
      <w:r w:rsidRPr="00083B85">
        <w:rPr>
          <w:b/>
          <w:color w:val="000000"/>
          <w:sz w:val="24"/>
          <w:szCs w:val="24"/>
        </w:rPr>
        <w:t xml:space="preserve">il versus </w:t>
      </w:r>
      <w:r>
        <w:rPr>
          <w:b/>
          <w:color w:val="000000"/>
          <w:sz w:val="24"/>
          <w:szCs w:val="24"/>
        </w:rPr>
        <w:t>p</w:t>
      </w:r>
      <w:r w:rsidRPr="00083B85">
        <w:rPr>
          <w:b/>
          <w:color w:val="000000"/>
          <w:sz w:val="24"/>
          <w:szCs w:val="24"/>
        </w:rPr>
        <w:t xml:space="preserve">lacebo (A) and </w:t>
      </w:r>
      <w:r>
        <w:rPr>
          <w:b/>
          <w:color w:val="000000"/>
          <w:sz w:val="24"/>
          <w:szCs w:val="24"/>
        </w:rPr>
        <w:t>a</w:t>
      </w:r>
      <w:r w:rsidRPr="00083B85">
        <w:rPr>
          <w:b/>
          <w:color w:val="000000"/>
          <w:sz w:val="24"/>
          <w:szCs w:val="24"/>
        </w:rPr>
        <w:t xml:space="preserve">spirin versus </w:t>
      </w:r>
      <w:r>
        <w:rPr>
          <w:b/>
          <w:color w:val="000000"/>
          <w:sz w:val="24"/>
          <w:szCs w:val="24"/>
        </w:rPr>
        <w:t>p</w:t>
      </w:r>
      <w:r w:rsidRPr="00083B85">
        <w:rPr>
          <w:b/>
          <w:color w:val="000000"/>
          <w:sz w:val="24"/>
          <w:szCs w:val="24"/>
        </w:rPr>
        <w:t>lacebo (B)</w:t>
      </w:r>
    </w:p>
    <w:tbl>
      <w:tblPr>
        <w:tblW w:w="9318" w:type="dxa"/>
        <w:tblBorders>
          <w:top w:val="single" w:sz="12" w:space="0" w:color="000000"/>
          <w:bottom w:val="single" w:sz="12" w:space="0" w:color="000000"/>
        </w:tblBorders>
        <w:tblLayout w:type="fixed"/>
        <w:tblLook w:val="0000" w:firstRow="0" w:lastRow="0" w:firstColumn="0" w:lastColumn="0" w:noHBand="0" w:noVBand="0"/>
      </w:tblPr>
      <w:tblGrid>
        <w:gridCol w:w="4698"/>
        <w:gridCol w:w="990"/>
        <w:gridCol w:w="900"/>
        <w:gridCol w:w="1800"/>
        <w:gridCol w:w="930"/>
      </w:tblGrid>
      <w:tr w:rsidR="00791B46" w:rsidRPr="00083B85" w:rsidTr="00B46D45">
        <w:trPr>
          <w:trHeight w:val="313"/>
        </w:trPr>
        <w:tc>
          <w:tcPr>
            <w:tcW w:w="9318" w:type="dxa"/>
            <w:gridSpan w:val="5"/>
            <w:tcBorders>
              <w:top w:val="single" w:sz="18" w:space="0" w:color="auto"/>
              <w:bottom w:val="single" w:sz="18" w:space="0" w:color="auto"/>
            </w:tcBorders>
            <w:shd w:val="clear" w:color="auto" w:fill="auto"/>
            <w:vAlign w:val="center"/>
          </w:tcPr>
          <w:p w:rsidR="00791B46" w:rsidRPr="00083B85" w:rsidRDefault="00791B46" w:rsidP="00B46D45">
            <w:pPr>
              <w:adjustRightInd w:val="0"/>
              <w:spacing w:after="0" w:line="240" w:lineRule="auto"/>
              <w:rPr>
                <w:color w:val="000000"/>
                <w:sz w:val="20"/>
                <w:szCs w:val="20"/>
              </w:rPr>
            </w:pPr>
            <w:r w:rsidRPr="00083B85">
              <w:rPr>
                <w:b/>
                <w:bCs/>
                <w:noProof/>
                <w:color w:val="000000"/>
                <w:sz w:val="20"/>
                <w:szCs w:val="20"/>
                <w:lang w:eastAsia="en-AU"/>
              </w:rPr>
              <w:t>Table 2A | AVF interventions for fish oil versus placebo</w:t>
            </w:r>
          </w:p>
        </w:tc>
      </w:tr>
      <w:tr w:rsidR="00791B46" w:rsidRPr="00083B85" w:rsidTr="00B46D45">
        <w:trPr>
          <w:trHeight w:val="301"/>
        </w:trPr>
        <w:tc>
          <w:tcPr>
            <w:tcW w:w="4698" w:type="dxa"/>
            <w:tcBorders>
              <w:top w:val="nil"/>
              <w:bottom w:val="single" w:sz="4" w:space="0" w:color="auto"/>
            </w:tcBorders>
            <w:shd w:val="clear" w:color="auto" w:fill="auto"/>
            <w:vAlign w:val="center"/>
          </w:tcPr>
          <w:p w:rsidR="00791B46" w:rsidRPr="00083B85" w:rsidRDefault="00791B46" w:rsidP="00B46D45">
            <w:pPr>
              <w:adjustRightInd w:val="0"/>
              <w:spacing w:after="0" w:line="240" w:lineRule="auto"/>
              <w:rPr>
                <w:b/>
                <w:bCs/>
                <w:color w:val="000000"/>
                <w:sz w:val="20"/>
                <w:szCs w:val="20"/>
              </w:rPr>
            </w:pPr>
            <w:r w:rsidRPr="00083B85">
              <w:rPr>
                <w:b/>
                <w:bCs/>
                <w:color w:val="000000"/>
                <w:sz w:val="20"/>
                <w:szCs w:val="20"/>
              </w:rPr>
              <w:t>Outcomes</w:t>
            </w:r>
          </w:p>
        </w:tc>
        <w:tc>
          <w:tcPr>
            <w:tcW w:w="990" w:type="dxa"/>
            <w:tcBorders>
              <w:top w:val="nil"/>
              <w:bottom w:val="single" w:sz="4" w:space="0" w:color="auto"/>
            </w:tcBorders>
            <w:shd w:val="clear" w:color="auto" w:fill="auto"/>
            <w:vAlign w:val="center"/>
          </w:tcPr>
          <w:p w:rsidR="00791B46" w:rsidRPr="00083B85" w:rsidRDefault="00791B46" w:rsidP="00B46D45">
            <w:pPr>
              <w:adjustRightInd w:val="0"/>
              <w:spacing w:after="0" w:line="240" w:lineRule="auto"/>
              <w:jc w:val="center"/>
              <w:rPr>
                <w:b/>
                <w:bCs/>
                <w:color w:val="000000"/>
                <w:sz w:val="20"/>
                <w:szCs w:val="20"/>
              </w:rPr>
            </w:pPr>
            <w:r w:rsidRPr="00083B85">
              <w:rPr>
                <w:b/>
                <w:bCs/>
                <w:color w:val="000000"/>
                <w:sz w:val="20"/>
                <w:szCs w:val="20"/>
              </w:rPr>
              <w:t>Fish Oil (n=270)</w:t>
            </w:r>
          </w:p>
        </w:tc>
        <w:tc>
          <w:tcPr>
            <w:tcW w:w="900" w:type="dxa"/>
            <w:tcBorders>
              <w:top w:val="nil"/>
              <w:bottom w:val="single" w:sz="4" w:space="0" w:color="auto"/>
            </w:tcBorders>
            <w:shd w:val="clear" w:color="auto" w:fill="auto"/>
            <w:vAlign w:val="center"/>
          </w:tcPr>
          <w:p w:rsidR="00791B46" w:rsidRPr="00083B85" w:rsidRDefault="00791B46" w:rsidP="00B46D45">
            <w:pPr>
              <w:adjustRightInd w:val="0"/>
              <w:spacing w:after="0" w:line="240" w:lineRule="auto"/>
              <w:jc w:val="center"/>
              <w:rPr>
                <w:b/>
                <w:bCs/>
                <w:color w:val="000000"/>
                <w:sz w:val="20"/>
                <w:szCs w:val="20"/>
              </w:rPr>
            </w:pPr>
            <w:r w:rsidRPr="00083B85">
              <w:rPr>
                <w:b/>
                <w:bCs/>
                <w:color w:val="000000"/>
                <w:sz w:val="20"/>
                <w:szCs w:val="20"/>
              </w:rPr>
              <w:t>Placebo</w:t>
            </w:r>
          </w:p>
          <w:p w:rsidR="00791B46" w:rsidRPr="00083B85" w:rsidRDefault="00791B46" w:rsidP="00B46D45">
            <w:pPr>
              <w:adjustRightInd w:val="0"/>
              <w:spacing w:after="0" w:line="240" w:lineRule="auto"/>
              <w:jc w:val="center"/>
              <w:rPr>
                <w:b/>
                <w:bCs/>
                <w:color w:val="000000"/>
                <w:sz w:val="20"/>
                <w:szCs w:val="20"/>
              </w:rPr>
            </w:pPr>
            <w:r w:rsidRPr="00083B85">
              <w:rPr>
                <w:b/>
                <w:bCs/>
                <w:color w:val="000000"/>
                <w:sz w:val="20"/>
                <w:szCs w:val="20"/>
              </w:rPr>
              <w:t>(n=266)</w:t>
            </w:r>
          </w:p>
        </w:tc>
        <w:tc>
          <w:tcPr>
            <w:tcW w:w="1800" w:type="dxa"/>
            <w:tcBorders>
              <w:top w:val="nil"/>
              <w:bottom w:val="single" w:sz="4" w:space="0" w:color="auto"/>
            </w:tcBorders>
            <w:vAlign w:val="center"/>
          </w:tcPr>
          <w:p w:rsidR="00791B46" w:rsidRPr="00083B85" w:rsidRDefault="00791B46" w:rsidP="00B46D45">
            <w:pPr>
              <w:adjustRightInd w:val="0"/>
              <w:spacing w:after="0" w:line="240" w:lineRule="auto"/>
              <w:jc w:val="center"/>
              <w:rPr>
                <w:b/>
                <w:bCs/>
                <w:color w:val="000000"/>
                <w:sz w:val="20"/>
                <w:szCs w:val="20"/>
              </w:rPr>
            </w:pPr>
            <w:r w:rsidRPr="00083B85">
              <w:rPr>
                <w:b/>
                <w:bCs/>
                <w:color w:val="000000"/>
                <w:sz w:val="20"/>
                <w:szCs w:val="20"/>
              </w:rPr>
              <w:t xml:space="preserve">Relative risk </w:t>
            </w:r>
          </w:p>
          <w:p w:rsidR="00791B46" w:rsidRPr="00083B85" w:rsidRDefault="00791B46" w:rsidP="00B46D45">
            <w:pPr>
              <w:adjustRightInd w:val="0"/>
              <w:spacing w:after="0" w:line="240" w:lineRule="auto"/>
              <w:jc w:val="center"/>
              <w:rPr>
                <w:b/>
                <w:bCs/>
                <w:color w:val="000000"/>
                <w:sz w:val="20"/>
                <w:szCs w:val="20"/>
              </w:rPr>
            </w:pPr>
            <w:r w:rsidRPr="00083B85">
              <w:rPr>
                <w:b/>
                <w:bCs/>
                <w:color w:val="000000"/>
                <w:sz w:val="20"/>
                <w:szCs w:val="20"/>
              </w:rPr>
              <w:t>(95% CI)</w:t>
            </w:r>
            <w:r w:rsidRPr="00083B85">
              <w:rPr>
                <w:b/>
                <w:bCs/>
                <w:color w:val="000000"/>
                <w:sz w:val="20"/>
                <w:szCs w:val="20"/>
                <w:vertAlign w:val="superscript"/>
              </w:rPr>
              <w:t>d</w:t>
            </w:r>
          </w:p>
        </w:tc>
        <w:tc>
          <w:tcPr>
            <w:tcW w:w="930" w:type="dxa"/>
            <w:tcBorders>
              <w:top w:val="nil"/>
              <w:bottom w:val="single" w:sz="4" w:space="0" w:color="auto"/>
            </w:tcBorders>
            <w:shd w:val="clear" w:color="auto" w:fill="auto"/>
            <w:vAlign w:val="center"/>
          </w:tcPr>
          <w:p w:rsidR="00791B46" w:rsidRPr="00083B85" w:rsidRDefault="00791B46" w:rsidP="00B46D45">
            <w:pPr>
              <w:adjustRightInd w:val="0"/>
              <w:spacing w:after="0" w:line="240" w:lineRule="auto"/>
              <w:jc w:val="center"/>
              <w:rPr>
                <w:b/>
                <w:bCs/>
                <w:color w:val="000000"/>
                <w:sz w:val="20"/>
                <w:szCs w:val="20"/>
              </w:rPr>
            </w:pPr>
            <w:r w:rsidRPr="00083B85">
              <w:rPr>
                <w:b/>
                <w:bCs/>
                <w:i/>
                <w:color w:val="000000"/>
                <w:sz w:val="20"/>
                <w:szCs w:val="20"/>
              </w:rPr>
              <w:t>P</w:t>
            </w:r>
            <w:r w:rsidRPr="00083B85">
              <w:rPr>
                <w:b/>
                <w:bCs/>
                <w:color w:val="000000"/>
                <w:sz w:val="20"/>
                <w:szCs w:val="20"/>
              </w:rPr>
              <w:t xml:space="preserve"> Value</w:t>
            </w:r>
          </w:p>
        </w:tc>
      </w:tr>
      <w:tr w:rsidR="00791B46" w:rsidRPr="00083B85" w:rsidTr="00B46D45">
        <w:trPr>
          <w:trHeight w:val="558"/>
        </w:trPr>
        <w:tc>
          <w:tcPr>
            <w:tcW w:w="4698" w:type="dxa"/>
            <w:tcBorders>
              <w:top w:val="single" w:sz="4" w:space="0" w:color="auto"/>
              <w:bottom w:val="nil"/>
            </w:tcBorders>
            <w:shd w:val="clear" w:color="auto" w:fill="auto"/>
            <w:vAlign w:val="center"/>
          </w:tcPr>
          <w:p w:rsidR="00791B46" w:rsidRPr="00083B85" w:rsidRDefault="00791B46" w:rsidP="00B46D45">
            <w:pPr>
              <w:adjustRightInd w:val="0"/>
              <w:spacing w:after="0" w:line="240" w:lineRule="auto"/>
              <w:rPr>
                <w:color w:val="000000"/>
                <w:sz w:val="20"/>
                <w:szCs w:val="20"/>
              </w:rPr>
            </w:pPr>
            <w:r w:rsidRPr="00083B85">
              <w:rPr>
                <w:color w:val="000000"/>
                <w:sz w:val="20"/>
                <w:szCs w:val="20"/>
              </w:rPr>
              <w:t>Patients with ≥ 1 intervention, n (%)</w:t>
            </w:r>
            <w:r w:rsidRPr="00083B85">
              <w:rPr>
                <w:sz w:val="20"/>
                <w:szCs w:val="20"/>
                <w:vertAlign w:val="superscript"/>
              </w:rPr>
              <w:t>a</w:t>
            </w:r>
            <w:r w:rsidRPr="00083B85">
              <w:rPr>
                <w:color w:val="000000"/>
                <w:sz w:val="20"/>
                <w:szCs w:val="20"/>
              </w:rPr>
              <w:t xml:space="preserve"> </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1 intervention</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2 interventions</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3 interventions</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4 interventions</w:t>
            </w:r>
          </w:p>
        </w:tc>
        <w:tc>
          <w:tcPr>
            <w:tcW w:w="990" w:type="dxa"/>
            <w:tcBorders>
              <w:top w:val="single" w:sz="4" w:space="0" w:color="auto"/>
              <w:bottom w:val="nil"/>
            </w:tcBorders>
            <w:shd w:val="clear" w:color="auto" w:fill="auto"/>
          </w:tcPr>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60 (22)</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50 (19)</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8 (3)</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2 (1)</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0</w:t>
            </w:r>
          </w:p>
        </w:tc>
        <w:tc>
          <w:tcPr>
            <w:tcW w:w="900" w:type="dxa"/>
            <w:tcBorders>
              <w:top w:val="single" w:sz="4" w:space="0" w:color="auto"/>
              <w:bottom w:val="nil"/>
            </w:tcBorders>
            <w:shd w:val="clear" w:color="auto" w:fill="auto"/>
          </w:tcPr>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72 (27)</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52 (20)</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14 (5)</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3 (1)</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3 (1)</w:t>
            </w:r>
          </w:p>
        </w:tc>
        <w:tc>
          <w:tcPr>
            <w:tcW w:w="1800" w:type="dxa"/>
            <w:tcBorders>
              <w:top w:val="single" w:sz="4" w:space="0" w:color="auto"/>
              <w:bottom w:val="nil"/>
            </w:tcBorders>
          </w:tcPr>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0.82 (0.61, 1.11)</w:t>
            </w:r>
          </w:p>
        </w:tc>
        <w:tc>
          <w:tcPr>
            <w:tcW w:w="930" w:type="dxa"/>
            <w:tcBorders>
              <w:top w:val="single" w:sz="4" w:space="0" w:color="auto"/>
              <w:bottom w:val="nil"/>
            </w:tcBorders>
            <w:shd w:val="clear" w:color="auto" w:fill="auto"/>
          </w:tcPr>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0.20</w:t>
            </w:r>
          </w:p>
        </w:tc>
      </w:tr>
      <w:tr w:rsidR="00791B46" w:rsidRPr="00083B85" w:rsidTr="00B46D45">
        <w:trPr>
          <w:trHeight w:val="313"/>
        </w:trPr>
        <w:tc>
          <w:tcPr>
            <w:tcW w:w="4698" w:type="dxa"/>
            <w:tcBorders>
              <w:top w:val="nil"/>
              <w:bottom w:val="nil"/>
            </w:tcBorders>
            <w:shd w:val="clear" w:color="auto" w:fill="auto"/>
            <w:vAlign w:val="center"/>
          </w:tcPr>
          <w:p w:rsidR="00791B46" w:rsidRPr="00083B85" w:rsidRDefault="00791B46" w:rsidP="00B46D45">
            <w:pPr>
              <w:adjustRightInd w:val="0"/>
              <w:spacing w:after="0" w:line="240" w:lineRule="auto"/>
              <w:rPr>
                <w:color w:val="000000"/>
                <w:sz w:val="20"/>
                <w:szCs w:val="20"/>
              </w:rPr>
            </w:pPr>
            <w:r w:rsidRPr="00083B85">
              <w:rPr>
                <w:color w:val="000000"/>
                <w:sz w:val="20"/>
                <w:szCs w:val="20"/>
              </w:rPr>
              <w:t>Patients with ≥ 1 rescue intervention, n (%)</w:t>
            </w:r>
            <w:r w:rsidRPr="00083B85">
              <w:rPr>
                <w:color w:val="000000"/>
                <w:sz w:val="20"/>
                <w:szCs w:val="20"/>
                <w:vertAlign w:val="superscript"/>
              </w:rPr>
              <w:t>b</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1 intervention</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2 interventions</w:t>
            </w:r>
          </w:p>
        </w:tc>
        <w:tc>
          <w:tcPr>
            <w:tcW w:w="990" w:type="dxa"/>
            <w:tcBorders>
              <w:top w:val="nil"/>
              <w:bottom w:val="nil"/>
            </w:tcBorders>
            <w:shd w:val="clear" w:color="auto" w:fill="auto"/>
            <w:vAlign w:val="center"/>
          </w:tcPr>
          <w:p w:rsidR="00791B46" w:rsidRPr="00083B85" w:rsidRDefault="00791B46" w:rsidP="00B46D45">
            <w:pPr>
              <w:spacing w:after="0" w:line="240" w:lineRule="auto"/>
              <w:jc w:val="center"/>
              <w:rPr>
                <w:sz w:val="20"/>
                <w:szCs w:val="20"/>
              </w:rPr>
            </w:pPr>
            <w:r w:rsidRPr="00083B85">
              <w:rPr>
                <w:sz w:val="20"/>
                <w:szCs w:val="20"/>
              </w:rPr>
              <w:t>8 (3)</w:t>
            </w:r>
          </w:p>
          <w:p w:rsidR="00791B46" w:rsidRPr="00083B85" w:rsidRDefault="00791B46" w:rsidP="00B46D45">
            <w:pPr>
              <w:spacing w:after="0" w:line="240" w:lineRule="auto"/>
              <w:jc w:val="center"/>
              <w:rPr>
                <w:sz w:val="20"/>
                <w:szCs w:val="20"/>
              </w:rPr>
            </w:pPr>
            <w:r w:rsidRPr="00083B85">
              <w:rPr>
                <w:sz w:val="20"/>
                <w:szCs w:val="20"/>
              </w:rPr>
              <w:t>8 (3)</w:t>
            </w:r>
          </w:p>
          <w:p w:rsidR="00791B46" w:rsidRPr="00083B85" w:rsidRDefault="00791B46" w:rsidP="00B46D45">
            <w:pPr>
              <w:spacing w:after="0" w:line="240" w:lineRule="auto"/>
              <w:jc w:val="center"/>
              <w:rPr>
                <w:sz w:val="20"/>
                <w:szCs w:val="20"/>
              </w:rPr>
            </w:pPr>
            <w:r w:rsidRPr="00083B85">
              <w:rPr>
                <w:sz w:val="20"/>
                <w:szCs w:val="20"/>
              </w:rPr>
              <w:t>0</w:t>
            </w:r>
          </w:p>
        </w:tc>
        <w:tc>
          <w:tcPr>
            <w:tcW w:w="900" w:type="dxa"/>
            <w:tcBorders>
              <w:top w:val="nil"/>
              <w:bottom w:val="nil"/>
            </w:tcBorders>
            <w:shd w:val="clear" w:color="auto" w:fill="auto"/>
            <w:vAlign w:val="center"/>
          </w:tcPr>
          <w:p w:rsidR="00791B46" w:rsidRPr="00083B85" w:rsidRDefault="00791B46" w:rsidP="00B46D45">
            <w:pPr>
              <w:spacing w:after="0" w:line="240" w:lineRule="auto"/>
              <w:jc w:val="center"/>
              <w:rPr>
                <w:sz w:val="20"/>
                <w:szCs w:val="20"/>
              </w:rPr>
            </w:pPr>
            <w:r w:rsidRPr="00083B85">
              <w:rPr>
                <w:sz w:val="20"/>
                <w:szCs w:val="20"/>
              </w:rPr>
              <w:t>13 (5)</w:t>
            </w:r>
          </w:p>
          <w:p w:rsidR="00791B46" w:rsidRPr="00083B85" w:rsidRDefault="00791B46" w:rsidP="00B46D45">
            <w:pPr>
              <w:spacing w:after="0" w:line="240" w:lineRule="auto"/>
              <w:jc w:val="center"/>
              <w:rPr>
                <w:sz w:val="20"/>
                <w:szCs w:val="20"/>
              </w:rPr>
            </w:pPr>
            <w:r w:rsidRPr="00083B85">
              <w:rPr>
                <w:sz w:val="20"/>
                <w:szCs w:val="20"/>
              </w:rPr>
              <w:t>11 (4)</w:t>
            </w:r>
          </w:p>
          <w:p w:rsidR="00791B46" w:rsidRPr="00083B85" w:rsidRDefault="00791B46" w:rsidP="00B46D45">
            <w:pPr>
              <w:spacing w:after="0" w:line="240" w:lineRule="auto"/>
              <w:jc w:val="center"/>
              <w:rPr>
                <w:sz w:val="20"/>
                <w:szCs w:val="20"/>
              </w:rPr>
            </w:pPr>
            <w:r w:rsidRPr="00083B85">
              <w:rPr>
                <w:sz w:val="20"/>
                <w:szCs w:val="20"/>
              </w:rPr>
              <w:t xml:space="preserve">2 (1) </w:t>
            </w:r>
          </w:p>
        </w:tc>
        <w:tc>
          <w:tcPr>
            <w:tcW w:w="1800" w:type="dxa"/>
            <w:tcBorders>
              <w:top w:val="nil"/>
              <w:bottom w:val="nil"/>
            </w:tcBorders>
            <w:vAlign w:val="center"/>
          </w:tcPr>
          <w:p w:rsidR="00791B46" w:rsidRPr="00083B85" w:rsidRDefault="00791B46" w:rsidP="00B46D45">
            <w:pPr>
              <w:spacing w:after="0" w:line="240" w:lineRule="auto"/>
              <w:jc w:val="center"/>
              <w:rPr>
                <w:sz w:val="20"/>
                <w:szCs w:val="20"/>
              </w:rPr>
            </w:pPr>
            <w:r w:rsidRPr="00083B85">
              <w:rPr>
                <w:sz w:val="20"/>
                <w:szCs w:val="20"/>
              </w:rPr>
              <w:t>0.60 (0.25, 1.42)</w:t>
            </w:r>
          </w:p>
        </w:tc>
        <w:tc>
          <w:tcPr>
            <w:tcW w:w="930" w:type="dxa"/>
            <w:tcBorders>
              <w:top w:val="nil"/>
              <w:bottom w:val="nil"/>
            </w:tcBorders>
            <w:shd w:val="clear" w:color="auto" w:fill="auto"/>
            <w:vAlign w:val="center"/>
          </w:tcPr>
          <w:p w:rsidR="00791B46" w:rsidRPr="00083B85" w:rsidRDefault="00791B46" w:rsidP="00B46D45">
            <w:pPr>
              <w:spacing w:after="0" w:line="240" w:lineRule="auto"/>
              <w:jc w:val="center"/>
              <w:rPr>
                <w:sz w:val="20"/>
                <w:szCs w:val="20"/>
              </w:rPr>
            </w:pPr>
            <w:r w:rsidRPr="00083B85">
              <w:rPr>
                <w:sz w:val="20"/>
                <w:szCs w:val="20"/>
              </w:rPr>
              <w:t>0.24</w:t>
            </w:r>
          </w:p>
        </w:tc>
      </w:tr>
      <w:tr w:rsidR="00791B46" w:rsidRPr="00083B85" w:rsidTr="00B46D45">
        <w:trPr>
          <w:trHeight w:val="313"/>
        </w:trPr>
        <w:tc>
          <w:tcPr>
            <w:tcW w:w="4698" w:type="dxa"/>
            <w:tcBorders>
              <w:top w:val="nil"/>
              <w:bottom w:val="nil"/>
            </w:tcBorders>
            <w:shd w:val="clear" w:color="auto" w:fill="auto"/>
            <w:vAlign w:val="center"/>
          </w:tcPr>
          <w:p w:rsidR="00791B46" w:rsidRPr="00083B85" w:rsidRDefault="00791B46" w:rsidP="00B46D45">
            <w:pPr>
              <w:adjustRightInd w:val="0"/>
              <w:spacing w:after="0" w:line="240" w:lineRule="auto"/>
              <w:rPr>
                <w:color w:val="000000"/>
                <w:sz w:val="20"/>
                <w:szCs w:val="20"/>
              </w:rPr>
            </w:pPr>
            <w:r w:rsidRPr="00083B85">
              <w:rPr>
                <w:color w:val="000000"/>
                <w:sz w:val="20"/>
                <w:szCs w:val="20"/>
              </w:rPr>
              <w:t>Patients with ≥ 1 non-rescue intervention, n (%)</w:t>
            </w:r>
            <w:r w:rsidRPr="00083B85">
              <w:rPr>
                <w:color w:val="000000"/>
                <w:sz w:val="20"/>
                <w:szCs w:val="20"/>
                <w:vertAlign w:val="superscript"/>
              </w:rPr>
              <w:t>c</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1 intervention</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2 interventions</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3 interventions</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4 interventions</w:t>
            </w:r>
          </w:p>
        </w:tc>
        <w:tc>
          <w:tcPr>
            <w:tcW w:w="990" w:type="dxa"/>
            <w:tcBorders>
              <w:top w:val="nil"/>
              <w:bottom w:val="nil"/>
            </w:tcBorders>
            <w:shd w:val="clear" w:color="auto" w:fill="auto"/>
          </w:tcPr>
          <w:p w:rsidR="00791B46" w:rsidRPr="00083B85" w:rsidRDefault="00791B46" w:rsidP="00B46D45">
            <w:pPr>
              <w:spacing w:after="0" w:line="240" w:lineRule="auto"/>
              <w:jc w:val="center"/>
              <w:rPr>
                <w:sz w:val="20"/>
                <w:szCs w:val="20"/>
              </w:rPr>
            </w:pPr>
            <w:r w:rsidRPr="00083B85">
              <w:rPr>
                <w:sz w:val="20"/>
                <w:szCs w:val="20"/>
              </w:rPr>
              <w:t>55 (20)</w:t>
            </w:r>
          </w:p>
          <w:p w:rsidR="00791B46" w:rsidRPr="00083B85" w:rsidRDefault="00791B46" w:rsidP="00B46D45">
            <w:pPr>
              <w:spacing w:after="0" w:line="240" w:lineRule="auto"/>
              <w:jc w:val="center"/>
              <w:rPr>
                <w:sz w:val="20"/>
                <w:szCs w:val="20"/>
              </w:rPr>
            </w:pPr>
            <w:r w:rsidRPr="00083B85">
              <w:rPr>
                <w:sz w:val="20"/>
                <w:szCs w:val="20"/>
              </w:rPr>
              <w:t>48 (18)</w:t>
            </w:r>
          </w:p>
          <w:p w:rsidR="00791B46" w:rsidRPr="00083B85" w:rsidRDefault="00791B46" w:rsidP="00B46D45">
            <w:pPr>
              <w:spacing w:after="0" w:line="240" w:lineRule="auto"/>
              <w:jc w:val="center"/>
              <w:rPr>
                <w:sz w:val="20"/>
                <w:szCs w:val="20"/>
              </w:rPr>
            </w:pPr>
            <w:r w:rsidRPr="00083B85">
              <w:rPr>
                <w:sz w:val="20"/>
                <w:szCs w:val="20"/>
              </w:rPr>
              <w:t>5 (2)</w:t>
            </w:r>
          </w:p>
          <w:p w:rsidR="00791B46" w:rsidRPr="00083B85" w:rsidRDefault="00791B46" w:rsidP="00B46D45">
            <w:pPr>
              <w:spacing w:after="0" w:line="240" w:lineRule="auto"/>
              <w:jc w:val="center"/>
              <w:rPr>
                <w:sz w:val="20"/>
                <w:szCs w:val="20"/>
              </w:rPr>
            </w:pPr>
            <w:r w:rsidRPr="00083B85">
              <w:rPr>
                <w:sz w:val="20"/>
                <w:szCs w:val="20"/>
              </w:rPr>
              <w:t>2 (1)</w:t>
            </w:r>
          </w:p>
          <w:p w:rsidR="00791B46" w:rsidRPr="00083B85" w:rsidRDefault="00791B46" w:rsidP="00B46D45">
            <w:pPr>
              <w:spacing w:after="0" w:line="240" w:lineRule="auto"/>
              <w:jc w:val="center"/>
              <w:rPr>
                <w:sz w:val="20"/>
                <w:szCs w:val="20"/>
              </w:rPr>
            </w:pPr>
            <w:r w:rsidRPr="00083B85">
              <w:rPr>
                <w:sz w:val="20"/>
                <w:szCs w:val="20"/>
              </w:rPr>
              <w:t>0</w:t>
            </w:r>
          </w:p>
        </w:tc>
        <w:tc>
          <w:tcPr>
            <w:tcW w:w="900" w:type="dxa"/>
            <w:tcBorders>
              <w:top w:val="nil"/>
              <w:bottom w:val="nil"/>
            </w:tcBorders>
            <w:shd w:val="clear" w:color="auto" w:fill="auto"/>
          </w:tcPr>
          <w:p w:rsidR="00791B46" w:rsidRPr="00083B85" w:rsidRDefault="00791B46" w:rsidP="00B46D45">
            <w:pPr>
              <w:spacing w:after="0" w:line="240" w:lineRule="auto"/>
              <w:jc w:val="center"/>
              <w:rPr>
                <w:sz w:val="20"/>
                <w:szCs w:val="20"/>
              </w:rPr>
            </w:pPr>
            <w:r w:rsidRPr="00083B85">
              <w:rPr>
                <w:sz w:val="20"/>
                <w:szCs w:val="20"/>
              </w:rPr>
              <w:t>66 (25)</w:t>
            </w:r>
          </w:p>
          <w:p w:rsidR="00791B46" w:rsidRPr="00083B85" w:rsidRDefault="00791B46" w:rsidP="00B46D45">
            <w:pPr>
              <w:spacing w:after="0" w:line="240" w:lineRule="auto"/>
              <w:jc w:val="center"/>
              <w:rPr>
                <w:sz w:val="20"/>
                <w:szCs w:val="20"/>
              </w:rPr>
            </w:pPr>
            <w:r w:rsidRPr="00083B85">
              <w:rPr>
                <w:sz w:val="20"/>
                <w:szCs w:val="20"/>
              </w:rPr>
              <w:t>52 (20)</w:t>
            </w:r>
          </w:p>
          <w:p w:rsidR="00791B46" w:rsidRPr="00083B85" w:rsidRDefault="00791B46" w:rsidP="00B46D45">
            <w:pPr>
              <w:spacing w:after="0" w:line="240" w:lineRule="auto"/>
              <w:jc w:val="center"/>
              <w:rPr>
                <w:sz w:val="20"/>
                <w:szCs w:val="20"/>
              </w:rPr>
            </w:pPr>
            <w:r w:rsidRPr="00083B85">
              <w:rPr>
                <w:sz w:val="20"/>
                <w:szCs w:val="20"/>
              </w:rPr>
              <w:t>9 (3)</w:t>
            </w:r>
          </w:p>
          <w:p w:rsidR="00791B46" w:rsidRPr="00083B85" w:rsidRDefault="00791B46" w:rsidP="00B46D45">
            <w:pPr>
              <w:spacing w:after="0" w:line="240" w:lineRule="auto"/>
              <w:jc w:val="center"/>
              <w:rPr>
                <w:sz w:val="20"/>
                <w:szCs w:val="20"/>
              </w:rPr>
            </w:pPr>
            <w:r w:rsidRPr="00083B85">
              <w:rPr>
                <w:sz w:val="20"/>
                <w:szCs w:val="20"/>
              </w:rPr>
              <w:t>4 (2)</w:t>
            </w:r>
          </w:p>
          <w:p w:rsidR="00791B46" w:rsidRPr="00083B85" w:rsidRDefault="00791B46" w:rsidP="00B46D45">
            <w:pPr>
              <w:spacing w:after="0" w:line="240" w:lineRule="auto"/>
              <w:jc w:val="center"/>
              <w:rPr>
                <w:sz w:val="20"/>
                <w:szCs w:val="20"/>
              </w:rPr>
            </w:pPr>
            <w:r w:rsidRPr="00083B85">
              <w:rPr>
                <w:sz w:val="20"/>
                <w:szCs w:val="20"/>
              </w:rPr>
              <w:t>1 (&lt;1)</w:t>
            </w:r>
          </w:p>
        </w:tc>
        <w:tc>
          <w:tcPr>
            <w:tcW w:w="1800" w:type="dxa"/>
            <w:tcBorders>
              <w:top w:val="nil"/>
              <w:bottom w:val="nil"/>
            </w:tcBorders>
          </w:tcPr>
          <w:p w:rsidR="00791B46" w:rsidRPr="00083B85" w:rsidRDefault="00791B46" w:rsidP="00B46D45">
            <w:pPr>
              <w:spacing w:after="0" w:line="240" w:lineRule="auto"/>
              <w:jc w:val="center"/>
              <w:rPr>
                <w:sz w:val="20"/>
                <w:szCs w:val="20"/>
              </w:rPr>
            </w:pPr>
            <w:r w:rsidRPr="00083B85">
              <w:rPr>
                <w:sz w:val="20"/>
                <w:szCs w:val="20"/>
              </w:rPr>
              <w:t>0.82 (0.60, 1.12)</w:t>
            </w:r>
            <w:r w:rsidRPr="00083B85">
              <w:rPr>
                <w:sz w:val="20"/>
                <w:szCs w:val="20"/>
                <w:vertAlign w:val="superscript"/>
              </w:rPr>
              <w:t xml:space="preserve"> </w:t>
            </w:r>
          </w:p>
        </w:tc>
        <w:tc>
          <w:tcPr>
            <w:tcW w:w="930" w:type="dxa"/>
            <w:tcBorders>
              <w:top w:val="nil"/>
              <w:bottom w:val="nil"/>
            </w:tcBorders>
            <w:shd w:val="clear" w:color="auto" w:fill="auto"/>
          </w:tcPr>
          <w:p w:rsidR="00791B46" w:rsidRPr="00083B85" w:rsidRDefault="00791B46" w:rsidP="00B46D45">
            <w:pPr>
              <w:spacing w:after="0" w:line="240" w:lineRule="auto"/>
              <w:jc w:val="center"/>
              <w:rPr>
                <w:sz w:val="20"/>
                <w:szCs w:val="20"/>
              </w:rPr>
            </w:pPr>
            <w:r w:rsidRPr="00083B85">
              <w:rPr>
                <w:sz w:val="20"/>
                <w:szCs w:val="20"/>
              </w:rPr>
              <w:t>0.22</w:t>
            </w:r>
          </w:p>
        </w:tc>
      </w:tr>
      <w:tr w:rsidR="00791B46" w:rsidRPr="00083B85" w:rsidTr="00B46D45">
        <w:trPr>
          <w:trHeight w:val="313"/>
        </w:trPr>
        <w:tc>
          <w:tcPr>
            <w:tcW w:w="9318" w:type="dxa"/>
            <w:gridSpan w:val="5"/>
            <w:tcBorders>
              <w:top w:val="single" w:sz="12" w:space="0" w:color="auto"/>
              <w:bottom w:val="single" w:sz="12" w:space="0" w:color="auto"/>
            </w:tcBorders>
            <w:shd w:val="clear" w:color="auto" w:fill="auto"/>
          </w:tcPr>
          <w:p w:rsidR="00791B46" w:rsidRPr="00083B85" w:rsidRDefault="00791B46" w:rsidP="00B46D45">
            <w:pPr>
              <w:spacing w:after="0" w:line="240" w:lineRule="auto"/>
              <w:rPr>
                <w:sz w:val="20"/>
                <w:szCs w:val="20"/>
              </w:rPr>
            </w:pPr>
            <w:r w:rsidRPr="00083B85">
              <w:rPr>
                <w:b/>
                <w:bCs/>
                <w:noProof/>
                <w:color w:val="000000"/>
                <w:sz w:val="20"/>
                <w:szCs w:val="20"/>
                <w:lang w:eastAsia="en-AU"/>
              </w:rPr>
              <w:t>Table 2B | AVF interventions for aspirin versus placebo</w:t>
            </w:r>
          </w:p>
        </w:tc>
      </w:tr>
      <w:tr w:rsidR="00791B46" w:rsidRPr="00083B85" w:rsidTr="00B46D45">
        <w:trPr>
          <w:trHeight w:val="313"/>
        </w:trPr>
        <w:tc>
          <w:tcPr>
            <w:tcW w:w="4698" w:type="dxa"/>
            <w:tcBorders>
              <w:top w:val="single" w:sz="12" w:space="0" w:color="auto"/>
              <w:bottom w:val="single" w:sz="4" w:space="0" w:color="auto"/>
            </w:tcBorders>
            <w:shd w:val="clear" w:color="auto" w:fill="auto"/>
            <w:vAlign w:val="center"/>
          </w:tcPr>
          <w:p w:rsidR="00791B46" w:rsidRPr="00083B85" w:rsidRDefault="00791B46" w:rsidP="00B46D45">
            <w:pPr>
              <w:adjustRightInd w:val="0"/>
              <w:spacing w:after="0" w:line="240" w:lineRule="auto"/>
              <w:rPr>
                <w:b/>
                <w:bCs/>
                <w:color w:val="000000"/>
                <w:sz w:val="20"/>
                <w:szCs w:val="20"/>
              </w:rPr>
            </w:pPr>
            <w:r w:rsidRPr="00083B85">
              <w:rPr>
                <w:b/>
                <w:bCs/>
                <w:color w:val="000000"/>
                <w:sz w:val="20"/>
                <w:szCs w:val="20"/>
              </w:rPr>
              <w:t>Outcomes</w:t>
            </w:r>
          </w:p>
        </w:tc>
        <w:tc>
          <w:tcPr>
            <w:tcW w:w="990" w:type="dxa"/>
            <w:tcBorders>
              <w:top w:val="single" w:sz="12" w:space="0" w:color="auto"/>
              <w:bottom w:val="single" w:sz="4" w:space="0" w:color="auto"/>
            </w:tcBorders>
            <w:shd w:val="clear" w:color="auto" w:fill="auto"/>
            <w:vAlign w:val="center"/>
          </w:tcPr>
          <w:p w:rsidR="00791B46" w:rsidRPr="00083B85" w:rsidRDefault="00791B46" w:rsidP="00B46D45">
            <w:pPr>
              <w:adjustRightInd w:val="0"/>
              <w:spacing w:after="0" w:line="240" w:lineRule="auto"/>
              <w:jc w:val="center"/>
              <w:rPr>
                <w:b/>
                <w:bCs/>
                <w:color w:val="000000"/>
                <w:sz w:val="20"/>
                <w:szCs w:val="20"/>
              </w:rPr>
            </w:pPr>
            <w:r w:rsidRPr="00083B85">
              <w:rPr>
                <w:b/>
                <w:bCs/>
                <w:color w:val="000000"/>
                <w:sz w:val="20"/>
                <w:szCs w:val="20"/>
              </w:rPr>
              <w:t>Aspirin (n=194)</w:t>
            </w:r>
          </w:p>
        </w:tc>
        <w:tc>
          <w:tcPr>
            <w:tcW w:w="900" w:type="dxa"/>
            <w:tcBorders>
              <w:top w:val="single" w:sz="12" w:space="0" w:color="auto"/>
              <w:bottom w:val="single" w:sz="4" w:space="0" w:color="auto"/>
            </w:tcBorders>
            <w:shd w:val="clear" w:color="auto" w:fill="auto"/>
            <w:vAlign w:val="center"/>
          </w:tcPr>
          <w:p w:rsidR="00791B46" w:rsidRPr="00083B85" w:rsidRDefault="00791B46" w:rsidP="00B46D45">
            <w:pPr>
              <w:adjustRightInd w:val="0"/>
              <w:spacing w:after="0" w:line="240" w:lineRule="auto"/>
              <w:jc w:val="center"/>
              <w:rPr>
                <w:b/>
                <w:bCs/>
                <w:color w:val="000000"/>
                <w:sz w:val="20"/>
                <w:szCs w:val="20"/>
              </w:rPr>
            </w:pPr>
            <w:r w:rsidRPr="00083B85">
              <w:rPr>
                <w:b/>
                <w:bCs/>
                <w:color w:val="000000"/>
                <w:sz w:val="20"/>
                <w:szCs w:val="20"/>
              </w:rPr>
              <w:t>Placebo</w:t>
            </w:r>
          </w:p>
          <w:p w:rsidR="00791B46" w:rsidRPr="00083B85" w:rsidRDefault="00791B46" w:rsidP="00B46D45">
            <w:pPr>
              <w:adjustRightInd w:val="0"/>
              <w:spacing w:after="0" w:line="240" w:lineRule="auto"/>
              <w:jc w:val="center"/>
              <w:rPr>
                <w:b/>
                <w:bCs/>
                <w:color w:val="000000"/>
                <w:sz w:val="20"/>
                <w:szCs w:val="20"/>
              </w:rPr>
            </w:pPr>
            <w:r w:rsidRPr="00083B85">
              <w:rPr>
                <w:b/>
                <w:bCs/>
                <w:color w:val="000000"/>
                <w:sz w:val="20"/>
                <w:szCs w:val="20"/>
              </w:rPr>
              <w:t>(n=194)</w:t>
            </w:r>
          </w:p>
        </w:tc>
        <w:tc>
          <w:tcPr>
            <w:tcW w:w="1800" w:type="dxa"/>
            <w:tcBorders>
              <w:top w:val="single" w:sz="12" w:space="0" w:color="auto"/>
              <w:bottom w:val="single" w:sz="4" w:space="0" w:color="auto"/>
            </w:tcBorders>
            <w:vAlign w:val="center"/>
          </w:tcPr>
          <w:p w:rsidR="00791B46" w:rsidRPr="00083B85" w:rsidRDefault="00791B46" w:rsidP="00B46D45">
            <w:pPr>
              <w:adjustRightInd w:val="0"/>
              <w:spacing w:after="0" w:line="240" w:lineRule="auto"/>
              <w:jc w:val="center"/>
              <w:rPr>
                <w:b/>
                <w:bCs/>
                <w:color w:val="000000"/>
                <w:sz w:val="20"/>
                <w:szCs w:val="20"/>
              </w:rPr>
            </w:pPr>
            <w:r w:rsidRPr="00083B85">
              <w:rPr>
                <w:b/>
                <w:bCs/>
                <w:color w:val="000000"/>
                <w:sz w:val="20"/>
                <w:szCs w:val="20"/>
              </w:rPr>
              <w:t xml:space="preserve">Relative risk </w:t>
            </w:r>
          </w:p>
          <w:p w:rsidR="00791B46" w:rsidRPr="00083B85" w:rsidRDefault="00791B46" w:rsidP="00B46D45">
            <w:pPr>
              <w:adjustRightInd w:val="0"/>
              <w:spacing w:after="0" w:line="240" w:lineRule="auto"/>
              <w:jc w:val="center"/>
              <w:rPr>
                <w:b/>
                <w:bCs/>
                <w:color w:val="000000"/>
                <w:sz w:val="20"/>
                <w:szCs w:val="20"/>
              </w:rPr>
            </w:pPr>
            <w:r w:rsidRPr="00083B85">
              <w:rPr>
                <w:b/>
                <w:bCs/>
                <w:color w:val="000000"/>
                <w:sz w:val="20"/>
                <w:szCs w:val="20"/>
              </w:rPr>
              <w:t>(95% CI)</w:t>
            </w:r>
          </w:p>
        </w:tc>
        <w:tc>
          <w:tcPr>
            <w:tcW w:w="930" w:type="dxa"/>
            <w:tcBorders>
              <w:top w:val="single" w:sz="12" w:space="0" w:color="auto"/>
              <w:bottom w:val="single" w:sz="4" w:space="0" w:color="auto"/>
            </w:tcBorders>
            <w:shd w:val="clear" w:color="auto" w:fill="auto"/>
            <w:vAlign w:val="center"/>
          </w:tcPr>
          <w:p w:rsidR="00791B46" w:rsidRPr="00083B85" w:rsidRDefault="00791B46" w:rsidP="00B46D45">
            <w:pPr>
              <w:adjustRightInd w:val="0"/>
              <w:spacing w:after="0" w:line="240" w:lineRule="auto"/>
              <w:jc w:val="center"/>
              <w:rPr>
                <w:b/>
                <w:bCs/>
                <w:color w:val="000000"/>
                <w:sz w:val="20"/>
                <w:szCs w:val="20"/>
              </w:rPr>
            </w:pPr>
            <w:r w:rsidRPr="00083B85">
              <w:rPr>
                <w:b/>
                <w:bCs/>
                <w:i/>
                <w:color w:val="000000"/>
                <w:sz w:val="20"/>
                <w:szCs w:val="20"/>
              </w:rPr>
              <w:t>P</w:t>
            </w:r>
            <w:r w:rsidRPr="00083B85">
              <w:rPr>
                <w:b/>
                <w:bCs/>
                <w:color w:val="000000"/>
                <w:sz w:val="20"/>
                <w:szCs w:val="20"/>
              </w:rPr>
              <w:t xml:space="preserve"> Value</w:t>
            </w:r>
          </w:p>
        </w:tc>
      </w:tr>
      <w:tr w:rsidR="00791B46" w:rsidRPr="00083B85" w:rsidTr="00B46D45">
        <w:trPr>
          <w:trHeight w:val="313"/>
        </w:trPr>
        <w:tc>
          <w:tcPr>
            <w:tcW w:w="4698" w:type="dxa"/>
            <w:tcBorders>
              <w:top w:val="single" w:sz="4" w:space="0" w:color="auto"/>
              <w:bottom w:val="nil"/>
            </w:tcBorders>
            <w:shd w:val="clear" w:color="auto" w:fill="auto"/>
            <w:vAlign w:val="center"/>
          </w:tcPr>
          <w:p w:rsidR="00791B46" w:rsidRPr="00083B85" w:rsidRDefault="00791B46" w:rsidP="00B46D45">
            <w:pPr>
              <w:adjustRightInd w:val="0"/>
              <w:spacing w:after="0" w:line="240" w:lineRule="auto"/>
              <w:rPr>
                <w:color w:val="000000"/>
                <w:sz w:val="20"/>
                <w:szCs w:val="20"/>
              </w:rPr>
            </w:pPr>
            <w:r w:rsidRPr="00083B85">
              <w:rPr>
                <w:color w:val="000000"/>
                <w:sz w:val="20"/>
                <w:szCs w:val="20"/>
              </w:rPr>
              <w:t>Patients with ≥ 1 intervention, n (%)</w:t>
            </w:r>
            <w:r w:rsidRPr="00083B85">
              <w:rPr>
                <w:sz w:val="20"/>
                <w:szCs w:val="20"/>
                <w:vertAlign w:val="superscript"/>
              </w:rPr>
              <w:t>a</w:t>
            </w:r>
            <w:r w:rsidRPr="00083B85">
              <w:rPr>
                <w:color w:val="000000"/>
                <w:sz w:val="20"/>
                <w:szCs w:val="20"/>
              </w:rPr>
              <w:t xml:space="preserve"> </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1 intervention</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2 interventions</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3 interventions</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4 interventions</w:t>
            </w:r>
          </w:p>
        </w:tc>
        <w:tc>
          <w:tcPr>
            <w:tcW w:w="990" w:type="dxa"/>
            <w:tcBorders>
              <w:top w:val="single" w:sz="4" w:space="0" w:color="auto"/>
              <w:bottom w:val="nil"/>
            </w:tcBorders>
            <w:shd w:val="clear" w:color="auto" w:fill="auto"/>
          </w:tcPr>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44 (23)</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34 (18)</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7 (4)</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2 (1)</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1 (1)</w:t>
            </w:r>
          </w:p>
        </w:tc>
        <w:tc>
          <w:tcPr>
            <w:tcW w:w="900" w:type="dxa"/>
            <w:tcBorders>
              <w:top w:val="single" w:sz="4" w:space="0" w:color="auto"/>
              <w:bottom w:val="nil"/>
            </w:tcBorders>
            <w:shd w:val="clear" w:color="auto" w:fill="auto"/>
          </w:tcPr>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49 (25)</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36 (19)</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9 (5)</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2 (1)</w:t>
            </w:r>
          </w:p>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2 (1)</w:t>
            </w:r>
          </w:p>
        </w:tc>
        <w:tc>
          <w:tcPr>
            <w:tcW w:w="1800" w:type="dxa"/>
            <w:tcBorders>
              <w:top w:val="single" w:sz="4" w:space="0" w:color="auto"/>
              <w:bottom w:val="nil"/>
            </w:tcBorders>
          </w:tcPr>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0.9 (0.63, 1.28)</w:t>
            </w:r>
          </w:p>
        </w:tc>
        <w:tc>
          <w:tcPr>
            <w:tcW w:w="930" w:type="dxa"/>
            <w:tcBorders>
              <w:top w:val="single" w:sz="4" w:space="0" w:color="auto"/>
              <w:bottom w:val="nil"/>
            </w:tcBorders>
            <w:shd w:val="clear" w:color="auto" w:fill="auto"/>
          </w:tcPr>
          <w:p w:rsidR="00791B46" w:rsidRPr="00083B85" w:rsidRDefault="00791B46" w:rsidP="00B46D45">
            <w:pPr>
              <w:adjustRightInd w:val="0"/>
              <w:spacing w:after="0" w:line="240" w:lineRule="auto"/>
              <w:jc w:val="center"/>
              <w:rPr>
                <w:color w:val="000000"/>
                <w:sz w:val="20"/>
                <w:szCs w:val="20"/>
              </w:rPr>
            </w:pPr>
            <w:r w:rsidRPr="00083B85">
              <w:rPr>
                <w:color w:val="000000"/>
                <w:sz w:val="20"/>
                <w:szCs w:val="20"/>
              </w:rPr>
              <w:t>0.55</w:t>
            </w:r>
          </w:p>
        </w:tc>
      </w:tr>
      <w:tr w:rsidR="00791B46" w:rsidRPr="00083B85" w:rsidTr="00B46D45">
        <w:trPr>
          <w:trHeight w:val="313"/>
        </w:trPr>
        <w:tc>
          <w:tcPr>
            <w:tcW w:w="4698" w:type="dxa"/>
            <w:tcBorders>
              <w:top w:val="nil"/>
              <w:bottom w:val="nil"/>
            </w:tcBorders>
            <w:shd w:val="clear" w:color="auto" w:fill="auto"/>
            <w:vAlign w:val="center"/>
          </w:tcPr>
          <w:p w:rsidR="00791B46" w:rsidRPr="00083B85" w:rsidRDefault="00791B46" w:rsidP="00B46D45">
            <w:pPr>
              <w:adjustRightInd w:val="0"/>
              <w:spacing w:after="0" w:line="240" w:lineRule="auto"/>
              <w:rPr>
                <w:color w:val="000000"/>
                <w:sz w:val="20"/>
                <w:szCs w:val="20"/>
              </w:rPr>
            </w:pPr>
            <w:r w:rsidRPr="00083B85">
              <w:rPr>
                <w:color w:val="000000"/>
                <w:sz w:val="20"/>
                <w:szCs w:val="20"/>
              </w:rPr>
              <w:t>Patients with ≥ 1 rescue intervention, n (%)</w:t>
            </w:r>
            <w:r w:rsidRPr="00083B85">
              <w:rPr>
                <w:color w:val="000000"/>
                <w:sz w:val="20"/>
                <w:szCs w:val="20"/>
                <w:vertAlign w:val="superscript"/>
              </w:rPr>
              <w:t>b</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1 intervention</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2 interventions</w:t>
            </w:r>
          </w:p>
        </w:tc>
        <w:tc>
          <w:tcPr>
            <w:tcW w:w="990" w:type="dxa"/>
            <w:tcBorders>
              <w:top w:val="nil"/>
              <w:bottom w:val="nil"/>
            </w:tcBorders>
            <w:shd w:val="clear" w:color="auto" w:fill="auto"/>
          </w:tcPr>
          <w:p w:rsidR="00791B46" w:rsidRPr="00083B85" w:rsidRDefault="00791B46" w:rsidP="00B46D45">
            <w:pPr>
              <w:spacing w:after="0" w:line="240" w:lineRule="auto"/>
              <w:jc w:val="center"/>
              <w:rPr>
                <w:sz w:val="20"/>
                <w:szCs w:val="20"/>
              </w:rPr>
            </w:pPr>
            <w:r w:rsidRPr="00083B85">
              <w:rPr>
                <w:sz w:val="20"/>
                <w:szCs w:val="20"/>
              </w:rPr>
              <w:t>5 (3)</w:t>
            </w:r>
          </w:p>
          <w:p w:rsidR="00791B46" w:rsidRPr="00083B85" w:rsidRDefault="00791B46" w:rsidP="00B46D45">
            <w:pPr>
              <w:spacing w:after="0" w:line="240" w:lineRule="auto"/>
              <w:jc w:val="center"/>
              <w:rPr>
                <w:sz w:val="20"/>
                <w:szCs w:val="20"/>
              </w:rPr>
            </w:pPr>
            <w:r w:rsidRPr="00083B85">
              <w:rPr>
                <w:sz w:val="20"/>
                <w:szCs w:val="20"/>
              </w:rPr>
              <w:t>4 (2)</w:t>
            </w:r>
          </w:p>
          <w:p w:rsidR="00791B46" w:rsidRPr="00083B85" w:rsidRDefault="00791B46" w:rsidP="00B46D45">
            <w:pPr>
              <w:spacing w:after="0" w:line="240" w:lineRule="auto"/>
              <w:jc w:val="center"/>
              <w:rPr>
                <w:sz w:val="20"/>
                <w:szCs w:val="20"/>
              </w:rPr>
            </w:pPr>
            <w:r w:rsidRPr="00083B85">
              <w:rPr>
                <w:sz w:val="20"/>
                <w:szCs w:val="20"/>
              </w:rPr>
              <w:t>1 (1)</w:t>
            </w:r>
          </w:p>
        </w:tc>
        <w:tc>
          <w:tcPr>
            <w:tcW w:w="900" w:type="dxa"/>
            <w:tcBorders>
              <w:top w:val="nil"/>
              <w:bottom w:val="nil"/>
            </w:tcBorders>
            <w:shd w:val="clear" w:color="auto" w:fill="auto"/>
          </w:tcPr>
          <w:p w:rsidR="00791B46" w:rsidRPr="00083B85" w:rsidRDefault="00791B46" w:rsidP="00B46D45">
            <w:pPr>
              <w:spacing w:after="0" w:line="240" w:lineRule="auto"/>
              <w:jc w:val="center"/>
              <w:rPr>
                <w:sz w:val="20"/>
                <w:szCs w:val="20"/>
              </w:rPr>
            </w:pPr>
            <w:r w:rsidRPr="00083B85">
              <w:rPr>
                <w:sz w:val="20"/>
                <w:szCs w:val="20"/>
              </w:rPr>
              <w:t>12 (6)</w:t>
            </w:r>
          </w:p>
          <w:p w:rsidR="00791B46" w:rsidRPr="00083B85" w:rsidRDefault="00791B46" w:rsidP="00B46D45">
            <w:pPr>
              <w:spacing w:after="0" w:line="240" w:lineRule="auto"/>
              <w:jc w:val="center"/>
              <w:rPr>
                <w:sz w:val="20"/>
                <w:szCs w:val="20"/>
              </w:rPr>
            </w:pPr>
            <w:r w:rsidRPr="00083B85">
              <w:rPr>
                <w:sz w:val="20"/>
                <w:szCs w:val="20"/>
              </w:rPr>
              <w:t>11 (6)</w:t>
            </w:r>
          </w:p>
          <w:p w:rsidR="00791B46" w:rsidRPr="00083B85" w:rsidRDefault="00791B46" w:rsidP="00B46D45">
            <w:pPr>
              <w:spacing w:after="0" w:line="240" w:lineRule="auto"/>
              <w:jc w:val="center"/>
              <w:rPr>
                <w:sz w:val="20"/>
                <w:szCs w:val="20"/>
              </w:rPr>
            </w:pPr>
            <w:r w:rsidRPr="00083B85">
              <w:rPr>
                <w:sz w:val="20"/>
                <w:szCs w:val="20"/>
              </w:rPr>
              <w:t>2 (1)</w:t>
            </w:r>
          </w:p>
        </w:tc>
        <w:tc>
          <w:tcPr>
            <w:tcW w:w="1800" w:type="dxa"/>
            <w:tcBorders>
              <w:top w:val="nil"/>
              <w:bottom w:val="nil"/>
            </w:tcBorders>
            <w:vAlign w:val="center"/>
          </w:tcPr>
          <w:p w:rsidR="00791B46" w:rsidRPr="00083B85" w:rsidRDefault="00791B46" w:rsidP="00B46D45">
            <w:pPr>
              <w:spacing w:after="0" w:line="240" w:lineRule="auto"/>
              <w:jc w:val="center"/>
              <w:rPr>
                <w:sz w:val="20"/>
                <w:szCs w:val="20"/>
              </w:rPr>
            </w:pPr>
            <w:r w:rsidRPr="00083B85">
              <w:rPr>
                <w:sz w:val="20"/>
                <w:szCs w:val="20"/>
              </w:rPr>
              <w:t>0.42 (0.15, 1.16)</w:t>
            </w:r>
          </w:p>
        </w:tc>
        <w:tc>
          <w:tcPr>
            <w:tcW w:w="930" w:type="dxa"/>
            <w:tcBorders>
              <w:top w:val="nil"/>
              <w:bottom w:val="nil"/>
            </w:tcBorders>
            <w:shd w:val="clear" w:color="auto" w:fill="auto"/>
            <w:vAlign w:val="center"/>
          </w:tcPr>
          <w:p w:rsidR="00791B46" w:rsidRPr="00083B85" w:rsidRDefault="00791B46" w:rsidP="00B46D45">
            <w:pPr>
              <w:spacing w:after="0" w:line="240" w:lineRule="auto"/>
              <w:jc w:val="center"/>
              <w:rPr>
                <w:sz w:val="20"/>
                <w:szCs w:val="20"/>
              </w:rPr>
            </w:pPr>
            <w:r w:rsidRPr="00083B85">
              <w:rPr>
                <w:sz w:val="20"/>
                <w:szCs w:val="20"/>
              </w:rPr>
              <w:t>0.58</w:t>
            </w:r>
          </w:p>
        </w:tc>
      </w:tr>
      <w:tr w:rsidR="00791B46" w:rsidRPr="00083B85" w:rsidTr="00B46D45">
        <w:trPr>
          <w:trHeight w:val="313"/>
        </w:trPr>
        <w:tc>
          <w:tcPr>
            <w:tcW w:w="4698" w:type="dxa"/>
            <w:tcBorders>
              <w:top w:val="nil"/>
              <w:bottom w:val="single" w:sz="8" w:space="0" w:color="auto"/>
            </w:tcBorders>
            <w:shd w:val="clear" w:color="auto" w:fill="auto"/>
            <w:vAlign w:val="center"/>
          </w:tcPr>
          <w:p w:rsidR="00791B46" w:rsidRPr="00083B85" w:rsidRDefault="00791B46" w:rsidP="00B46D45">
            <w:pPr>
              <w:adjustRightInd w:val="0"/>
              <w:spacing w:after="0" w:line="240" w:lineRule="auto"/>
              <w:rPr>
                <w:color w:val="000000"/>
                <w:sz w:val="20"/>
                <w:szCs w:val="20"/>
              </w:rPr>
            </w:pPr>
            <w:r w:rsidRPr="00083B85">
              <w:rPr>
                <w:color w:val="000000"/>
                <w:sz w:val="20"/>
                <w:szCs w:val="20"/>
              </w:rPr>
              <w:t>Patients with ≥ 1 non-rescue intervention n (%)</w:t>
            </w:r>
            <w:r w:rsidRPr="00083B85">
              <w:rPr>
                <w:color w:val="000000"/>
                <w:sz w:val="20"/>
                <w:szCs w:val="20"/>
                <w:vertAlign w:val="superscript"/>
              </w:rPr>
              <w:t>c</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1 intervention</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2 interventions</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3 interventions</w:t>
            </w:r>
          </w:p>
          <w:p w:rsidR="00791B46" w:rsidRPr="00083B85" w:rsidRDefault="00791B46" w:rsidP="00B46D45">
            <w:pPr>
              <w:numPr>
                <w:ilvl w:val="0"/>
                <w:numId w:val="1"/>
              </w:numPr>
              <w:adjustRightInd w:val="0"/>
              <w:spacing w:after="0" w:line="240" w:lineRule="auto"/>
              <w:rPr>
                <w:color w:val="000000"/>
                <w:sz w:val="20"/>
                <w:szCs w:val="20"/>
              </w:rPr>
            </w:pPr>
            <w:r w:rsidRPr="00083B85">
              <w:rPr>
                <w:color w:val="000000"/>
                <w:sz w:val="20"/>
                <w:szCs w:val="20"/>
              </w:rPr>
              <w:t>4 interventions</w:t>
            </w:r>
          </w:p>
        </w:tc>
        <w:tc>
          <w:tcPr>
            <w:tcW w:w="990" w:type="dxa"/>
            <w:tcBorders>
              <w:top w:val="nil"/>
              <w:bottom w:val="single" w:sz="8" w:space="0" w:color="auto"/>
            </w:tcBorders>
            <w:shd w:val="clear" w:color="auto" w:fill="auto"/>
          </w:tcPr>
          <w:p w:rsidR="00791B46" w:rsidRPr="00083B85" w:rsidRDefault="00791B46" w:rsidP="00B46D45">
            <w:pPr>
              <w:spacing w:after="0" w:line="240" w:lineRule="auto"/>
              <w:jc w:val="center"/>
              <w:rPr>
                <w:sz w:val="20"/>
                <w:szCs w:val="20"/>
              </w:rPr>
            </w:pPr>
            <w:r w:rsidRPr="00083B85">
              <w:rPr>
                <w:sz w:val="20"/>
                <w:szCs w:val="20"/>
              </w:rPr>
              <w:t>42 (22)</w:t>
            </w:r>
          </w:p>
          <w:p w:rsidR="00791B46" w:rsidRPr="00083B85" w:rsidRDefault="00791B46" w:rsidP="00B46D45">
            <w:pPr>
              <w:spacing w:after="0" w:line="240" w:lineRule="auto"/>
              <w:jc w:val="center"/>
              <w:rPr>
                <w:sz w:val="20"/>
                <w:szCs w:val="20"/>
              </w:rPr>
            </w:pPr>
            <w:r w:rsidRPr="00083B85">
              <w:rPr>
                <w:sz w:val="20"/>
                <w:szCs w:val="20"/>
              </w:rPr>
              <w:t>34 (18)</w:t>
            </w:r>
          </w:p>
          <w:p w:rsidR="00791B46" w:rsidRPr="00083B85" w:rsidRDefault="00791B46" w:rsidP="00B46D45">
            <w:pPr>
              <w:spacing w:after="0" w:line="240" w:lineRule="auto"/>
              <w:jc w:val="center"/>
              <w:rPr>
                <w:sz w:val="20"/>
                <w:szCs w:val="20"/>
              </w:rPr>
            </w:pPr>
            <w:r w:rsidRPr="00083B85">
              <w:rPr>
                <w:sz w:val="20"/>
                <w:szCs w:val="20"/>
              </w:rPr>
              <w:t>6 (3)</w:t>
            </w:r>
          </w:p>
          <w:p w:rsidR="00791B46" w:rsidRPr="00083B85" w:rsidRDefault="00791B46" w:rsidP="00B46D45">
            <w:pPr>
              <w:spacing w:after="0" w:line="240" w:lineRule="auto"/>
              <w:jc w:val="center"/>
              <w:rPr>
                <w:sz w:val="20"/>
                <w:szCs w:val="20"/>
              </w:rPr>
            </w:pPr>
            <w:r w:rsidRPr="00083B85">
              <w:rPr>
                <w:sz w:val="20"/>
                <w:szCs w:val="20"/>
              </w:rPr>
              <w:t>2 (1)</w:t>
            </w:r>
          </w:p>
          <w:p w:rsidR="00791B46" w:rsidRPr="00083B85" w:rsidRDefault="00791B46" w:rsidP="00B46D45">
            <w:pPr>
              <w:spacing w:after="0" w:line="240" w:lineRule="auto"/>
              <w:jc w:val="center"/>
              <w:rPr>
                <w:sz w:val="20"/>
                <w:szCs w:val="20"/>
              </w:rPr>
            </w:pPr>
            <w:r w:rsidRPr="00083B85">
              <w:rPr>
                <w:sz w:val="20"/>
                <w:szCs w:val="20"/>
              </w:rPr>
              <w:t>0</w:t>
            </w:r>
          </w:p>
        </w:tc>
        <w:tc>
          <w:tcPr>
            <w:tcW w:w="900" w:type="dxa"/>
            <w:tcBorders>
              <w:top w:val="nil"/>
              <w:bottom w:val="single" w:sz="8" w:space="0" w:color="auto"/>
            </w:tcBorders>
            <w:shd w:val="clear" w:color="auto" w:fill="auto"/>
          </w:tcPr>
          <w:p w:rsidR="00791B46" w:rsidRPr="00083B85" w:rsidRDefault="00791B46" w:rsidP="00B46D45">
            <w:pPr>
              <w:spacing w:after="0" w:line="240" w:lineRule="auto"/>
              <w:jc w:val="center"/>
              <w:rPr>
                <w:sz w:val="20"/>
                <w:szCs w:val="20"/>
              </w:rPr>
            </w:pPr>
            <w:r w:rsidRPr="00083B85">
              <w:rPr>
                <w:sz w:val="20"/>
                <w:szCs w:val="20"/>
              </w:rPr>
              <w:t>43 (22)</w:t>
            </w:r>
          </w:p>
          <w:p w:rsidR="00791B46" w:rsidRPr="00083B85" w:rsidRDefault="00791B46" w:rsidP="00B46D45">
            <w:pPr>
              <w:spacing w:after="0" w:line="240" w:lineRule="auto"/>
              <w:jc w:val="center"/>
              <w:rPr>
                <w:sz w:val="20"/>
                <w:szCs w:val="20"/>
              </w:rPr>
            </w:pPr>
            <w:r w:rsidRPr="00083B85">
              <w:rPr>
                <w:sz w:val="20"/>
                <w:szCs w:val="20"/>
              </w:rPr>
              <w:t>36 (19)</w:t>
            </w:r>
          </w:p>
          <w:p w:rsidR="00791B46" w:rsidRPr="00083B85" w:rsidRDefault="00791B46" w:rsidP="00B46D45">
            <w:pPr>
              <w:spacing w:after="0" w:line="240" w:lineRule="auto"/>
              <w:jc w:val="center"/>
              <w:rPr>
                <w:sz w:val="20"/>
                <w:szCs w:val="20"/>
              </w:rPr>
            </w:pPr>
            <w:r w:rsidRPr="00083B85">
              <w:rPr>
                <w:sz w:val="20"/>
                <w:szCs w:val="20"/>
              </w:rPr>
              <w:t>3 (2)</w:t>
            </w:r>
          </w:p>
          <w:p w:rsidR="00791B46" w:rsidRPr="00083B85" w:rsidRDefault="00791B46" w:rsidP="00B46D45">
            <w:pPr>
              <w:spacing w:after="0" w:line="240" w:lineRule="auto"/>
              <w:jc w:val="center"/>
              <w:rPr>
                <w:sz w:val="20"/>
                <w:szCs w:val="20"/>
              </w:rPr>
            </w:pPr>
            <w:r w:rsidRPr="00083B85">
              <w:rPr>
                <w:sz w:val="20"/>
                <w:szCs w:val="20"/>
              </w:rPr>
              <w:t>3 (2)</w:t>
            </w:r>
          </w:p>
          <w:p w:rsidR="00791B46" w:rsidRPr="00083B85" w:rsidRDefault="00791B46" w:rsidP="00B46D45">
            <w:pPr>
              <w:spacing w:after="0" w:line="240" w:lineRule="auto"/>
              <w:jc w:val="center"/>
              <w:rPr>
                <w:sz w:val="20"/>
                <w:szCs w:val="20"/>
              </w:rPr>
            </w:pPr>
            <w:r w:rsidRPr="00083B85">
              <w:rPr>
                <w:sz w:val="20"/>
                <w:szCs w:val="20"/>
              </w:rPr>
              <w:t>1 (1)</w:t>
            </w:r>
          </w:p>
        </w:tc>
        <w:tc>
          <w:tcPr>
            <w:tcW w:w="1800" w:type="dxa"/>
            <w:tcBorders>
              <w:top w:val="nil"/>
              <w:bottom w:val="single" w:sz="8" w:space="0" w:color="auto"/>
            </w:tcBorders>
          </w:tcPr>
          <w:p w:rsidR="00791B46" w:rsidRPr="00083B85" w:rsidRDefault="00791B46" w:rsidP="00B46D45">
            <w:pPr>
              <w:spacing w:after="0" w:line="240" w:lineRule="auto"/>
              <w:jc w:val="center"/>
              <w:rPr>
                <w:sz w:val="20"/>
                <w:szCs w:val="20"/>
              </w:rPr>
            </w:pPr>
            <w:r w:rsidRPr="00083B85">
              <w:rPr>
                <w:sz w:val="20"/>
                <w:szCs w:val="20"/>
              </w:rPr>
              <w:t>0.98 (0.67, 1.42)</w:t>
            </w:r>
          </w:p>
        </w:tc>
        <w:tc>
          <w:tcPr>
            <w:tcW w:w="930" w:type="dxa"/>
            <w:tcBorders>
              <w:top w:val="nil"/>
              <w:bottom w:val="single" w:sz="8" w:space="0" w:color="auto"/>
            </w:tcBorders>
            <w:shd w:val="clear" w:color="auto" w:fill="auto"/>
          </w:tcPr>
          <w:p w:rsidR="00791B46" w:rsidRPr="00083B85" w:rsidRDefault="00791B46" w:rsidP="00B46D45">
            <w:pPr>
              <w:spacing w:after="0" w:line="240" w:lineRule="auto"/>
              <w:jc w:val="center"/>
              <w:rPr>
                <w:sz w:val="20"/>
                <w:szCs w:val="20"/>
              </w:rPr>
            </w:pPr>
            <w:r w:rsidRPr="00083B85">
              <w:rPr>
                <w:sz w:val="20"/>
                <w:szCs w:val="20"/>
              </w:rPr>
              <w:t>0.12</w:t>
            </w:r>
          </w:p>
        </w:tc>
      </w:tr>
    </w:tbl>
    <w:p w:rsidR="00791B46" w:rsidRPr="00083B85" w:rsidRDefault="00791B46" w:rsidP="00791B46">
      <w:pPr>
        <w:spacing w:after="0" w:line="240" w:lineRule="auto"/>
        <w:rPr>
          <w:color w:val="000000"/>
          <w:sz w:val="20"/>
          <w:szCs w:val="20"/>
        </w:rPr>
      </w:pPr>
      <w:r w:rsidRPr="00083B85">
        <w:rPr>
          <w:color w:val="000000"/>
          <w:sz w:val="20"/>
          <w:szCs w:val="20"/>
        </w:rPr>
        <w:t>Abbreviations:  AVF – arteriovenous fistula; CI – confidence interval; n – number.</w:t>
      </w:r>
    </w:p>
    <w:p w:rsidR="00791B46" w:rsidRPr="00083B85" w:rsidRDefault="00791B46" w:rsidP="00791B46">
      <w:pPr>
        <w:spacing w:after="0" w:line="240" w:lineRule="auto"/>
        <w:rPr>
          <w:sz w:val="20"/>
          <w:szCs w:val="20"/>
        </w:rPr>
      </w:pPr>
      <w:r w:rsidRPr="00083B85">
        <w:rPr>
          <w:sz w:val="20"/>
          <w:szCs w:val="20"/>
          <w:vertAlign w:val="superscript"/>
        </w:rPr>
        <w:t>a</w:t>
      </w:r>
      <w:r w:rsidRPr="00083B85">
        <w:rPr>
          <w:sz w:val="20"/>
          <w:szCs w:val="20"/>
        </w:rPr>
        <w:t>Surgical or radiological revision or dilatation of the AVF from or proximal to the anastomosis to the ipsilateral central vein, dilation of central venous stenosis, ligation of tributaries, superficialisation of AVF, thrombolysis or thrombectomy, ligation of fistula, salvage by distal reconstruction and interval ligation, others.</w:t>
      </w:r>
    </w:p>
    <w:p w:rsidR="00791B46" w:rsidRPr="00083B85" w:rsidRDefault="00791B46" w:rsidP="00791B46">
      <w:pPr>
        <w:spacing w:after="0" w:line="240" w:lineRule="auto"/>
        <w:rPr>
          <w:sz w:val="20"/>
          <w:szCs w:val="20"/>
        </w:rPr>
      </w:pPr>
      <w:r w:rsidRPr="00083B85">
        <w:rPr>
          <w:sz w:val="20"/>
          <w:szCs w:val="20"/>
          <w:vertAlign w:val="superscript"/>
        </w:rPr>
        <w:t>b</w:t>
      </w:r>
      <w:r w:rsidRPr="00083B85">
        <w:rPr>
          <w:sz w:val="20"/>
          <w:szCs w:val="20"/>
        </w:rPr>
        <w:t xml:space="preserve">Thrombolysis or thrombectomy. </w:t>
      </w:r>
    </w:p>
    <w:p w:rsidR="00791B46" w:rsidRPr="00083B85" w:rsidRDefault="00791B46" w:rsidP="00791B46">
      <w:pPr>
        <w:spacing w:after="0" w:line="240" w:lineRule="auto"/>
        <w:rPr>
          <w:sz w:val="20"/>
          <w:szCs w:val="20"/>
        </w:rPr>
      </w:pPr>
      <w:r w:rsidRPr="00083B85">
        <w:rPr>
          <w:sz w:val="20"/>
          <w:szCs w:val="20"/>
          <w:vertAlign w:val="superscript"/>
        </w:rPr>
        <w:t>a</w:t>
      </w:r>
      <w:r w:rsidRPr="00083B85">
        <w:rPr>
          <w:sz w:val="20"/>
          <w:szCs w:val="20"/>
        </w:rPr>
        <w:t>Surgical or radiological revision or dilatation of the AVF from or proximal to the anastomosis to the ipsilateral central vein, dilation of central venous stenosis, ligation of tributaries, superficialisation of AVF, ligation of fistula or salvage by distal reconstruction and interval ligation.</w:t>
      </w:r>
    </w:p>
    <w:p w:rsidR="00791B46" w:rsidRPr="00083B85" w:rsidRDefault="00791B46" w:rsidP="00791B46">
      <w:pPr>
        <w:spacing w:line="480" w:lineRule="auto"/>
        <w:jc w:val="both"/>
        <w:rPr>
          <w:b/>
          <w:color w:val="000000"/>
          <w:sz w:val="24"/>
          <w:szCs w:val="24"/>
        </w:rPr>
      </w:pPr>
      <w:r w:rsidRPr="00083B85">
        <w:rPr>
          <w:color w:val="000000"/>
          <w:sz w:val="20"/>
          <w:szCs w:val="20"/>
          <w:vertAlign w:val="superscript"/>
        </w:rPr>
        <w:t>d</w:t>
      </w:r>
      <w:r w:rsidRPr="00083B85">
        <w:rPr>
          <w:sz w:val="20"/>
          <w:szCs w:val="20"/>
        </w:rPr>
        <w:t>Adjusted for differences in aspirin use (no aspirin, randomized to aspirin, open-label aspirin).</w:t>
      </w:r>
    </w:p>
    <w:p w:rsidR="001A6590" w:rsidRDefault="00791B46">
      <w:bookmarkStart w:id="0" w:name="_GoBack"/>
      <w:bookmarkEnd w:id="0"/>
    </w:p>
    <w:sectPr w:rsidR="001A659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38779C"/>
    <w:multiLevelType w:val="hybridMultilevel"/>
    <w:tmpl w:val="EDC65FDE"/>
    <w:lvl w:ilvl="0" w:tplc="46D6FD7A">
      <w:numFmt w:val="bullet"/>
      <w:lvlText w:val="-"/>
      <w:lvlJc w:val="left"/>
      <w:pPr>
        <w:ind w:left="720"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B46"/>
    <w:rsid w:val="000179A6"/>
    <w:rsid w:val="002D4F69"/>
    <w:rsid w:val="00365EEC"/>
    <w:rsid w:val="004029F4"/>
    <w:rsid w:val="00781D3E"/>
    <w:rsid w:val="00791B46"/>
    <w:rsid w:val="00AE0FCB"/>
    <w:rsid w:val="00BC29B3"/>
    <w:rsid w:val="00D30AEC"/>
    <w:rsid w:val="00DC718C"/>
    <w:rsid w:val="00ED3124"/>
    <w:rsid w:val="00FD2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92063-5942-4AB6-AD33-2CBE13538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1B4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Viecelli</dc:creator>
  <cp:keywords/>
  <dc:description/>
  <cp:lastModifiedBy>Andrea Viecelli</cp:lastModifiedBy>
  <cp:revision>1</cp:revision>
  <dcterms:created xsi:type="dcterms:W3CDTF">2019-02-24T22:42:00Z</dcterms:created>
  <dcterms:modified xsi:type="dcterms:W3CDTF">2019-02-24T22:42:00Z</dcterms:modified>
</cp:coreProperties>
</file>