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309"/>
        <w:gridCol w:w="1432"/>
        <w:gridCol w:w="309"/>
        <w:gridCol w:w="1432"/>
        <w:gridCol w:w="309"/>
        <w:gridCol w:w="1431"/>
      </w:tblGrid>
      <w:tr w:rsidR="009F5142" w:rsidRPr="009F5142" w:rsidTr="009F5142"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5142" w:rsidRDefault="009F5142" w:rsidP="009F514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5142">
              <w:rPr>
                <w:rFonts w:ascii="Times New Roman" w:hAnsi="Times New Roman" w:cs="Times New Roman"/>
                <w:b/>
                <w:sz w:val="24"/>
                <w:szCs w:val="24"/>
              </w:rPr>
              <w:t>Supplementary</w:t>
            </w:r>
            <w:proofErr w:type="spellEnd"/>
            <w:r w:rsidRPr="009F5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Table 2.</w:t>
            </w:r>
            <w:r w:rsidRPr="009F5142">
              <w:rPr>
                <w:rFonts w:ascii="Times New Roman" w:hAnsi="Times New Roman" w:cs="Times New Roman"/>
                <w:sz w:val="24"/>
                <w:szCs w:val="24"/>
              </w:rPr>
              <w:t xml:space="preserve"> CAVI </w:t>
            </w:r>
            <w:proofErr w:type="spellStart"/>
            <w:r w:rsidRPr="009F5142">
              <w:rPr>
                <w:rFonts w:ascii="Times New Roman" w:hAnsi="Times New Roman" w:cs="Times New Roman"/>
                <w:sz w:val="24"/>
                <w:szCs w:val="24"/>
              </w:rPr>
              <w:t>correlations</w:t>
            </w:r>
            <w:proofErr w:type="spellEnd"/>
            <w:r w:rsidRPr="009F5142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9F5142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9F5142">
              <w:rPr>
                <w:rFonts w:ascii="Times New Roman" w:hAnsi="Times New Roman" w:cs="Times New Roman"/>
                <w:sz w:val="24"/>
                <w:szCs w:val="24"/>
              </w:rPr>
              <w:t xml:space="preserve"> RA enalapril </w:t>
            </w:r>
            <w:proofErr w:type="spellStart"/>
            <w:r w:rsidRPr="009F5142">
              <w:rPr>
                <w:rFonts w:ascii="Times New Roman" w:hAnsi="Times New Roman" w:cs="Times New Roman"/>
                <w:sz w:val="24"/>
                <w:szCs w:val="24"/>
              </w:rPr>
              <w:t>intervention</w:t>
            </w:r>
            <w:proofErr w:type="spellEnd"/>
            <w:r w:rsidRPr="009F5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5142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proofErr w:type="spellEnd"/>
            <w:r w:rsidRPr="009F5142">
              <w:rPr>
                <w:rFonts w:ascii="Times New Roman" w:hAnsi="Times New Roman" w:cs="Times New Roman"/>
              </w:rPr>
              <w:t>.</w:t>
            </w:r>
          </w:p>
          <w:p w:rsidR="009F5142" w:rsidRPr="009F5142" w:rsidRDefault="009F5142" w:rsidP="009F514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9F5142" w:rsidRPr="009F5142" w:rsidTr="009F5142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142" w:rsidRPr="009F5142" w:rsidRDefault="009F5142" w:rsidP="009F514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Baseline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After 12 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Weeks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∆</w:t>
            </w:r>
          </w:p>
        </w:tc>
      </w:tr>
      <w:tr w:rsidR="00D37270" w:rsidRPr="009F5142" w:rsidTr="00D37270">
        <w:tc>
          <w:tcPr>
            <w:tcW w:w="0" w:type="auto"/>
          </w:tcPr>
          <w:p w:rsidR="009F5142" w:rsidRPr="009F5142" w:rsidRDefault="009F5142" w:rsidP="009F514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CAVI*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CAVI**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CAVI***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Age,</w:t>
            </w:r>
            <w:r w:rsidRPr="009F514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years</w:t>
            </w:r>
            <w:proofErr w:type="spellEnd"/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left" w:pos="1658"/>
                <w:tab w:val="left" w:pos="2694"/>
              </w:tabs>
              <w:spacing w:before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0.650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0.718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(0.000)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0.253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(0.243)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BMI,</w:t>
            </w:r>
            <w:r w:rsidRPr="009F514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kg/m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0.138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(0.531)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-0.016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(0.942)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0.019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(0.933)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spacing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Fat</w:t>
            </w:r>
            <w:proofErr w:type="spellEnd"/>
            <w:r w:rsidRPr="009F5142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mass</w:t>
            </w:r>
            <w:proofErr w:type="spellEnd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F514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tabs>
                <w:tab w:val="left" w:pos="1234"/>
              </w:tabs>
              <w:spacing w:before="26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0.134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(0.542)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0.005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(0.980)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0.181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(0.408)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TC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, mg/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left" w:pos="1234"/>
              </w:tabs>
              <w:spacing w:before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-0.090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(0.682)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-0.019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(0.930)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-0.264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(0.223)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TG, mg/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-0.090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(0.684)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-0.171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(0.436)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0.140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(0.523)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HDL-c, mg/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left" w:pos="1658"/>
                <w:tab w:val="left" w:pos="2694"/>
              </w:tabs>
              <w:spacing w:before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-0.132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(0.548)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0.076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(0.729)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-0.407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(0.054)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LDL-c, mg/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-0.002</w:t>
            </w:r>
          </w:p>
          <w:p w:rsidR="009F5142" w:rsidRPr="009F5142" w:rsidRDefault="009F5142" w:rsidP="00D37270">
            <w:pPr>
              <w:pStyle w:val="Textoindependiente"/>
              <w:spacing w:befor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(0.994)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0.148</w:t>
            </w:r>
          </w:p>
          <w:p w:rsidR="009F5142" w:rsidRPr="009F5142" w:rsidRDefault="009F5142" w:rsidP="00D37270">
            <w:pPr>
              <w:pStyle w:val="Textoindependiente"/>
              <w:spacing w:befor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(0.501)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-0.068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(0.758)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spellStart"/>
            <w:r w:rsidRPr="009F5142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Glucose</w:t>
            </w:r>
            <w:proofErr w:type="spellEnd"/>
            <w:r w:rsidRPr="009F5142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 xml:space="preserve">, 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mg/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right" w:pos="2007"/>
              </w:tabs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0.277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(0.201)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-0.048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(0.827)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0.259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(0.233)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Disease</w:t>
            </w:r>
            <w:proofErr w:type="spellEnd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duration</w:t>
            </w:r>
            <w:proofErr w:type="spellEnd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years</w:t>
            </w:r>
            <w:proofErr w:type="spellEnd"/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right" w:pos="2007"/>
              </w:tabs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0.218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(0.318)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0.471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(0.023)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0.253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(0.243)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RF (+), n (%)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right" w:pos="2007"/>
              </w:tabs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-0.235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(0.280)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-0.055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(0.803)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-0.100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(0.651)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α</w:t>
            </w:r>
            <w:r w:rsidRPr="009F5142">
              <w:rPr>
                <w:rFonts w:ascii="Times New Roman" w:hAnsi="Times New Roman" w:cs="Times New Roman"/>
                <w:sz w:val="20"/>
                <w:szCs w:val="20"/>
                <w:lang w:val="en-US" w:bidi="es-ES"/>
              </w:rPr>
              <w:t>CCP</w:t>
            </w:r>
            <w:r w:rsidRPr="009F51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positive </w:t>
            </w:r>
            <w:r w:rsidRPr="009F5142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(+), n (%)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right" w:pos="2007"/>
              </w:tabs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-0.125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(0.589)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-0.088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(0.737)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-0.244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(0.329)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z w:val="20"/>
                <w:szCs w:val="20"/>
                <w:lang w:val="en-US" w:bidi="es-E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α</w:t>
            </w:r>
            <w:r w:rsidRPr="009F5142">
              <w:rPr>
                <w:rFonts w:ascii="Times New Roman" w:hAnsi="Times New Roman" w:cs="Times New Roman"/>
                <w:sz w:val="20"/>
                <w:szCs w:val="20"/>
                <w:lang w:val="en-US" w:bidi="es-ES"/>
              </w:rPr>
              <w:t>CCP</w:t>
            </w:r>
            <w:r w:rsidRPr="009F51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F5142">
              <w:rPr>
                <w:rFonts w:ascii="Times New Roman" w:hAnsi="Times New Roman" w:cs="Times New Roman"/>
                <w:sz w:val="20"/>
                <w:szCs w:val="20"/>
                <w:lang w:val="en-US" w:bidi="es-ES"/>
              </w:rPr>
              <w:t>log</w:t>
            </w:r>
            <w:r w:rsidRPr="009F5142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 w:bidi="es-ES"/>
              </w:rPr>
              <w:t>10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right" w:pos="2007"/>
              </w:tabs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-0.223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(0.332)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-0.008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(0.971)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0.368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(0.101)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CRP,</w:t>
            </w:r>
            <w:r w:rsidRPr="009F514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mg/L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right" w:pos="2007"/>
              </w:tabs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0.146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(0.507)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-0.209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(0.338)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0.227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(0.297)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ESR,</w:t>
            </w:r>
            <w:r w:rsidRPr="009F514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mm/h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right" w:pos="2007"/>
              </w:tabs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0.071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(0.748)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0.133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(0.545)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-0.269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(0.214)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DAS-28</w:t>
            </w:r>
            <w:r w:rsidRPr="009F514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CRP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left" w:pos="1658"/>
                <w:tab w:val="left" w:pos="2694"/>
              </w:tabs>
              <w:spacing w:before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0.118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(0.591)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0.087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(0.692)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-0.302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(0.161)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CDAI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tabs>
                <w:tab w:val="left" w:pos="1658"/>
                <w:tab w:val="left" w:pos="2694"/>
              </w:tabs>
              <w:spacing w:before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0.111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(0.613)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0.000</w:t>
            </w:r>
          </w:p>
          <w:p w:rsidR="009F5142" w:rsidRPr="009F5142" w:rsidRDefault="009F5142" w:rsidP="00D37270">
            <w:pPr>
              <w:pStyle w:val="Textoindependiente"/>
              <w:spacing w:befor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(0.998)</w:t>
            </w:r>
            <w:bookmarkStart w:id="0" w:name="_GoBack"/>
            <w:bookmarkEnd w:id="0"/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-0.316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(0.141)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spacing w:val="-7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SDAI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41"/>
              <w:ind w:left="2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0.214</w:t>
            </w:r>
          </w:p>
          <w:p w:rsidR="009F5142" w:rsidRPr="009F5142" w:rsidRDefault="009F5142" w:rsidP="00D37270">
            <w:pPr>
              <w:pStyle w:val="Textoindependiente"/>
              <w:spacing w:before="41"/>
              <w:ind w:left="2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(0.328)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41"/>
              <w:ind w:left="2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-0.029</w:t>
            </w:r>
          </w:p>
          <w:p w:rsidR="009F5142" w:rsidRPr="009F5142" w:rsidRDefault="009F5142" w:rsidP="00D37270">
            <w:pPr>
              <w:pStyle w:val="Textoindependiente"/>
              <w:spacing w:before="41"/>
              <w:ind w:left="2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(0.897)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-0.084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(0.703)</w:t>
            </w:r>
          </w:p>
        </w:tc>
      </w:tr>
      <w:tr w:rsidR="00D37270" w:rsidRPr="009F5142" w:rsidTr="00D37270">
        <w:tc>
          <w:tcPr>
            <w:tcW w:w="0" w:type="auto"/>
            <w:hideMark/>
          </w:tcPr>
          <w:p w:rsidR="009F5142" w:rsidRPr="009F5142" w:rsidRDefault="009F5142" w:rsidP="009F5142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proofErr w:type="spellStart"/>
            <w:r w:rsidRPr="009F514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pSBP</w:t>
            </w:r>
            <w:proofErr w:type="spellEnd"/>
            <w:r w:rsidRPr="009F514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,</w:t>
            </w:r>
            <w:r w:rsidRPr="009F514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mmHg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0.591</w:t>
            </w:r>
          </w:p>
          <w:p w:rsidR="009F5142" w:rsidRPr="009F5142" w:rsidRDefault="009F5142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(0.003)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0.333</w:t>
            </w:r>
          </w:p>
          <w:p w:rsidR="009F5142" w:rsidRPr="009F5142" w:rsidRDefault="009F5142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(0.121)</w:t>
            </w:r>
          </w:p>
        </w:tc>
        <w:tc>
          <w:tcPr>
            <w:tcW w:w="0" w:type="auto"/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 w:eastAsia="en-US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0.003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(0.988)</w:t>
            </w:r>
          </w:p>
        </w:tc>
      </w:tr>
      <w:tr w:rsidR="00D37270" w:rsidRPr="009F5142" w:rsidTr="00D3727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F5142" w:rsidRPr="009F5142" w:rsidRDefault="009F5142" w:rsidP="009F5142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proofErr w:type="spellStart"/>
            <w:r w:rsidRPr="009F514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pDBP</w:t>
            </w:r>
            <w:proofErr w:type="spellEnd"/>
            <w:r w:rsidRPr="009F514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,</w:t>
            </w:r>
            <w:r w:rsidRPr="009F514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9F5142">
              <w:rPr>
                <w:rFonts w:ascii="Times New Roman" w:hAnsi="Times New Roman" w:cs="Times New Roman"/>
                <w:b/>
                <w:sz w:val="20"/>
                <w:szCs w:val="20"/>
              </w:rPr>
              <w:t>mmHg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5142" w:rsidRPr="009F5142" w:rsidRDefault="009F5142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0.378</w:t>
            </w:r>
          </w:p>
          <w:p w:rsidR="009F5142" w:rsidRPr="009F5142" w:rsidRDefault="009F5142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(0.075)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5142" w:rsidRPr="009F5142" w:rsidRDefault="009F5142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0.076</w:t>
            </w:r>
          </w:p>
          <w:p w:rsidR="009F5142" w:rsidRPr="009F5142" w:rsidRDefault="009F5142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(0.730)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F5142" w:rsidRPr="009F5142" w:rsidRDefault="009F5142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0.293</w:t>
            </w:r>
          </w:p>
          <w:p w:rsidR="009F5142" w:rsidRPr="009F5142" w:rsidRDefault="009F5142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142">
              <w:rPr>
                <w:rFonts w:ascii="Times New Roman" w:hAnsi="Times New Roman" w:cs="Times New Roman"/>
                <w:sz w:val="20"/>
                <w:szCs w:val="20"/>
              </w:rPr>
              <w:t>(0.175)</w:t>
            </w:r>
          </w:p>
        </w:tc>
      </w:tr>
      <w:tr w:rsidR="00D37270" w:rsidRPr="009F5142" w:rsidTr="00D3727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9F5142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proofErr w:type="spellStart"/>
            <w:r w:rsidRPr="00BD67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M</w:t>
            </w:r>
            <w:r w:rsidRPr="00BD67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ethotrexate</w:t>
            </w:r>
            <w:proofErr w:type="spellEnd"/>
            <w:r w:rsidRPr="00BD67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, mg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0.139</w:t>
            </w:r>
          </w:p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(0.560)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0.045</w:t>
            </w:r>
          </w:p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(0.852)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-0.121</w:t>
            </w:r>
          </w:p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(0.610)</w:t>
            </w:r>
          </w:p>
        </w:tc>
      </w:tr>
      <w:tr w:rsidR="00D37270" w:rsidRPr="009F5142" w:rsidTr="00D3727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9F5142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proofErr w:type="spellStart"/>
            <w:r w:rsidRPr="00BD67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S</w:t>
            </w:r>
            <w:r w:rsidRPr="00BD67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ulfasalazine</w:t>
            </w:r>
            <w:proofErr w:type="spellEnd"/>
            <w:r w:rsidRPr="00BD67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, gr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0.088</w:t>
            </w:r>
          </w:p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(0.696)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0.107</w:t>
            </w:r>
          </w:p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(0.635)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-0.033</w:t>
            </w:r>
          </w:p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(0.886)</w:t>
            </w:r>
          </w:p>
        </w:tc>
      </w:tr>
      <w:tr w:rsidR="00D37270" w:rsidRPr="009F5142" w:rsidTr="00D37270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270" w:rsidRPr="00BD67AB" w:rsidRDefault="00D37270" w:rsidP="009F5142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proofErr w:type="spellStart"/>
            <w:r w:rsidRPr="00BD67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C</w:t>
            </w:r>
            <w:r w:rsidRPr="00BD67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loroquine</w:t>
            </w:r>
            <w:proofErr w:type="spellEnd"/>
            <w:r w:rsidRPr="00BD67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, 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-0.079</w:t>
            </w:r>
          </w:p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(0.719)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-0.106</w:t>
            </w:r>
          </w:p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(0.631)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270" w:rsidRPr="00BD67AB" w:rsidRDefault="00D37270" w:rsidP="00D372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0.060</w:t>
            </w:r>
          </w:p>
          <w:p w:rsidR="00D37270" w:rsidRPr="00BD67AB" w:rsidRDefault="00D37270" w:rsidP="00D37270">
            <w:pPr>
              <w:pStyle w:val="Textoindependiente"/>
              <w:spacing w:before="12"/>
              <w:ind w:right="108"/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BD67A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(0.787)</w:t>
            </w:r>
          </w:p>
        </w:tc>
      </w:tr>
    </w:tbl>
    <w:p w:rsidR="009F5142" w:rsidRPr="009F5142" w:rsidRDefault="009F5142" w:rsidP="009F5142">
      <w:pPr>
        <w:pStyle w:val="Textoindependiente"/>
        <w:spacing w:before="12"/>
        <w:ind w:left="0" w:right="108"/>
        <w:jc w:val="both"/>
        <w:rPr>
          <w:rFonts w:ascii="Times New Roman" w:hAnsi="Times New Roman" w:cs="Times New Roman"/>
          <w:sz w:val="22"/>
          <w:szCs w:val="22"/>
          <w:lang w:val="en-US" w:bidi="es-ES"/>
        </w:rPr>
      </w:pPr>
      <w:r w:rsidRPr="009F5142">
        <w:rPr>
          <w:rFonts w:ascii="Times New Roman" w:hAnsi="Times New Roman" w:cs="Times New Roman"/>
          <w:b/>
          <w:spacing w:val="-5"/>
          <w:sz w:val="22"/>
          <w:szCs w:val="22"/>
          <w:lang w:val="en-US"/>
        </w:rPr>
        <w:t xml:space="preserve">CAVI, 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Cardio-Ankle </w:t>
      </w:r>
      <w:r w:rsidRPr="009F5142">
        <w:rPr>
          <w:rFonts w:ascii="Times New Roman" w:hAnsi="Times New Roman" w:cs="Times New Roman"/>
          <w:spacing w:val="-3"/>
          <w:sz w:val="22"/>
          <w:szCs w:val="22"/>
          <w:lang w:val="en-US"/>
        </w:rPr>
        <w:t xml:space="preserve">Vascular 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>Index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; BMI,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 Body mass index;</w:t>
      </w:r>
      <w:r w:rsidRPr="009F5142">
        <w:rPr>
          <w:rFonts w:ascii="Times New Roman" w:hAnsi="Times New Roman" w:cs="Times New Roman"/>
          <w:sz w:val="22"/>
          <w:szCs w:val="22"/>
          <w:lang w:val="es-MX"/>
        </w:rPr>
        <w:t xml:space="preserve">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TC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, total cholesterol;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TG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, triglycerides;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HDL-c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, High density lipoprotein cholesterol;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LDL-c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, Low-density lipoprotein cholesterol;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RF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, rheumatoid factor; </w:t>
      </w:r>
      <w:proofErr w:type="spellStart"/>
      <w:r w:rsidRPr="009F5142">
        <w:rPr>
          <w:rFonts w:ascii="Times New Roman" w:hAnsi="Times New Roman" w:cs="Times New Roman"/>
          <w:b/>
          <w:sz w:val="22"/>
          <w:szCs w:val="22"/>
          <w:lang w:val="en-US" w:bidi="es-ES"/>
        </w:rPr>
        <w:t>aCCP</w:t>
      </w:r>
      <w:proofErr w:type="spellEnd"/>
      <w:r w:rsidRPr="009F5142">
        <w:rPr>
          <w:rFonts w:ascii="Times New Roman" w:hAnsi="Times New Roman" w:cs="Times New Roman"/>
          <w:sz w:val="22"/>
          <w:szCs w:val="22"/>
          <w:lang w:val="en-US"/>
        </w:rPr>
        <w:t>, anti-</w:t>
      </w:r>
      <w:proofErr w:type="spellStart"/>
      <w:r w:rsidRPr="009F5142">
        <w:rPr>
          <w:rFonts w:ascii="Times New Roman" w:hAnsi="Times New Roman" w:cs="Times New Roman"/>
          <w:sz w:val="22"/>
          <w:szCs w:val="22"/>
          <w:lang w:val="en-US"/>
        </w:rPr>
        <w:t>cyclyc</w:t>
      </w:r>
      <w:proofErr w:type="spellEnd"/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 citrullinated peptide antibodies;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CRP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, c-reactive protein; </w:t>
      </w:r>
      <w:r w:rsidRPr="009F5142">
        <w:rPr>
          <w:rFonts w:ascii="Times New Roman" w:hAnsi="Times New Roman" w:cs="Times New Roman"/>
          <w:b/>
          <w:spacing w:val="-10"/>
          <w:sz w:val="22"/>
          <w:szCs w:val="22"/>
          <w:lang w:val="en-US"/>
        </w:rPr>
        <w:t>E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SR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>, Erythrocyte</w:t>
      </w:r>
      <w:r w:rsidRPr="009F5142">
        <w:rPr>
          <w:rFonts w:ascii="Times New Roman" w:hAnsi="Times New Roman" w:cs="Times New Roman"/>
          <w:spacing w:val="-11"/>
          <w:sz w:val="22"/>
          <w:szCs w:val="22"/>
          <w:lang w:val="en-US"/>
        </w:rPr>
        <w:t xml:space="preserve"> 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>sedimentation</w:t>
      </w:r>
      <w:r w:rsidRPr="009F5142">
        <w:rPr>
          <w:rFonts w:ascii="Times New Roman" w:hAnsi="Times New Roman" w:cs="Times New Roman"/>
          <w:spacing w:val="-11"/>
          <w:sz w:val="22"/>
          <w:szCs w:val="22"/>
          <w:lang w:val="en-US"/>
        </w:rPr>
        <w:t xml:space="preserve"> </w:t>
      </w:r>
      <w:r w:rsidRPr="009F5142">
        <w:rPr>
          <w:rFonts w:ascii="Times New Roman" w:hAnsi="Times New Roman" w:cs="Times New Roman"/>
          <w:spacing w:val="-3"/>
          <w:sz w:val="22"/>
          <w:szCs w:val="22"/>
          <w:lang w:val="en-US"/>
        </w:rPr>
        <w:t>rate;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CDAI,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 Clinical disease activity index;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SDAI,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 Simple disease activity</w:t>
      </w:r>
      <w:r w:rsidRPr="009F5142">
        <w:rPr>
          <w:rFonts w:ascii="Times New Roman" w:hAnsi="Times New Roman" w:cs="Times New Roman"/>
          <w:spacing w:val="-9"/>
          <w:sz w:val="22"/>
          <w:szCs w:val="22"/>
          <w:lang w:val="en-US"/>
        </w:rPr>
        <w:t xml:space="preserve"> 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index;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DAS-28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, Disease activity score on </w:t>
      </w:r>
      <w:r w:rsidRPr="009F5142">
        <w:rPr>
          <w:rFonts w:ascii="Times New Roman" w:hAnsi="Times New Roman" w:cs="Times New Roman"/>
          <w:spacing w:val="-7"/>
          <w:sz w:val="22"/>
          <w:szCs w:val="22"/>
          <w:lang w:val="en-US"/>
        </w:rPr>
        <w:t xml:space="preserve">28 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>joints;</w:t>
      </w:r>
      <w:r w:rsidRPr="009F5142">
        <w:rPr>
          <w:rFonts w:ascii="Times New Roman" w:hAnsi="Times New Roman" w:cs="Times New Roman"/>
          <w:spacing w:val="-10"/>
          <w:sz w:val="22"/>
          <w:szCs w:val="22"/>
          <w:lang w:val="en-US"/>
        </w:rPr>
        <w:t xml:space="preserve">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QRISK3-2018%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>, 10-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lastRenderedPageBreak/>
        <w:t xml:space="preserve">year QRISK3 score; </w:t>
      </w:r>
      <w:r w:rsidRPr="009F5142">
        <w:rPr>
          <w:rFonts w:ascii="Times New Roman" w:hAnsi="Times New Roman" w:cs="Times New Roman"/>
          <w:b/>
          <w:sz w:val="22"/>
          <w:szCs w:val="22"/>
          <w:lang w:val="en-US"/>
        </w:rPr>
        <w:t>QRISK3-2018RR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>,</w:t>
      </w:r>
      <w:r w:rsidRPr="009F5142">
        <w:rPr>
          <w:rFonts w:ascii="Times New Roman" w:hAnsi="Times New Roman" w:cs="Times New Roman"/>
          <w:spacing w:val="-14"/>
          <w:sz w:val="22"/>
          <w:szCs w:val="22"/>
          <w:lang w:val="en-US"/>
        </w:rPr>
        <w:t xml:space="preserve"> 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>QRISK3</w:t>
      </w:r>
      <w:r w:rsidRPr="009F5142">
        <w:rPr>
          <w:rFonts w:ascii="Times New Roman" w:hAnsi="Times New Roman" w:cs="Times New Roman"/>
          <w:spacing w:val="-13"/>
          <w:sz w:val="22"/>
          <w:szCs w:val="22"/>
          <w:lang w:val="en-US"/>
        </w:rPr>
        <w:t xml:space="preserve"> 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>relative</w:t>
      </w:r>
      <w:r w:rsidRPr="009F5142">
        <w:rPr>
          <w:rFonts w:ascii="Times New Roman" w:hAnsi="Times New Roman" w:cs="Times New Roman"/>
          <w:spacing w:val="-13"/>
          <w:sz w:val="22"/>
          <w:szCs w:val="22"/>
          <w:lang w:val="en-US"/>
        </w:rPr>
        <w:t xml:space="preserve"> 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risk. </w:t>
      </w:r>
      <w:proofErr w:type="spellStart"/>
      <w:r w:rsidRPr="009F5142">
        <w:rPr>
          <w:rFonts w:ascii="Times New Roman" w:hAnsi="Times New Roman" w:cs="Times New Roman"/>
          <w:b/>
          <w:spacing w:val="-5"/>
          <w:sz w:val="22"/>
          <w:szCs w:val="22"/>
          <w:lang w:val="en-US"/>
        </w:rPr>
        <w:t>pSBP</w:t>
      </w:r>
      <w:proofErr w:type="spellEnd"/>
      <w:r w:rsidRPr="009F5142">
        <w:rPr>
          <w:rFonts w:ascii="Times New Roman" w:hAnsi="Times New Roman" w:cs="Times New Roman"/>
          <w:b/>
          <w:spacing w:val="-5"/>
          <w:sz w:val="22"/>
          <w:szCs w:val="22"/>
          <w:lang w:val="en-US"/>
        </w:rPr>
        <w:t xml:space="preserve">, </w:t>
      </w:r>
      <w:r w:rsidRPr="009F5142">
        <w:rPr>
          <w:rFonts w:ascii="Times New Roman" w:hAnsi="Times New Roman" w:cs="Times New Roman"/>
          <w:spacing w:val="-5"/>
          <w:sz w:val="22"/>
          <w:szCs w:val="22"/>
          <w:lang w:val="en-US"/>
        </w:rPr>
        <w:t>peripheral systolic blood pressure</w:t>
      </w:r>
      <w:r w:rsidRPr="009F5142">
        <w:rPr>
          <w:rFonts w:ascii="Times New Roman" w:hAnsi="Times New Roman" w:cs="Times New Roman"/>
          <w:b/>
          <w:spacing w:val="-5"/>
          <w:sz w:val="22"/>
          <w:szCs w:val="22"/>
          <w:lang w:val="en-US"/>
        </w:rPr>
        <w:t xml:space="preserve">; </w:t>
      </w:r>
      <w:proofErr w:type="spellStart"/>
      <w:r w:rsidRPr="009F5142">
        <w:rPr>
          <w:rFonts w:ascii="Times New Roman" w:hAnsi="Times New Roman" w:cs="Times New Roman"/>
          <w:b/>
          <w:spacing w:val="-5"/>
          <w:sz w:val="22"/>
          <w:szCs w:val="22"/>
          <w:lang w:val="en-US"/>
        </w:rPr>
        <w:t>pDBP</w:t>
      </w:r>
      <w:proofErr w:type="spellEnd"/>
      <w:r w:rsidRPr="009F5142">
        <w:rPr>
          <w:rFonts w:ascii="Times New Roman" w:hAnsi="Times New Roman" w:cs="Times New Roman"/>
          <w:b/>
          <w:spacing w:val="-5"/>
          <w:sz w:val="22"/>
          <w:szCs w:val="22"/>
          <w:lang w:val="en-US"/>
        </w:rPr>
        <w:t xml:space="preserve">, </w:t>
      </w:r>
      <w:r w:rsidRPr="009F5142">
        <w:rPr>
          <w:rFonts w:ascii="Times New Roman" w:hAnsi="Times New Roman" w:cs="Times New Roman"/>
          <w:spacing w:val="-5"/>
          <w:sz w:val="22"/>
          <w:szCs w:val="22"/>
          <w:lang w:val="en-US"/>
        </w:rPr>
        <w:t>peripheral diastolic blood pressure</w:t>
      </w:r>
      <w:r w:rsidRPr="009F5142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Pr="009F5142">
        <w:rPr>
          <w:rFonts w:ascii="Times New Roman" w:hAnsi="Times New Roman" w:cs="Times New Roman"/>
          <w:sz w:val="22"/>
          <w:szCs w:val="22"/>
          <w:lang w:val="en-US" w:bidi="es-ES"/>
        </w:rPr>
        <w:t>*Correlation with clinical parameters at baseline, **Correlation with clinical parameters after 12 weeks of intervention, ***Correlation with delta of clinical parameters.</w:t>
      </w:r>
    </w:p>
    <w:sectPr w:rsidR="009F5142" w:rsidRPr="009F5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42"/>
    <w:rsid w:val="008B6107"/>
    <w:rsid w:val="009F5142"/>
    <w:rsid w:val="00B20F31"/>
    <w:rsid w:val="00BD67AB"/>
    <w:rsid w:val="00D3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357C5"/>
  <w15:chartTrackingRefBased/>
  <w15:docId w15:val="{287A8D2E-FD6F-4E58-88E2-94A9CF2F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142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unhideWhenUsed/>
    <w:qFormat/>
    <w:rsid w:val="009F5142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F5142"/>
    <w:rPr>
      <w:rFonts w:ascii="Arial" w:eastAsia="Times New Roman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9F51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De Jesus Perez Vazquez</dc:creator>
  <cp:keywords/>
  <dc:description/>
  <cp:lastModifiedBy>Felipe De Jesus Perez Vazquez</cp:lastModifiedBy>
  <cp:revision>5</cp:revision>
  <dcterms:created xsi:type="dcterms:W3CDTF">2019-08-27T17:09:00Z</dcterms:created>
  <dcterms:modified xsi:type="dcterms:W3CDTF">2019-12-11T19:44:00Z</dcterms:modified>
</cp:coreProperties>
</file>