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3B" w:rsidRDefault="00A92A3B">
      <w:pPr>
        <w:pStyle w:val="BodyA"/>
        <w:rPr>
          <w:sz w:val="20"/>
          <w:szCs w:val="20"/>
        </w:rPr>
      </w:pPr>
    </w:p>
    <w:tbl>
      <w:tblPr>
        <w:tblStyle w:val="TableNormal"/>
        <w:tblW w:w="1295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266"/>
        <w:gridCol w:w="9684"/>
      </w:tblGrid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 w:rsidP="00E97575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  <w:lang w:val="zh-TW" w:eastAsia="zh-TW"/>
              </w:rPr>
              <w:t xml:space="preserve">Appendix </w:t>
            </w:r>
            <w:r w:rsidR="00E97575">
              <w:rPr>
                <w:rFonts w:ascii="Times" w:hAnsi="Times" w:hint="eastAsia"/>
                <w:b/>
                <w:bCs/>
                <w:sz w:val="20"/>
                <w:szCs w:val="20"/>
                <w:lang w:val="zh-TW"/>
              </w:rPr>
              <w:t>B</w:t>
            </w:r>
            <w:r>
              <w:rPr>
                <w:rFonts w:ascii="Times" w:hAnsi="Times"/>
                <w:b/>
                <w:bCs/>
                <w:sz w:val="20"/>
                <w:szCs w:val="20"/>
              </w:rPr>
              <w:t>: Major National Climate Policies in China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735" w:type="dxa"/>
            </w:tcMar>
          </w:tcPr>
          <w:p w:rsidR="00A92A3B" w:rsidRDefault="00755A3F">
            <w:pPr>
              <w:pStyle w:val="BodyA"/>
              <w:ind w:right="655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Key policies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Details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</w:rPr>
              <w:t>Economy wide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lang w:val="zh-TW" w:eastAsia="zh-TW"/>
              </w:rPr>
              <w:t xml:space="preserve">1. </w:t>
            </w:r>
            <w:r>
              <w:rPr>
                <w:rFonts w:ascii="Times" w:hAnsi="Times"/>
                <w:sz w:val="20"/>
                <w:szCs w:val="20"/>
              </w:rPr>
              <w:t>S&amp;T on Climate Change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outlineLvl w:val="0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Increase R&amp;D and science capacity in climate change fields.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lang w:val="zh-TW" w:eastAsia="zh-TW"/>
              </w:rPr>
              <w:t xml:space="preserve">2. </w:t>
            </w:r>
            <w:r>
              <w:rPr>
                <w:rFonts w:ascii="Times" w:hAnsi="Times"/>
                <w:sz w:val="20"/>
                <w:szCs w:val="20"/>
              </w:rPr>
              <w:t>Energy-intensity target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15% below 2015 levels by 2020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lang w:val="zh-TW" w:eastAsia="zh-TW"/>
              </w:rPr>
              <w:t xml:space="preserve">3. </w:t>
            </w:r>
            <w:r>
              <w:rPr>
                <w:rFonts w:ascii="Times" w:hAnsi="Times"/>
                <w:sz w:val="20"/>
                <w:szCs w:val="20"/>
              </w:rPr>
              <w:t>Carbon-intensity</w:t>
            </w:r>
            <w:r>
              <w:rPr>
                <w:rFonts w:ascii="Times" w:hAnsi="Times"/>
                <w:sz w:val="20"/>
                <w:szCs w:val="20"/>
              </w:rPr>
              <w:t xml:space="preserve"> target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18% below 2015 levels by 2020</w:t>
            </w:r>
            <w:r>
              <w:rPr>
                <w:rFonts w:ascii="Arial Unicode MS" w:hAnsi="Arial Unicode MS" w:hint="eastAsia"/>
                <w:sz w:val="20"/>
                <w:szCs w:val="20"/>
                <w:lang w:val="zh-TW" w:eastAsia="zh-TW"/>
              </w:rPr>
              <w:t>；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60-65% below 2005 by 2030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B"/>
              <w:ind w:right="31"/>
            </w:pPr>
            <w:r>
              <w:rPr>
                <w:rFonts w:ascii="Times" w:hAnsi="Times"/>
              </w:rPr>
              <w:t xml:space="preserve">4.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National Emission Trading Sy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s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fem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outlineLvl w:val="0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Upgrading the regional ETS system to a national ETS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Transportation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5. Vehicle efficiency standards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Light duty vehicle efficiency standards (47 mpg or 5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L/100 km) (MIIT)</w:t>
            </w:r>
          </w:p>
          <w:p w:rsidR="00A92A3B" w:rsidRDefault="00755A3F">
            <w:pPr>
              <w:pStyle w:val="BodyA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Heavy duty vehicle efficiency standards (MIIT)</w:t>
            </w:r>
          </w:p>
          <w:p w:rsidR="00A92A3B" w:rsidRDefault="00755A3F">
            <w:pPr>
              <w:pStyle w:val="BodyA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Commercial vehicle efficiency standards (MIIT)</w:t>
            </w:r>
          </w:p>
          <w:p w:rsidR="00A92A3B" w:rsidRDefault="00755A3F">
            <w:pPr>
              <w:pStyle w:val="BodyB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Encouraging small-displacement energy saving cars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6. Guiding Opinions on Establishing s Low-Carbon Transport System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  <w:numPr>
                <w:ilvl w:val="0"/>
                <w:numId w:val="1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1) O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perating vehicles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: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Energy consumption per unit of transport volumeshould fall 10% by 2015 and 16% by 2020 from 2005 levels; CO2 emissions per unit of transport volume should fall 11% by 2015 and 18% by 2020 from 2005 levels.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2)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Operating ships: Energy consumption per unit of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transport volume should fall 15% by 2015 and 20% by 2020 from 2005 levels; CO2 emissions per unit of transport volume should fall 16% by 2015 and 22% by 2020.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3)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Urban transport per person: Energy consumption should fall 18% by 2015 and 26% by 2020 from 2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005 levels; CO2 emissions intensity should fall by 20% by 2015 and 30% by 2020 from 2005 levels.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7. Promoting the Use of New Energy Vehicles with purchase subsidies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1) EV cars: 25,000-55,000RMB; 2)Passenger car: 120,000-500,000RMB; 3) EV or Hyd carriage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trucks: 1800/KWH; 4) fuel EV: 200,000-500,000 per car; 5) reduce subsidies by 20% in 2017-2018 based on that in 2016; 2019-2020, reduced by 40% based on 2016.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sz w:val="20"/>
                <w:szCs w:val="20"/>
              </w:rPr>
              <w:lastRenderedPageBreak/>
              <w:t xml:space="preserve">Power </w:t>
            </w:r>
          </w:p>
        </w:tc>
        <w:tc>
          <w:tcPr>
            <w:tcW w:w="96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A92A3B"/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8. Phasing out small and outdated coal-power capacity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Phase out small (&lt;50 MW),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inefficient coal plants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;</w:t>
            </w:r>
          </w:p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13th FYP for Electricity Sector Pledges to remove 20GW outdated coal-power capacity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t xml:space="preserve">9. </w:t>
            </w:r>
            <w:r>
              <w:rPr>
                <w:rFonts w:ascii="Times" w:hAnsi="Times"/>
                <w:sz w:val="20"/>
                <w:szCs w:val="20"/>
              </w:rPr>
              <w:t xml:space="preserve">Coal consumption cap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Coal consumption cap of 4.1 Gt by 2020 and the share of coal in primary energy consumption should be no more than 58% by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2020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sz w:val="20"/>
                <w:szCs w:val="20"/>
              </w:rPr>
              <w:t>10. Energy Efficiency Standards for Coal Power(2014-2020)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outlineLvl w:val="0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Average coal consumption of new coal-fired power plants should not be more than 300g of standard coal per kWh and the average coal consumption of existing upgraded coal-fired power plants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should not be more than 310g of standard coal per kWh[Average standard coal equivalent consumption per kWh for coal power generation was 323 g/kWh in 2013]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sz w:val="20"/>
                <w:szCs w:val="20"/>
              </w:rPr>
              <w:t xml:space="preserve">11.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Resource tax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1) crude oil: 5-10%; 2) natural gas: 5-10%; coal-choking coal 8-20/ton, other coal 0.3-5 per ton, etc.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12. Natural Gas Policy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-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Natural gas consumption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is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8.3~10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% of the primary energy consumption by 2020 (2015:5.9%)</w:t>
            </w:r>
          </w:p>
          <w:p w:rsidR="00A92A3B" w:rsidRDefault="00755A3F">
            <w:pPr>
              <w:pStyle w:val="BodyA"/>
              <w:numPr>
                <w:ilvl w:val="0"/>
                <w:numId w:val="2"/>
              </w:numPr>
              <w:ind w:right="31"/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ubsidy for exploring and utilizing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shale gas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: 0.3 RMB/M3 from 2016-2018; 0.2 RMB/M3 from 2019-2020.</w:t>
            </w:r>
          </w:p>
          <w:p w:rsidR="00A92A3B" w:rsidRDefault="00755A3F">
            <w:pPr>
              <w:pStyle w:val="BodyA"/>
              <w:numPr>
                <w:ilvl w:val="0"/>
                <w:numId w:val="2"/>
              </w:numPr>
              <w:ind w:right="31"/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hale gas industry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defined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as a new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“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strategic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”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industry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, setting general policies for shale gas development.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t xml:space="preserve">13. </w:t>
            </w:r>
            <w:r>
              <w:rPr>
                <w:rFonts w:ascii="Times" w:hAnsi="Times"/>
                <w:sz w:val="20"/>
                <w:szCs w:val="20"/>
              </w:rPr>
              <w:t xml:space="preserve">Non-fossil energy consumption as </w:t>
            </w:r>
            <w:r>
              <w:rPr>
                <w:rFonts w:ascii="Times" w:hAnsi="Times"/>
                <w:sz w:val="20"/>
                <w:szCs w:val="20"/>
                <w:lang w:val="zh-TW" w:eastAsia="zh-TW"/>
              </w:rPr>
              <w:t>15%</w:t>
            </w:r>
            <w:r>
              <w:rPr>
                <w:rFonts w:ascii="Times" w:hAnsi="Times"/>
                <w:sz w:val="20"/>
                <w:szCs w:val="20"/>
              </w:rPr>
              <w:t xml:space="preserve"> of total energy consumption by 2020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A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-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Non-fossil energy targets of 210-250 GW for wind, 110-150 GW for solar, 340 GW for hydro, 58 GW for nuclear</w:t>
            </w:r>
          </w:p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-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Mid to Long-Term Development Plan for Nuclear Energy (2011-2020)</w:t>
            </w:r>
            <w:r>
              <w:rPr>
                <w:rFonts w:ascii="Arial Unicode MS" w:hAnsi="Arial Unicode MS" w:hint="eastAsia"/>
                <w:sz w:val="20"/>
                <w:szCs w:val="20"/>
                <w:lang w:val="zh-TW" w:eastAsia="zh-TW"/>
              </w:rPr>
              <w:t>：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nuclear operating capacity amount to 40GW by 2020; nuclear electricity reaches to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260-280 billion kWh per year. The nuclear capacity under construction should be 18GW by the end of 2020.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14. Feed-in-tariffs for renewable ene</w:t>
            </w:r>
            <w:r>
              <w:rPr>
                <w:rFonts w:ascii="Times" w:hAnsi="Times"/>
                <w:sz w:val="20"/>
                <w:szCs w:val="20"/>
              </w:rPr>
              <w:t>r</w:t>
            </w:r>
            <w:r>
              <w:rPr>
                <w:rFonts w:ascii="Times" w:hAnsi="Times"/>
                <w:sz w:val="20"/>
                <w:szCs w:val="20"/>
              </w:rPr>
              <w:t>gy development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W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ind ranging as of 1 Jan 2017 from RMB 0.4/kWh to 0.57/kWh depending on category for onshore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wind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;</w:t>
            </w:r>
          </w:p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O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ffshore wind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: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RMB 0.85 to 0.75/kWh</w:t>
            </w:r>
          </w:p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olar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:</w:t>
            </w:r>
            <w:r>
              <w:rPr>
                <w:rFonts w:ascii="Times" w:hAnsi="Times"/>
                <w:i/>
                <w:iCs/>
                <w:sz w:val="20"/>
                <w:szCs w:val="20"/>
                <w:u w:color="4F4F4F"/>
                <w:shd w:val="clear" w:color="auto" w:fill="FFFFFF"/>
                <w:lang w:val="zh-TW" w:eastAsia="zh-TW"/>
              </w:rPr>
              <w:t>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tarting from 1 Jan 2017, RMB 0.65, 0.75 and 0.85 per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kWh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according to the solar resources zone.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 </w:t>
            </w:r>
          </w:p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D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istributed solar PV remain unchanged and rests at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 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RMB 0.42 per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kWh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.</w:t>
            </w:r>
          </w:p>
          <w:p w:rsidR="00A92A3B" w:rsidRDefault="00755A3F">
            <w:pPr>
              <w:pStyle w:val="BodyA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Feed-in tariff for all renewables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(2012)</w:t>
            </w:r>
          </w:p>
          <w:p w:rsidR="00A92A3B" w:rsidRDefault="00755A3F">
            <w:pPr>
              <w:pStyle w:val="BodyA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- Surcharging 0.00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8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RMB/KWH as RE development fund to support clean energy.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t xml:space="preserve">15. </w:t>
            </w:r>
            <w:r>
              <w:rPr>
                <w:rFonts w:ascii="Times" w:hAnsi="Times"/>
                <w:sz w:val="20"/>
                <w:szCs w:val="20"/>
              </w:rPr>
              <w:t>Green Energy Certificate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P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ower generators should have 9% of their electricity generation coming from non-hydro renewable energy. To achieve this goal, encourage using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renewable energy certificate to trade in ETS system or Energy Saving systems,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lastRenderedPageBreak/>
              <w:t>16. Tax incentives for renewable energy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B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Half Value-added tax for wind and solar power sector. That's charging only 7.5% VAT.</w:t>
            </w:r>
          </w:p>
          <w:p w:rsidR="00A92A3B" w:rsidRDefault="00755A3F">
            <w:pPr>
              <w:pStyle w:val="TableStyle2"/>
            </w:pPr>
            <w:r>
              <w:rPr>
                <w:rFonts w:ascii="Calibri" w:eastAsia="Calibri" w:hAnsi="Calibri" w:cs="Calibri"/>
                <w:i/>
                <w:iCs/>
                <w:lang w:val="zh-TW" w:eastAsia="zh-TW"/>
              </w:rPr>
              <w:t>E</w:t>
            </w:r>
            <w:r>
              <w:rPr>
                <w:rFonts w:ascii="Calibri" w:eastAsia="Calibri" w:hAnsi="Calibri" w:cs="Calibri"/>
                <w:i/>
                <w:iCs/>
              </w:rPr>
              <w:t>xempti</w:t>
            </w:r>
            <w:r>
              <w:rPr>
                <w:rFonts w:ascii="Calibri" w:eastAsia="Calibri" w:hAnsi="Calibri" w:cs="Calibri"/>
                <w:i/>
                <w:iCs/>
                <w:lang w:val="zh-TW" w:eastAsia="zh-TW"/>
              </w:rPr>
              <w:t xml:space="preserve">ng income tax for first three years and half </w:t>
            </w:r>
            <w:r>
              <w:rPr>
                <w:rFonts w:ascii="Calibri" w:eastAsia="Calibri" w:hAnsi="Calibri" w:cs="Calibri"/>
                <w:i/>
                <w:iCs/>
                <w:lang w:val="zh-TW" w:eastAsia="zh-TW"/>
              </w:rPr>
              <w:t>for the second three three years</w:t>
            </w:r>
            <w:r>
              <w:rPr>
                <w:rFonts w:ascii="Calibri" w:eastAsia="Calibri" w:hAnsi="Calibri" w:cs="Calibri"/>
                <w:i/>
                <w:iCs/>
              </w:rPr>
              <w:t xml:space="preserve"> for enterprises engaging in projects involving power stations that use renewable energy, including solar power</w:t>
            </w:r>
            <w:r>
              <w:rPr>
                <w:rFonts w:ascii="Calibri" w:eastAsia="Calibri" w:hAnsi="Calibri" w:cs="Calibri"/>
                <w:i/>
                <w:iCs/>
                <w:lang w:val="zh-TW" w:eastAsia="zh-TW"/>
              </w:rPr>
              <w:t xml:space="preserve"> (2008)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17. Electricity regime reform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Several Guidance on further Deepening Electricity Regime Reform (NO. 9 Doc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ument): fully open DG power market, e.g. solar power, wind power, biomass, etc.; increasing the grid connection for new and renewable energy, energy efficiency projects, etc.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sz w:val="20"/>
                <w:szCs w:val="20"/>
              </w:rPr>
              <w:t xml:space="preserve">18.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Removing Fossil Fuel Subsidies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- China is planning to issue clean time 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schedules as promised in G20 2016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Industrial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t xml:space="preserve">19. </w:t>
            </w:r>
            <w:r>
              <w:rPr>
                <w:rFonts w:ascii="Times" w:hAnsi="Times"/>
                <w:sz w:val="20"/>
                <w:szCs w:val="20"/>
              </w:rPr>
              <w:t xml:space="preserve">Industrial Transformation and Upgrading Plan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52" w:type="dxa"/>
            </w:tcMar>
          </w:tcPr>
          <w:p w:rsidR="00A92A3B" w:rsidRDefault="00755A3F">
            <w:pPr>
              <w:pStyle w:val="BodyA"/>
              <w:ind w:right="72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A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ccelerating the structural adjustment of industries and eliminating outdated and energy-intensive industries (i.e. cement, aluminum, chemicals, coking,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petrochemicals, glass, steel</w:t>
            </w:r>
          </w:p>
          <w:p w:rsidR="00A92A3B" w:rsidRDefault="00755A3F">
            <w:pPr>
              <w:pStyle w:val="BodyA"/>
              <w:numPr>
                <w:ilvl w:val="0"/>
                <w:numId w:val="3"/>
              </w:numPr>
              <w:ind w:right="72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State Council Instruction Opinion on Solving the Problem in Overcapacity</w:t>
            </w:r>
          </w:p>
          <w:p w:rsidR="00A92A3B" w:rsidRDefault="00755A3F">
            <w:pPr>
              <w:pStyle w:val="BodyA"/>
              <w:numPr>
                <w:ilvl w:val="0"/>
                <w:numId w:val="3"/>
              </w:numPr>
              <w:ind w:right="72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Phasing out small and outdated industrial production capacity</w:t>
            </w:r>
          </w:p>
          <w:p w:rsidR="00A92A3B" w:rsidRDefault="00755A3F">
            <w:pPr>
              <w:pStyle w:val="BodyA"/>
              <w:ind w:left="655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-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Phase out small coal mines, coking plants, and iron producers.  Expanded to 19 industries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in 2011.</w:t>
            </w:r>
          </w:p>
          <w:p w:rsidR="00A92A3B" w:rsidRDefault="00755A3F">
            <w:pPr>
              <w:pStyle w:val="BodyA"/>
              <w:numPr>
                <w:ilvl w:val="1"/>
                <w:numId w:val="3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13FYP, P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hasing out outdated production capacity of coal 0.8 billion tons per year and add advancing pr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o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duction capacity by 0.5 billion tons by replacing.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P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hasing out outdated production capacity of crude steel by 100-150 million tons by 2020</w:t>
            </w:r>
          </w:p>
          <w:p w:rsidR="00A92A3B" w:rsidRDefault="00755A3F">
            <w:pPr>
              <w:pStyle w:val="BodyA"/>
              <w:numPr>
                <w:ilvl w:val="1"/>
                <w:numId w:val="3"/>
              </w:numPr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Provi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ding central fiscal subsidies for phaseout out outdated production capacity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20. Differentiated electricity tariffs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D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ifferentiated electricity pricing policy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for high energy intensive sectors: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Encouraged and permitted enterprises pay the normal price for electricity while enterprises in the restricted and eliminated categories pay surcharges of 5 fen and 20 fen per kWh ($0.007/kWh and $0.029/kWh), respectively, which is about 10% and 30% of the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average price of electricity per kWh.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In 201, 2014 and 2017, further increasing electricity prices for cement and iron and steel firms.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 xml:space="preserve">21. Energy efficiency standards and labeling for industrial equipment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Energy Efficiency Standards for electronic 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motors: GB18613-2012; GB30254-2013.</w:t>
            </w:r>
          </w:p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Energy Efficiency for Industrial Boiler, GB24500-2009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Guidance on Strengthening Energy Conservation of Internal-combustion Engine: energy saving internal combustion engine takes up to 60% of the whole owned engined in China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Issued four lists of Product Catalogue of Outdated Electronic  motors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TableStyle2"/>
            </w:pPr>
            <w:r>
              <w:rPr>
                <w:rFonts w:ascii="Calibri" w:eastAsia="Calibri" w:hAnsi="Calibri" w:cs="Calibri"/>
                <w:i/>
                <w:iCs/>
              </w:rPr>
              <w:t>Catalogues</w:t>
            </w:r>
            <w:r>
              <w:rPr>
                <w:rFonts w:ascii="Calibri" w:eastAsia="Calibri" w:hAnsi="Calibri" w:cs="Calibri"/>
                <w:i/>
                <w:iCs/>
              </w:rPr>
              <w:t xml:space="preserve"> of Recommended Energy-Saving Electromechanical Equipment (Products) and energy star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TableStyle2"/>
            </w:pPr>
            <w:r>
              <w:rPr>
                <w:rFonts w:ascii="Calibri" w:eastAsia="Calibri" w:hAnsi="Calibri" w:cs="Calibri"/>
                <w:i/>
                <w:iCs/>
              </w:rPr>
              <w:t>Catalogue of Obsolete Mechanical and Electrical Equipment to be Eliminated due to High Energy Consumption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Action Plan for Industrialization of High Energy Saving and 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Environment Protection of Industrial Boiler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sz w:val="20"/>
                <w:szCs w:val="20"/>
                <w:lang w:val="fr-FR"/>
              </w:rPr>
              <w:t>22. Key Enterprises Program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i/>
                <w:iCs/>
                <w:sz w:val="20"/>
                <w:szCs w:val="20"/>
                <w:lang w:val="nl-NL"/>
              </w:rPr>
              <w:t xml:space="preserve">Top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-1000 Enterprise Program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in 11th FYP,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Expanded to top-10,000 enterprises in 2011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 and Top 100-1000-10,000 enterprises action in 13th FYP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sz w:val="20"/>
                <w:szCs w:val="20"/>
              </w:rPr>
              <w:t xml:space="preserve">23.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Energy Saving and Emission R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e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duction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Subsidy Funding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Specific funding for specific usage; key supporting areas: institutional innovation; basic capacity and public platform building; key area, key sectors and key region, etc [this policy replacing energy saving subsidy policies, e.g. 300RMB/t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on subsidies for energy conservation]. There are multiple subsidy formats: awards, subsidy, interest subs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i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dy, etc.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Green Finance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24. Green Credit Policy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B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No new credit for firms which failed to pass environment impact evaluation, and firms from limited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 or outdated se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c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tors, etc.; EPA provides environment data to banks.</w:t>
            </w:r>
          </w:p>
          <w:p w:rsidR="00A92A3B" w:rsidRDefault="00755A3F">
            <w:pPr>
              <w:pStyle w:val="BodyB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- limited credits to high pollution sectors, and also encouraging credits to clean sectors and energy efficiency projects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25. Green Bond Policy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B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Green Bond Issuing Guideline</w:t>
            </w:r>
          </w:p>
          <w:p w:rsidR="00A92A3B" w:rsidRDefault="00755A3F">
            <w:pPr>
              <w:pStyle w:val="BodyB"/>
              <w:ind w:right="31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- Supporting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 Project List of Green  Bond: clarifying 6 major sectors and 31 sub-sectors</w:t>
            </w:r>
          </w:p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- Allowing firms use no more than 50% of bonds to pay bank loans or operation finance.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B"/>
              <w:ind w:right="31"/>
            </w:pPr>
            <w:r>
              <w:rPr>
                <w:rFonts w:ascii="Times" w:hAnsi="Times"/>
                <w:sz w:val="20"/>
                <w:szCs w:val="20"/>
              </w:rPr>
              <w:t xml:space="preserve">26.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Guidelines for establishing Green Finance System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</w:tcPr>
          <w:p w:rsidR="00A92A3B" w:rsidRDefault="00755A3F">
            <w:pPr>
              <w:pStyle w:val="BodyB"/>
              <w:ind w:right="31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- Promoting green credit,  using securities to support green investment, establishing green development fund, deve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>l</w:t>
            </w: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oping green insurance, amplifying environment right exchange market and finance tools, advancing international cooperation, etc.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Land use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27. Forest Building Planning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increase forest volume to 16.5 billion meters^3,and the forest coverage rate up to 23.4% by 2020</w:t>
            </w:r>
          </w:p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increase forest volume to 23 billion meters^3 by 2050, the forest coverage rate up to 26% by 2050.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lastRenderedPageBreak/>
              <w:t>28. Loan preferential policy f</w:t>
            </w:r>
            <w:r>
              <w:rPr>
                <w:rFonts w:ascii="Times" w:hAnsi="Times"/>
                <w:sz w:val="20"/>
                <w:szCs w:val="20"/>
              </w:rPr>
              <w:t>or forest project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D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evelop banks and agriculture development bank should provide long-term loans to forest project, which can be up to 30 years. The loan interest rates should be low.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Default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t>29. Financial</w:t>
            </w:r>
            <w:r>
              <w:rPr>
                <w:rFonts w:ascii="Times" w:hAnsi="Times"/>
                <w:sz w:val="20"/>
                <w:szCs w:val="20"/>
              </w:rPr>
              <w:t xml:space="preserve"> subsidies for forest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1) 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ubsidies for forest ecological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effect, 10-20/Mou;  2) subsidies for young forest spring cultivation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sz w:val="20"/>
                <w:szCs w:val="20"/>
              </w:rPr>
              <w:t xml:space="preserve">30.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Encouraging farmers giving up farming to rebuild forests and grass ground  (</w:t>
            </w:r>
            <w:r>
              <w:rPr>
                <w:rFonts w:hint="eastAsia"/>
                <w:sz w:val="20"/>
                <w:szCs w:val="20"/>
              </w:rPr>
              <w:t>退耕还林</w:t>
            </w:r>
            <w:r>
              <w:rPr>
                <w:rFonts w:ascii="Times" w:hAnsi="Times"/>
                <w:sz w:val="20"/>
                <w:szCs w:val="20"/>
              </w:rPr>
              <w:t>)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B"/>
            </w:pPr>
            <w:r>
              <w:rPr>
                <w:rFonts w:ascii="Times" w:hAnsi="Times"/>
                <w:i/>
                <w:iCs/>
                <w:sz w:val="20"/>
                <w:szCs w:val="20"/>
                <w:lang w:val="en-US"/>
              </w:rPr>
              <w:t xml:space="preserve">- 1500/ mou for forest recoverting; 1000/mou for grass retreating.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2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F90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A"/>
            </w:pPr>
            <w:r>
              <w:rPr>
                <w:rFonts w:ascii="Times" w:hAnsi="Times"/>
                <w:b/>
                <w:bCs/>
                <w:sz w:val="20"/>
                <w:szCs w:val="20"/>
              </w:rPr>
              <w:t>Residential and Commercial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>31. Design energy efficiency standard</w:t>
            </w:r>
            <w:r>
              <w:rPr>
                <w:rFonts w:ascii="Times" w:hAnsi="Times"/>
                <w:sz w:val="20"/>
                <w:szCs w:val="20"/>
                <w:lang w:val="zh-TW" w:eastAsia="zh-TW"/>
              </w:rPr>
              <w:t xml:space="preserve"> (technical standards for floors, directions, wall and window insulations, heating and cooling systems, etc)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numPr>
                <w:ilvl w:val="0"/>
                <w:numId w:val="4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R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esidential buildings in hot summer and cold winter zone. The goal is to reduce 50% energy consumption for new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buildings relative to old versions</w:t>
            </w:r>
          </w:p>
          <w:p w:rsidR="00A92A3B" w:rsidRDefault="00755A3F">
            <w:pPr>
              <w:pStyle w:val="Default"/>
              <w:numPr>
                <w:ilvl w:val="0"/>
                <w:numId w:val="4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R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esidential buildings in severe cold and cold zones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 xml:space="preserve">.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The goal is to reduce 65% energy consumption for new buil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d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ings relative to old versions</w:t>
            </w:r>
          </w:p>
          <w:p w:rsidR="00A92A3B" w:rsidRDefault="00755A3F">
            <w:pPr>
              <w:pStyle w:val="Default"/>
              <w:numPr>
                <w:ilvl w:val="0"/>
                <w:numId w:val="4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R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esidential buildings in hot summer and warm winter zone. The goal is to reduce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65% energy consumption for new buildings relative to old versions</w:t>
            </w:r>
          </w:p>
          <w:p w:rsidR="00A92A3B" w:rsidRDefault="00755A3F">
            <w:pPr>
              <w:pStyle w:val="Default"/>
              <w:numPr>
                <w:ilvl w:val="0"/>
                <w:numId w:val="4"/>
              </w:numPr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Public Buildings in different climate zone. </w:t>
            </w: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T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he man focus is on air condition system. The goal is to reduce 50% energy consumption for new buildings relative to old versions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B"/>
              <w:tabs>
                <w:tab w:val="left" w:pos="1080"/>
              </w:tabs>
            </w:pPr>
            <w:r>
              <w:rPr>
                <w:rFonts w:ascii="Times" w:hAnsi="Times"/>
                <w:sz w:val="20"/>
                <w:szCs w:val="20"/>
                <w:lang w:val="en-US"/>
              </w:rPr>
              <w:t xml:space="preserve">32. Green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Building Policy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numPr>
                <w:ilvl w:val="0"/>
                <w:numId w:val="5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I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ncreasing the ratio of green buildings in new added buildings over 30% by 2020;</w:t>
            </w:r>
          </w:p>
          <w:p w:rsidR="00A92A3B" w:rsidRDefault="00755A3F">
            <w:pPr>
              <w:pStyle w:val="Default"/>
              <w:numPr>
                <w:ilvl w:val="0"/>
                <w:numId w:val="5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Setting a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ssessment standard for green building. GB/T 50378-2014</w:t>
            </w:r>
          </w:p>
          <w:p w:rsidR="00A92A3B" w:rsidRDefault="00755A3F">
            <w:pPr>
              <w:pStyle w:val="Default"/>
              <w:numPr>
                <w:ilvl w:val="0"/>
                <w:numId w:val="5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L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abel green buildings into three types based on the total score: one star, two star and three 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tar</w:t>
            </w:r>
          </w:p>
          <w:p w:rsidR="00A92A3B" w:rsidRDefault="00755A3F">
            <w:pPr>
              <w:pStyle w:val="Default"/>
              <w:numPr>
                <w:ilvl w:val="0"/>
                <w:numId w:val="5"/>
              </w:numPr>
              <w:rPr>
                <w:rFonts w:ascii="Times" w:hAnsi="Times" w:hint="eastAsia"/>
                <w:i/>
                <w:iCs/>
                <w:sz w:val="20"/>
                <w:szCs w:val="20"/>
                <w:lang w:val="zh-TW" w:eastAsia="zh-TW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  <w:lang w:val="zh-TW" w:eastAsia="zh-TW"/>
              </w:rPr>
              <w:t>P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roviding subsidies for green building: 2 star green building- 45Yuan/M2, 3 star 80Yuan/M2 in 2012; scaling up green buildings and establishing green eco-urban: 50 million/ green eco-urban</w:t>
            </w:r>
          </w:p>
          <w:p w:rsidR="00A92A3B" w:rsidRDefault="00755A3F">
            <w:pPr>
              <w:pStyle w:val="Default"/>
              <w:numPr>
                <w:ilvl w:val="0"/>
                <w:numId w:val="5"/>
              </w:numPr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Setting up green building innovation award: 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1" w:type="dxa"/>
            </w:tcMar>
            <w:vAlign w:val="center"/>
          </w:tcPr>
          <w:p w:rsidR="00A92A3B" w:rsidRDefault="00755A3F">
            <w:pPr>
              <w:pStyle w:val="BodyA"/>
              <w:ind w:right="31"/>
            </w:pPr>
            <w:r>
              <w:rPr>
                <w:rFonts w:ascii="Times" w:hAnsi="Times"/>
                <w:sz w:val="20"/>
                <w:szCs w:val="20"/>
                <w:lang w:val="zh-TW" w:eastAsia="zh-TW"/>
              </w:rPr>
              <w:lastRenderedPageBreak/>
              <w:t>33. E</w:t>
            </w:r>
            <w:r>
              <w:rPr>
                <w:rFonts w:ascii="Times" w:hAnsi="Times"/>
                <w:sz w:val="20"/>
                <w:szCs w:val="20"/>
              </w:rPr>
              <w:t xml:space="preserve">nergy </w:t>
            </w:r>
            <w:r>
              <w:rPr>
                <w:rFonts w:ascii="Times" w:hAnsi="Times"/>
                <w:sz w:val="20"/>
                <w:szCs w:val="20"/>
                <w:lang w:val="zh-TW" w:eastAsia="zh-TW"/>
              </w:rPr>
              <w:t>InformationL</w:t>
            </w:r>
            <w:r>
              <w:rPr>
                <w:rFonts w:ascii="Times" w:hAnsi="Times"/>
                <w:sz w:val="20"/>
                <w:szCs w:val="20"/>
              </w:rPr>
              <w:t xml:space="preserve">abeling </w:t>
            </w:r>
            <w:r>
              <w:rPr>
                <w:rFonts w:ascii="Times" w:hAnsi="Times"/>
                <w:sz w:val="20"/>
                <w:szCs w:val="20"/>
                <w:lang w:val="zh-TW" w:eastAsia="zh-TW"/>
              </w:rPr>
              <w:t>Program for Appliance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Measures for the Administration of Energy Efficiency Labels</w:t>
            </w:r>
          </w:p>
          <w:p w:rsidR="00A92A3B" w:rsidRDefault="00755A3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The Product Lists for China Energy Label: really published for twelve lists, including: refrigerators, TVs, Air Co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ditioners, Wind Fans, converters, light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s, computers, printers, fax machines, etc.</w:t>
            </w:r>
          </w:p>
          <w:p w:rsidR="00A92A3B" w:rsidRDefault="00755A3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Energy Efficiency Star Certified Products List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val="zh-TW" w:eastAsia="zh-TW"/>
              </w:rPr>
              <w:t xml:space="preserve"> (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voluntary in nature, promotes high energy-efficient products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val="zh-TW" w:eastAsia="zh-TW"/>
              </w:rPr>
              <w:t>)</w:t>
            </w:r>
          </w:p>
          <w:p w:rsidR="00A92A3B" w:rsidRDefault="00755A3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Energy Efficiency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“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Pioneer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” 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Label. The first list is in 2016</w:t>
            </w:r>
          </w:p>
          <w:p w:rsidR="00A92A3B" w:rsidRDefault="00755A3F">
            <w:pPr>
              <w:pStyle w:val="Default"/>
              <w:numPr>
                <w:ilvl w:val="0"/>
                <w:numId w:val="6"/>
              </w:numPr>
              <w:jc w:val="both"/>
              <w:rPr>
                <w:rFonts w:ascii="Times" w:hAnsi="Times" w:hint="eastAsia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 xml:space="preserve">Procedures for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u w:val="single"/>
              </w:rPr>
              <w:t>Low-Carbon Product Certific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u w:val="single"/>
              </w:rPr>
              <w:t xml:space="preserve">ation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val="fr-FR"/>
              </w:rPr>
              <w:t>Management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val="zh-TW" w:eastAsia="zh-TW"/>
              </w:rPr>
              <w:t>. Has already published two lists.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3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2A3B" w:rsidRDefault="00755A3F">
            <w:pPr>
              <w:pStyle w:val="Body"/>
              <w:suppressAutoHyphens/>
              <w:outlineLvl w:val="0"/>
            </w:pPr>
            <w:r>
              <w:rPr>
                <w:rFonts w:ascii="Times" w:hAnsi="Times"/>
                <w:sz w:val="20"/>
                <w:szCs w:val="20"/>
              </w:rPr>
              <w:t xml:space="preserve">34.Building lighting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spacing w:after="240" w:line="400" w:lineRule="atLeast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Standard for lighting design of buildings- GB50034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/>
        </w:trPr>
        <w:tc>
          <w:tcPr>
            <w:tcW w:w="3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A3B" w:rsidRDefault="00A92A3B"/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jc w:val="both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China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’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s Road Map ofPhasing Out Incandescent Lamp: since 2016, forbidding importing and selling &gt;=15 W Inca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descent Lamp in China.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According to NDRC, energy efficient lamp will save 60%-80% electricity relative to inca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n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>descent lamp.</w:t>
            </w:r>
          </w:p>
        </w:tc>
      </w:tr>
      <w:tr w:rsidR="00A92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Body"/>
            </w:pPr>
            <w:r>
              <w:rPr>
                <w:rFonts w:ascii="Times" w:hAnsi="Times"/>
                <w:sz w:val="20"/>
                <w:szCs w:val="20"/>
              </w:rPr>
              <w:t xml:space="preserve">35. Government procurement 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2A3B" w:rsidRDefault="00755A3F">
            <w:pPr>
              <w:pStyle w:val="Default"/>
              <w:jc w:val="both"/>
              <w:rPr>
                <w:rFonts w:ascii="Times" w:eastAsia="Times" w:hAnsi="Times" w:cs="Times"/>
                <w:i/>
                <w:iCs/>
                <w:sz w:val="20"/>
                <w:szCs w:val="20"/>
              </w:rPr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Mandatory requirements for government to procure energy efficient products. NDRC and MoF </w:t>
            </w:r>
          </w:p>
          <w:p w:rsidR="00A92A3B" w:rsidRDefault="00755A3F">
            <w:pPr>
              <w:pStyle w:val="Default"/>
              <w:jc w:val="both"/>
            </w:pPr>
            <w:r>
              <w:rPr>
                <w:rFonts w:ascii="Times" w:hAnsi="Times"/>
                <w:i/>
                <w:iCs/>
                <w:sz w:val="20"/>
                <w:szCs w:val="20"/>
              </w:rPr>
              <w:t>Lists of Energy Efficient Products</w:t>
            </w:r>
            <w:r>
              <w:rPr>
                <w:rFonts w:ascii="Times" w:hAnsi="Times"/>
                <w:i/>
                <w:iCs/>
                <w:sz w:val="20"/>
                <w:szCs w:val="20"/>
              </w:rPr>
              <w:t xml:space="preserve"> for Government  Procurements. Already published twenty times until 2016</w:t>
            </w:r>
          </w:p>
        </w:tc>
      </w:tr>
    </w:tbl>
    <w:p w:rsidR="00A92A3B" w:rsidRDefault="00A92A3B">
      <w:pPr>
        <w:pStyle w:val="BodyA"/>
        <w:widowControl w:val="0"/>
        <w:ind w:left="216" w:hanging="216"/>
      </w:pPr>
    </w:p>
    <w:sectPr w:rsidR="00A92A3B" w:rsidSect="00A92A3B">
      <w:headerReference w:type="default" r:id="rId7"/>
      <w:footerReference w:type="default" r:id="rId8"/>
      <w:pgSz w:w="16840" w:h="1190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A3F" w:rsidRDefault="00755A3F" w:rsidP="00A92A3B">
      <w:r>
        <w:separator/>
      </w:r>
    </w:p>
  </w:endnote>
  <w:endnote w:type="continuationSeparator" w:id="1">
    <w:p w:rsidR="00755A3F" w:rsidRDefault="00755A3F" w:rsidP="00A92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3B" w:rsidRDefault="00A92A3B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A3F" w:rsidRDefault="00755A3F" w:rsidP="00A92A3B">
      <w:r>
        <w:separator/>
      </w:r>
    </w:p>
  </w:footnote>
  <w:footnote w:type="continuationSeparator" w:id="1">
    <w:p w:rsidR="00755A3F" w:rsidRDefault="00755A3F" w:rsidP="00A92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A3B" w:rsidRDefault="00A92A3B">
    <w:pPr>
      <w:pStyle w:val="HeaderFoo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168"/>
    <w:multiLevelType w:val="hybridMultilevel"/>
    <w:tmpl w:val="7C5EAA84"/>
    <w:lvl w:ilvl="0" w:tplc="087A79D4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622438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4010E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E25E72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CCCD54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68F142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32D328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307074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46BFF4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B2A7189"/>
    <w:multiLevelType w:val="hybridMultilevel"/>
    <w:tmpl w:val="E8A210D2"/>
    <w:lvl w:ilvl="0" w:tplc="B462AA34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D88720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547F80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2C73DA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4E390E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A5D5A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683FA4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02D200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967638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685011D"/>
    <w:multiLevelType w:val="hybridMultilevel"/>
    <w:tmpl w:val="E3782406"/>
    <w:lvl w:ilvl="0" w:tplc="803CFAA4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F8D470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62A076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302A7A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668680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968E7E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C2693A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384B4A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E4FF7C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6E544F9"/>
    <w:multiLevelType w:val="hybridMultilevel"/>
    <w:tmpl w:val="94224916"/>
    <w:lvl w:ilvl="0" w:tplc="1D54A098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00686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A213AC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02AD9C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3ABE86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04430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5E6BE8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45082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424822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9CA6A9A"/>
    <w:multiLevelType w:val="hybridMultilevel"/>
    <w:tmpl w:val="C22CB58C"/>
    <w:lvl w:ilvl="0" w:tplc="68A4F34E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9A5B6A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2BD04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4CA670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3EE2EE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8058CE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9EB66A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CF4B8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98C28C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72910470"/>
    <w:multiLevelType w:val="hybridMultilevel"/>
    <w:tmpl w:val="B82618EE"/>
    <w:lvl w:ilvl="0" w:tplc="AC26DD28">
      <w:start w:val="1"/>
      <w:numFmt w:val="bullet"/>
      <w:lvlText w:val="-"/>
      <w:lvlJc w:val="left"/>
      <w:pPr>
        <w:ind w:left="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545BE2">
      <w:start w:val="1"/>
      <w:numFmt w:val="bullet"/>
      <w:lvlText w:val="-"/>
      <w:lvlJc w:val="left"/>
      <w:pPr>
        <w:ind w:left="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ECAB0C">
      <w:start w:val="1"/>
      <w:numFmt w:val="bullet"/>
      <w:lvlText w:val="-"/>
      <w:lvlJc w:val="left"/>
      <w:pPr>
        <w:ind w:left="1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5CFB2E">
      <w:start w:val="1"/>
      <w:numFmt w:val="bullet"/>
      <w:lvlText w:val="-"/>
      <w:lvlJc w:val="left"/>
      <w:pPr>
        <w:ind w:left="1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88692E">
      <w:start w:val="1"/>
      <w:numFmt w:val="bullet"/>
      <w:lvlText w:val="-"/>
      <w:lvlJc w:val="left"/>
      <w:pPr>
        <w:ind w:left="25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D44536">
      <w:start w:val="1"/>
      <w:numFmt w:val="bullet"/>
      <w:lvlText w:val="-"/>
      <w:lvlJc w:val="left"/>
      <w:pPr>
        <w:ind w:left="31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70DF3C">
      <w:start w:val="1"/>
      <w:numFmt w:val="bullet"/>
      <w:lvlText w:val="-"/>
      <w:lvlJc w:val="left"/>
      <w:pPr>
        <w:ind w:left="37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D8733C">
      <w:start w:val="1"/>
      <w:numFmt w:val="bullet"/>
      <w:lvlText w:val="-"/>
      <w:lvlJc w:val="left"/>
      <w:pPr>
        <w:ind w:left="43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78640C">
      <w:start w:val="1"/>
      <w:numFmt w:val="bullet"/>
      <w:lvlText w:val="-"/>
      <w:lvlJc w:val="left"/>
      <w:pPr>
        <w:ind w:left="4958" w:hanging="158"/>
      </w:pPr>
      <w:rPr>
        <w:rFonts w:ascii="Times" w:eastAsia="Times" w:hAnsi="Times" w:cs="Times"/>
        <w:b w:val="0"/>
        <w:bCs w:val="0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A3B"/>
    <w:rsid w:val="00755A3F"/>
    <w:rsid w:val="00A92A3B"/>
    <w:rsid w:val="00E9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2A3B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2A3B"/>
    <w:rPr>
      <w:u w:val="single"/>
    </w:rPr>
  </w:style>
  <w:style w:type="table" w:customStyle="1" w:styleId="TableNormal">
    <w:name w:val="Table Normal"/>
    <w:rsid w:val="00A92A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A92A3B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A">
    <w:name w:val="Body A"/>
    <w:rsid w:val="00A92A3B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Body">
    <w:name w:val="Body"/>
    <w:rsid w:val="00A92A3B"/>
    <w:rPr>
      <w:rFonts w:cs="Arial Unicode MS"/>
      <w:color w:val="000000"/>
      <w:sz w:val="24"/>
      <w:szCs w:val="24"/>
      <w:u w:color="000000"/>
    </w:rPr>
  </w:style>
  <w:style w:type="paragraph" w:customStyle="1" w:styleId="BodyB">
    <w:name w:val="Body B"/>
    <w:rsid w:val="00A92A3B"/>
    <w:rPr>
      <w:rFonts w:cs="Arial Unicode MS"/>
      <w:color w:val="000000"/>
      <w:sz w:val="24"/>
      <w:szCs w:val="24"/>
      <w:u w:color="000000"/>
      <w:lang w:val="zh-TW" w:eastAsia="zh-TW"/>
    </w:rPr>
  </w:style>
  <w:style w:type="paragraph" w:customStyle="1" w:styleId="Default">
    <w:name w:val="Default"/>
    <w:rsid w:val="00A92A3B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TableStyle2">
    <w:name w:val="Table Style 2"/>
    <w:rsid w:val="00A92A3B"/>
    <w:rPr>
      <w:rFonts w:ascii="Helvetica" w:hAnsi="Helvetica" w:cs="Arial Unicode MS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1707</Words>
  <Characters>9734</Characters>
  <Application>Microsoft Office Word</Application>
  <DocSecurity>0</DocSecurity>
  <Lines>81</Lines>
  <Paragraphs>22</Paragraphs>
  <ScaleCrop>false</ScaleCrop>
  <Company/>
  <LinksUpToDate>false</LinksUpToDate>
  <CharactersWithSpaces>11419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zhangfang</cp:lastModifiedBy>
  <cp:revision>2</cp:revision>
  <dcterms:created xsi:type="dcterms:W3CDTF">2017-04-18T17:23:00Z</dcterms:created>
  <dcterms:modified xsi:type="dcterms:W3CDTF">2017-04-18T17:23:00Z</dcterms:modified>
</cp:coreProperties>
</file>