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W dziksiejszym zadaniu ustalac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́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be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de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, czy przedsie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>biorstwo Samsung Electronics Polska Sp. z o.o. efektywnie Wyliczam ze wzoru ROA=(NI+INT)/TA. Zysk netto (NI), wydatki finansowe (INT) oraz aktywa (TA) odczytuje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9"/>
          <w:szCs w:val="29"/>
          <w:shd w:val="clear" w:color="auto" w:fill="ffffff"/>
          <w:rtl w:val="0"/>
        </w:rPr>
        <w:t>̨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 </w:t>
      </w:r>
      <w:r>
        <w:rPr>
          <w:rFonts w:ascii="Trebuchet MS" w:hAnsi="Trebuchet MS"/>
          <w:sz w:val="29"/>
          <w:szCs w:val="29"/>
          <w:shd w:val="clear" w:color="auto" w:fill="ffffff"/>
          <w:rtl w:val="0"/>
        </w:rPr>
        <w:t xml:space="preserve">dl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120057" cy="12593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1image51980416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125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15661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715"/>
        <w:gridCol w:w="1715"/>
        <w:gridCol w:w="1715"/>
        <w:gridCol w:w="1941"/>
        <w:gridCol w:w="1715"/>
        <w:gridCol w:w="1715"/>
        <w:gridCol w:w="1715"/>
        <w:gridCol w:w="1715"/>
        <w:gridCol w:w="1715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NI16=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135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375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INT16=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10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487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TA16=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896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100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ROA16=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7,69%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Kd16=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4,70%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5661"/>
            <w:gridSpan w:val="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 jest wie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Kd. Wniosek: przedsie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biorstwo w spos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 efektywny wykorzystuje d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ug.</w:t>
            </w:r>
          </w:p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2231"/>
            <w:gridSpan w:val="7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Dla branz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̇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y Produkcja komputer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w, wyrob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w elektronicznych i optycznych: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arytmetyczna 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8,48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17,12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8,48%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63500" cy="76200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ge1image49385408.pn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" cy="762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-8,64%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25,60%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NI15=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17 10 54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INT15=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724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784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TA15=</w:t>
            </w:r>
          </w:p>
        </w:tc>
        <w:tc>
          <w:tcPr>
            <w:tcW w:type="dxa" w:w="343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1 55 39 45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ROA15=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0,576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57,60%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Kd15=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4,50%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5661"/>
            <w:gridSpan w:val="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 jest wie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Kd. Wniosek: przedsie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biorstwo w spos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 efektywny wykorzystuje d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ug.</w:t>
            </w:r>
          </w:p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arytmetyczna 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11,64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16,88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11,64%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-5,24%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28,52%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139700" cy="139700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ge1image49392576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1397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NI14=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12 86 92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INT14=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789</w:t>
            </w:r>
            <w:r>
              <w:rPr>
                <w:rFonts w:ascii="Trebuchet MS" w:cs="Arial Unicode MS" w:hAnsi="Trebuchet MS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 </w:t>
            </w: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669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TA14=</w:t>
            </w:r>
          </w:p>
        </w:tc>
        <w:tc>
          <w:tcPr>
            <w:tcW w:type="dxa" w:w="3430"/>
            <w:gridSpan w:val="2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1 38 49 50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ROA14=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0,663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66,30%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15661"/>
            <w:gridSpan w:val="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ROA jest wie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ksze niz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 xml:space="preserve">̇ 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Kd. Wniosek: przedsie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̨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biorstwo w spos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ó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b efektywny wykorzystuje d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ł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ug.</w:t>
            </w:r>
          </w:p>
        </w:tc>
      </w:tr>
      <w:tr>
        <w:tblPrEx>
          <w:shd w:val="clear" w:color="auto" w:fill="auto"/>
        </w:tblPrEx>
        <w:trPr>
          <w:trHeight w:val="703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S</w:t>
            </w:r>
            <w:r>
              <w:rPr>
                <w:rFonts w:ascii="Trebuchet MS" w:hAnsi="Trebuchet MS" w:hint="default"/>
                <w:sz w:val="29"/>
                <w:szCs w:val="29"/>
                <w:shd w:val="clear" w:color="auto" w:fill="ffffff"/>
                <w:rtl w:val="0"/>
              </w:rPr>
              <w:t>́</w:t>
            </w: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rednia arytmetyczna 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11,02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700" w:hRule="atLeast"/>
        </w:trPr>
        <w:tc>
          <w:tcPr>
            <w:tcW w:type="dxa" w:w="5145"/>
            <w:gridSpan w:val="3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after="240" w:line="34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rebuchet MS" w:hAnsi="Trebuchet MS"/>
                <w:sz w:val="29"/>
                <w:szCs w:val="29"/>
                <w:shd w:val="clear" w:color="auto" w:fill="ffffff"/>
                <w:rtl w:val="0"/>
              </w:rPr>
              <w:t>Odchylenie standardowe=</w:t>
            </w:r>
          </w:p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17,62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11,02%</w:t>
            </w:r>
          </w:p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941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715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779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ge1image49489872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9652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ge1image4938100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965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48260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ge1image49492784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482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  <w:lang w:val="ru-RU"/>
        </w:rPr>
        <w:t xml:space="preserve">1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rebuchet MS" w:hAnsi="Trebuchet MS"/>
          <w:sz w:val="29"/>
          <w:szCs w:val="29"/>
          <w:shd w:val="clear" w:color="auto" w:fill="ffffff"/>
          <w:rtl w:val="0"/>
          <w:lang w:val="en-US"/>
        </w:rPr>
        <w:t xml:space="preserve">w a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92200" cy="48260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ge2image50160048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482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W w:w="894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79"/>
        <w:gridCol w:w="979"/>
        <w:gridCol w:w="979"/>
        <w:gridCol w:w="1109"/>
        <w:gridCol w:w="979"/>
        <w:gridCol w:w="979"/>
        <w:gridCol w:w="980"/>
        <w:gridCol w:w="979"/>
        <w:gridCol w:w="979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0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8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0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8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0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-6,60%</w:t>
            </w:r>
          </w:p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8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240" w:line="340" w:lineRule="atLeast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Trebuchet MS" w:cs="Arial Unicode MS" w:hAnsi="Trebuchet MS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clear" w:color="auto" w:fill="ffffff"/>
                <w:vertAlign w:val="baseline"/>
                <w:rtl w:val="0"/>
              </w:rPr>
              <w:t>28,64%</w:t>
            </w:r>
          </w:p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0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8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110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80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" w:cs="Times" w:hAnsi="Times" w:eastAsia="Times"/>
                <w:sz w:val="24"/>
                <w:szCs w:val="24"/>
                <w:rtl w:val="0"/>
              </w:rPr>
              <w:drawing>
                <wp:inline distT="0" distB="0" distL="0" distR="0">
                  <wp:extent cx="139700" cy="177800"/>
                  <wp:effectExtent l="0" t="0" r="0" b="0"/>
                  <wp:docPr id="1073741832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2" name="page2image50156352.p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177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79"/>
            <w:tcBorders>
              <w:top w:val="single" w:color="aaaaaa" w:sz="8" w:space="0" w:shadow="0" w:frame="0"/>
              <w:left w:val="single" w:color="aaaaaa" w:sz="8" w:space="0" w:shadow="0" w:frame="0"/>
              <w:bottom w:val="single" w:color="aaaaaa" w:sz="8" w:space="0" w:shadow="0" w:frame="0"/>
              <w:right w:val="single" w:color="aaaaaa" w:sz="8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after="240" w:line="360" w:lineRule="atLeast"/>
        <w:ind w:left="0" w:right="0" w:firstLine="0"/>
        <w:jc w:val="left"/>
        <w:rPr>
          <w:sz w:val="32"/>
          <w:szCs w:val="32"/>
          <w:shd w:val="clear" w:color="auto" w:fill="ffffff"/>
          <w:rtl w:val="0"/>
        </w:rPr>
      </w:pP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2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33450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ge3image52005312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334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8953500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ge3image51982912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89535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2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7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4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2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3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4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5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7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5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5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2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3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4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5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7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6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2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3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4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5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7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7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2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3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3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77900"/>
            <wp:effectExtent l="0" t="0" r="0" b="0"/>
            <wp:docPr id="107374188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4" name="page4image52413760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700" cy="977900"/>
            <wp:effectExtent l="0" t="0" r="0" b="0"/>
            <wp:docPr id="107374188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5" name="page4image52413760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977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6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7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8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8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89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9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0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698500" cy="12700"/>
            <wp:effectExtent l="0" t="0" r="0" b="0"/>
            <wp:docPr id="107374189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91" name="page3image52015104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Domyślne"/>
        <w:bidi w:val="0"/>
        <w:spacing w:after="240" w:line="360" w:lineRule="atLeast"/>
        <w:ind w:left="0" w:right="0" w:firstLine="0"/>
        <w:jc w:val="left"/>
        <w:rPr>
          <w:rtl w:val="0"/>
        </w:rPr>
      </w:pPr>
      <w:r>
        <w:rPr>
          <w:sz w:val="32"/>
          <w:szCs w:val="32"/>
          <w:shd w:val="clear" w:color="auto" w:fill="ffffff"/>
          <w:rtl w:val="0"/>
        </w:rPr>
        <w:t xml:space="preserve">4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r>
    </w:p>
    <w:sectPr>
      <w:headerReference w:type="default" r:id="rId16"/>
      <w:footerReference w:type="default" r:id="rId1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 tabeli 2">
    <w:name w:val="Styl tabeli 2"/>
    <w:next w:val="Styl tabeli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