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8C" w:rsidRDefault="0067788C" w:rsidP="00712627">
      <w:pPr>
        <w:spacing w:after="0"/>
        <w:rPr>
          <w:sz w:val="18"/>
          <w:szCs w:val="18"/>
        </w:rPr>
      </w:pPr>
      <w:bookmarkStart w:id="0" w:name="_GoBack"/>
      <w:bookmarkEnd w:id="0"/>
    </w:p>
    <w:p w:rsidR="001059D1" w:rsidRDefault="0067788C" w:rsidP="00712627">
      <w:pPr>
        <w:spacing w:after="0"/>
        <w:rPr>
          <w:sz w:val="18"/>
          <w:szCs w:val="18"/>
        </w:rPr>
      </w:pPr>
      <w:r>
        <w:rPr>
          <w:sz w:val="18"/>
          <w:szCs w:val="18"/>
        </w:rPr>
        <w:t>Multiple Interventions</w:t>
      </w:r>
    </w:p>
    <w:p w:rsidR="00712627" w:rsidRDefault="00712627" w:rsidP="00712627">
      <w:pPr>
        <w:spacing w:after="0"/>
        <w:rPr>
          <w:sz w:val="18"/>
          <w:szCs w:val="18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14778" w:type="dxa"/>
        <w:tblLayout w:type="fixed"/>
        <w:tblLook w:val="04A0" w:firstRow="1" w:lastRow="0" w:firstColumn="1" w:lastColumn="0" w:noHBand="0" w:noVBand="1"/>
      </w:tblPr>
      <w:tblGrid>
        <w:gridCol w:w="1188"/>
        <w:gridCol w:w="1080"/>
        <w:gridCol w:w="1170"/>
        <w:gridCol w:w="900"/>
        <w:gridCol w:w="1260"/>
        <w:gridCol w:w="1170"/>
        <w:gridCol w:w="1080"/>
        <w:gridCol w:w="1080"/>
        <w:gridCol w:w="2340"/>
        <w:gridCol w:w="990"/>
        <w:gridCol w:w="1440"/>
        <w:gridCol w:w="1080"/>
      </w:tblGrid>
      <w:tr w:rsidR="00B36ED8" w:rsidRPr="00CA418F" w:rsidTr="00712627">
        <w:tc>
          <w:tcPr>
            <w:tcW w:w="1188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Paper (author, title, year)</w:t>
            </w:r>
          </w:p>
        </w:tc>
        <w:tc>
          <w:tcPr>
            <w:tcW w:w="108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Study type</w:t>
            </w:r>
          </w:p>
        </w:tc>
        <w:tc>
          <w:tcPr>
            <w:tcW w:w="117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Number of subjects/areas</w:t>
            </w:r>
          </w:p>
        </w:tc>
        <w:tc>
          <w:tcPr>
            <w:tcW w:w="90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Location of study</w:t>
            </w:r>
          </w:p>
        </w:tc>
        <w:tc>
          <w:tcPr>
            <w:tcW w:w="126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Type of intervention</w:t>
            </w:r>
          </w:p>
        </w:tc>
        <w:tc>
          <w:tcPr>
            <w:tcW w:w="117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Method of diagnosis of infection</w:t>
            </w:r>
          </w:p>
        </w:tc>
        <w:tc>
          <w:tcPr>
            <w:tcW w:w="108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Primary outcome investigated</w:t>
            </w:r>
          </w:p>
        </w:tc>
        <w:tc>
          <w:tcPr>
            <w:tcW w:w="108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Secondary outcomes investigated</w:t>
            </w:r>
          </w:p>
        </w:tc>
        <w:tc>
          <w:tcPr>
            <w:tcW w:w="234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Main findings</w:t>
            </w:r>
          </w:p>
        </w:tc>
        <w:tc>
          <w:tcPr>
            <w:tcW w:w="99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Secondary findings</w:t>
            </w:r>
          </w:p>
        </w:tc>
        <w:tc>
          <w:tcPr>
            <w:tcW w:w="144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Comments</w:t>
            </w:r>
          </w:p>
        </w:tc>
        <w:tc>
          <w:tcPr>
            <w:tcW w:w="1080" w:type="dxa"/>
          </w:tcPr>
          <w:p w:rsidR="001059D1" w:rsidRPr="00CA418F" w:rsidRDefault="001059D1" w:rsidP="00712627">
            <w:pPr>
              <w:rPr>
                <w:sz w:val="16"/>
                <w:szCs w:val="16"/>
              </w:rPr>
            </w:pPr>
            <w:r w:rsidRPr="00CA418F">
              <w:rPr>
                <w:sz w:val="16"/>
                <w:szCs w:val="16"/>
              </w:rPr>
              <w:t>Intervention effective?</w:t>
            </w:r>
          </w:p>
        </w:tc>
      </w:tr>
      <w:tr w:rsidR="00B36ED8" w:rsidRPr="00B36ED8" w:rsidTr="00712627">
        <w:tc>
          <w:tcPr>
            <w:tcW w:w="1188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 xml:space="preserve">Souza et al, 2008 </w:t>
            </w:r>
            <w:proofErr w:type="spellStart"/>
            <w:r w:rsidRPr="005D6514">
              <w:rPr>
                <w:sz w:val="16"/>
                <w:szCs w:val="16"/>
              </w:rPr>
              <w:t>Communitary</w:t>
            </w:r>
            <w:proofErr w:type="spellEnd"/>
            <w:r w:rsidRPr="005D6514">
              <w:rPr>
                <w:sz w:val="16"/>
                <w:szCs w:val="16"/>
              </w:rPr>
              <w:t xml:space="preserve"> assay for assessment of effectiveness of strategies for prevention and control of human visceral leishmaniasis in the Municipality of Feira de Santana, State of Bahia, Brazil</w:t>
            </w:r>
            <w:r>
              <w:rPr>
                <w:sz w:val="16"/>
                <w:szCs w:val="16"/>
              </w:rPr>
              <w:t xml:space="preserve">. </w:t>
            </w:r>
            <w:r w:rsidR="00712627">
              <w:rPr>
                <w:sz w:val="16"/>
                <w:szCs w:val="16"/>
              </w:rPr>
              <w:t>(Portuguese language paper).</w:t>
            </w:r>
          </w:p>
        </w:tc>
        <w:tc>
          <w:tcPr>
            <w:tcW w:w="108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>Controlled trial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17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 xml:space="preserve">3 villages - containing 688, 782 and 892 </w:t>
            </w:r>
            <w:proofErr w:type="gramStart"/>
            <w:r w:rsidRPr="005D6514">
              <w:rPr>
                <w:sz w:val="16"/>
                <w:szCs w:val="16"/>
              </w:rPr>
              <w:t>infants  (</w:t>
            </w:r>
            <w:proofErr w:type="gramEnd"/>
            <w:r w:rsidRPr="005D6514">
              <w:rPr>
                <w:sz w:val="16"/>
                <w:szCs w:val="16"/>
              </w:rPr>
              <w:t xml:space="preserve">9 </w:t>
            </w:r>
            <w:proofErr w:type="spellStart"/>
            <w:r w:rsidRPr="005D6514">
              <w:rPr>
                <w:sz w:val="16"/>
                <w:szCs w:val="16"/>
              </w:rPr>
              <w:t>mo</w:t>
            </w:r>
            <w:proofErr w:type="spellEnd"/>
            <w:r w:rsidRPr="005D6514">
              <w:rPr>
                <w:sz w:val="16"/>
                <w:szCs w:val="16"/>
              </w:rPr>
              <w:t xml:space="preserve"> - 12 </w:t>
            </w:r>
            <w:proofErr w:type="spellStart"/>
            <w:r w:rsidRPr="005D6514">
              <w:rPr>
                <w:sz w:val="16"/>
                <w:szCs w:val="16"/>
              </w:rPr>
              <w:t>yrs</w:t>
            </w:r>
            <w:proofErr w:type="spellEnd"/>
            <w:r w:rsidRPr="005D6514">
              <w:rPr>
                <w:sz w:val="16"/>
                <w:szCs w:val="16"/>
              </w:rPr>
              <w:t>) respectively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90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>Feira de Santana, State of Bahia, Brazil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26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5D6514">
              <w:rPr>
                <w:sz w:val="16"/>
                <w:szCs w:val="16"/>
              </w:rPr>
              <w:t xml:space="preserve">ontrol (as usual - not specified) compared </w:t>
            </w:r>
            <w:proofErr w:type="gramStart"/>
            <w:r w:rsidRPr="005D6514">
              <w:rPr>
                <w:sz w:val="16"/>
                <w:szCs w:val="16"/>
              </w:rPr>
              <w:t>to  spraying</w:t>
            </w:r>
            <w:proofErr w:type="gramEnd"/>
            <w:r w:rsidRPr="005D6514">
              <w:rPr>
                <w:sz w:val="16"/>
                <w:szCs w:val="16"/>
              </w:rPr>
              <w:t xml:space="preserve"> with </w:t>
            </w:r>
            <w:proofErr w:type="spellStart"/>
            <w:r w:rsidRPr="005D6514">
              <w:rPr>
                <w:sz w:val="16"/>
                <w:szCs w:val="16"/>
              </w:rPr>
              <w:t>pyrthroid</w:t>
            </w:r>
            <w:proofErr w:type="spellEnd"/>
            <w:r w:rsidRPr="005D6514">
              <w:rPr>
                <w:sz w:val="16"/>
                <w:szCs w:val="16"/>
              </w:rPr>
              <w:t xml:space="preserve"> insecticide and spraying with dog culling (max 15 days post diagnosis)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ELISA</w:t>
            </w:r>
          </w:p>
        </w:tc>
        <w:tc>
          <w:tcPr>
            <w:tcW w:w="108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5D6514">
              <w:rPr>
                <w:sz w:val="16"/>
                <w:szCs w:val="16"/>
              </w:rPr>
              <w:t>ncidence of infection of VL in children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080" w:type="dxa"/>
          </w:tcPr>
          <w:p w:rsidR="001059D1" w:rsidRPr="00B36ED8" w:rsidRDefault="001059D1" w:rsidP="00712627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>Relative risk for infection in the areas with the combination of spraying and dog culling compared to control = 0.74 (95% CI 0.34-1.62). Although the data suggest a reduction of the incidence of infection in the intervention areas, this difference was not statistically significant.</w:t>
            </w:r>
          </w:p>
        </w:tc>
        <w:tc>
          <w:tcPr>
            <w:tcW w:w="990" w:type="dxa"/>
          </w:tcPr>
          <w:p w:rsidR="001059D1" w:rsidRPr="00B36ED8" w:rsidRDefault="001059D1" w:rsidP="00712627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>No P values given.</w:t>
            </w:r>
          </w:p>
        </w:tc>
        <w:tc>
          <w:tcPr>
            <w:tcW w:w="108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  <w:tr w:rsidR="00B36ED8" w:rsidRPr="00B36ED8" w:rsidTr="00712627">
        <w:tc>
          <w:tcPr>
            <w:tcW w:w="1188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proofErr w:type="spellStart"/>
            <w:r w:rsidRPr="005D6514">
              <w:rPr>
                <w:sz w:val="16"/>
                <w:szCs w:val="16"/>
              </w:rPr>
              <w:t>Moosa-Kazemi</w:t>
            </w:r>
            <w:proofErr w:type="spellEnd"/>
            <w:r w:rsidRPr="005D6514">
              <w:rPr>
                <w:sz w:val="16"/>
                <w:szCs w:val="16"/>
              </w:rPr>
              <w:t xml:space="preserve"> et al, 2007. </w:t>
            </w:r>
            <w:proofErr w:type="spellStart"/>
            <w:r w:rsidRPr="005D6514">
              <w:rPr>
                <w:sz w:val="16"/>
                <w:szCs w:val="16"/>
              </w:rPr>
              <w:t>Deltamethrin</w:t>
            </w:r>
            <w:proofErr w:type="spellEnd"/>
            <w:r w:rsidRPr="005D6514">
              <w:rPr>
                <w:sz w:val="16"/>
                <w:szCs w:val="16"/>
              </w:rPr>
              <w:t xml:space="preserve">-impregnated bed nets and curtains in an anthroponotic cutaneous leishmaniasis control program in </w:t>
            </w:r>
            <w:proofErr w:type="spellStart"/>
            <w:r w:rsidRPr="005D6514">
              <w:rPr>
                <w:sz w:val="16"/>
                <w:szCs w:val="16"/>
              </w:rPr>
              <w:t>northeastern</w:t>
            </w:r>
            <w:proofErr w:type="spellEnd"/>
            <w:r w:rsidRPr="005D6514">
              <w:rPr>
                <w:sz w:val="16"/>
                <w:szCs w:val="16"/>
              </w:rPr>
              <w:t xml:space="preserve"> Iran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08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5D6514">
              <w:rPr>
                <w:sz w:val="16"/>
                <w:szCs w:val="16"/>
              </w:rPr>
              <w:t>luster randomised controlled trial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17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5D6514">
              <w:rPr>
                <w:sz w:val="16"/>
                <w:szCs w:val="16"/>
              </w:rPr>
              <w:t>otal of 1,848 residents. 160 x 3 households.</w:t>
            </w:r>
          </w:p>
        </w:tc>
        <w:tc>
          <w:tcPr>
            <w:tcW w:w="90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Iran. </w:t>
            </w:r>
          </w:p>
        </w:tc>
        <w:tc>
          <w:tcPr>
            <w:tcW w:w="126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proofErr w:type="spellStart"/>
            <w:r w:rsidRPr="005D6514">
              <w:rPr>
                <w:sz w:val="16"/>
                <w:szCs w:val="16"/>
              </w:rPr>
              <w:t>Deltamethrin</w:t>
            </w:r>
            <w:proofErr w:type="spellEnd"/>
            <w:r w:rsidRPr="005D6514">
              <w:rPr>
                <w:sz w:val="16"/>
                <w:szCs w:val="16"/>
              </w:rPr>
              <w:t xml:space="preserve">-impregnated bed nets and curtains </w:t>
            </w:r>
            <w:proofErr w:type="spellStart"/>
            <w:r w:rsidRPr="005D6514">
              <w:rPr>
                <w:sz w:val="16"/>
                <w:szCs w:val="16"/>
              </w:rPr>
              <w:t>vs</w:t>
            </w:r>
            <w:proofErr w:type="spellEnd"/>
            <w:r w:rsidRPr="005D6514">
              <w:rPr>
                <w:sz w:val="16"/>
                <w:szCs w:val="16"/>
              </w:rPr>
              <w:t xml:space="preserve"> untreated bed nets and curtains (control, no intervention)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17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>Case finding by house to house visits and examination of all inhabitants and smears taken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08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>Incidence of ACL in 2004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Sandfly density.</w:t>
            </w:r>
          </w:p>
        </w:tc>
        <w:tc>
          <w:tcPr>
            <w:tcW w:w="234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 xml:space="preserve">Impregnated bed nets and curtains </w:t>
            </w:r>
            <w:proofErr w:type="spellStart"/>
            <w:r w:rsidRPr="005D6514">
              <w:rPr>
                <w:sz w:val="16"/>
                <w:szCs w:val="16"/>
              </w:rPr>
              <w:t>vs</w:t>
            </w:r>
            <w:proofErr w:type="spellEnd"/>
            <w:r w:rsidRPr="005D6514">
              <w:rPr>
                <w:sz w:val="16"/>
                <w:szCs w:val="16"/>
              </w:rPr>
              <w:t xml:space="preserve"> non-impregnated </w:t>
            </w:r>
            <w:proofErr w:type="spellStart"/>
            <w:r w:rsidRPr="005D6514">
              <w:rPr>
                <w:sz w:val="16"/>
                <w:szCs w:val="16"/>
              </w:rPr>
              <w:t>bednets</w:t>
            </w:r>
            <w:proofErr w:type="spellEnd"/>
            <w:r w:rsidRPr="005D6514">
              <w:rPr>
                <w:sz w:val="16"/>
                <w:szCs w:val="16"/>
              </w:rPr>
              <w:t xml:space="preserve"> and curtains incidence per 1000 = 6.9 </w:t>
            </w:r>
            <w:proofErr w:type="spellStart"/>
            <w:r w:rsidRPr="005D6514">
              <w:rPr>
                <w:sz w:val="16"/>
                <w:szCs w:val="16"/>
              </w:rPr>
              <w:t>vs</w:t>
            </w:r>
            <w:proofErr w:type="spellEnd"/>
            <w:r w:rsidRPr="005D6514">
              <w:rPr>
                <w:sz w:val="16"/>
                <w:szCs w:val="16"/>
              </w:rPr>
              <w:t xml:space="preserve"> 30.6 (P=0.028). Impregnated </w:t>
            </w:r>
            <w:proofErr w:type="spellStart"/>
            <w:r w:rsidRPr="005D6514">
              <w:rPr>
                <w:sz w:val="16"/>
                <w:szCs w:val="16"/>
              </w:rPr>
              <w:t>bednets</w:t>
            </w:r>
            <w:proofErr w:type="spellEnd"/>
            <w:r w:rsidRPr="005D6514">
              <w:rPr>
                <w:sz w:val="16"/>
                <w:szCs w:val="16"/>
              </w:rPr>
              <w:t xml:space="preserve"> and curtains </w:t>
            </w:r>
            <w:proofErr w:type="spellStart"/>
            <w:r w:rsidRPr="005D6514">
              <w:rPr>
                <w:sz w:val="16"/>
                <w:szCs w:val="16"/>
              </w:rPr>
              <w:t>vs</w:t>
            </w:r>
            <w:proofErr w:type="spellEnd"/>
            <w:r w:rsidRPr="005D6514">
              <w:rPr>
                <w:sz w:val="16"/>
                <w:szCs w:val="16"/>
              </w:rPr>
              <w:t xml:space="preserve"> control incidence; 6.9 </w:t>
            </w:r>
            <w:proofErr w:type="spellStart"/>
            <w:r w:rsidRPr="005D6514">
              <w:rPr>
                <w:sz w:val="16"/>
                <w:szCs w:val="16"/>
              </w:rPr>
              <w:t>vs</w:t>
            </w:r>
            <w:proofErr w:type="spellEnd"/>
            <w:r w:rsidRPr="005D6514">
              <w:rPr>
                <w:sz w:val="16"/>
                <w:szCs w:val="16"/>
              </w:rPr>
              <w:t xml:space="preserve"> 28.6 (P=0.025). Actual numbers of lesions in each group post-intervention: Impregnated bed nets and curtains - 2/580. Non-impregnated bed nets and curtains - 11/569, and control group 18/699.</w:t>
            </w:r>
          </w:p>
        </w:tc>
        <w:tc>
          <w:tcPr>
            <w:tcW w:w="99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Pr="005D6514">
              <w:rPr>
                <w:sz w:val="16"/>
                <w:szCs w:val="16"/>
              </w:rPr>
              <w:t>o significant difference in monthly sandfly densities between villages.</w:t>
            </w:r>
          </w:p>
        </w:tc>
        <w:tc>
          <w:tcPr>
            <w:tcW w:w="144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 xml:space="preserve">Net </w:t>
            </w:r>
            <w:proofErr w:type="gramStart"/>
            <w:r w:rsidRPr="005D6514">
              <w:rPr>
                <w:sz w:val="16"/>
                <w:szCs w:val="16"/>
              </w:rPr>
              <w:t>with 156 holes/inch</w:t>
            </w:r>
            <w:r w:rsidRPr="005D6514">
              <w:rPr>
                <w:sz w:val="16"/>
                <w:szCs w:val="16"/>
                <w:vertAlign w:val="superscript"/>
              </w:rPr>
              <w:t>2</w:t>
            </w:r>
            <w:proofErr w:type="gramEnd"/>
            <w:r w:rsidRPr="005D6514">
              <w:rPr>
                <w:sz w:val="16"/>
                <w:szCs w:val="16"/>
              </w:rPr>
              <w:t xml:space="preserve"> was used. From the numbers of lesions quoted in the tables, it was unclear how the authors arrived at the incidence rates quoted per 1000 in the report.</w:t>
            </w:r>
          </w:p>
        </w:tc>
        <w:tc>
          <w:tcPr>
            <w:tcW w:w="108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Yes</w:t>
            </w:r>
          </w:p>
        </w:tc>
      </w:tr>
      <w:tr w:rsidR="00B36ED8" w:rsidRPr="00B36ED8" w:rsidTr="00712627">
        <w:tc>
          <w:tcPr>
            <w:tcW w:w="1188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  <w:lang w:val="es-ES_tradnl"/>
              </w:rPr>
              <w:t xml:space="preserve">Nery Costa et al, 2007. Controle da </w:t>
            </w:r>
            <w:proofErr w:type="spellStart"/>
            <w:r w:rsidRPr="005D6514">
              <w:rPr>
                <w:sz w:val="16"/>
                <w:szCs w:val="16"/>
                <w:lang w:val="es-ES_tradnl"/>
              </w:rPr>
              <w:t>leishmaniose</w:t>
            </w:r>
            <w:proofErr w:type="spellEnd"/>
            <w:r w:rsidRPr="005D6514">
              <w:rPr>
                <w:sz w:val="16"/>
                <w:szCs w:val="16"/>
                <w:lang w:val="es-ES_tradnl"/>
              </w:rPr>
              <w:t xml:space="preserve"> visceral </w:t>
            </w:r>
            <w:proofErr w:type="spellStart"/>
            <w:r w:rsidRPr="005D6514">
              <w:rPr>
                <w:sz w:val="16"/>
                <w:szCs w:val="16"/>
                <w:lang w:val="es-ES_tradnl"/>
              </w:rPr>
              <w:t>em</w:t>
            </w:r>
            <w:proofErr w:type="spellEnd"/>
            <w:r w:rsidRPr="005D6514">
              <w:rPr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5D6514">
              <w:rPr>
                <w:sz w:val="16"/>
                <w:szCs w:val="16"/>
                <w:lang w:val="es-ES_tradnl"/>
              </w:rPr>
              <w:t>meio</w:t>
            </w:r>
            <w:proofErr w:type="spellEnd"/>
            <w:r w:rsidRPr="005D6514">
              <w:rPr>
                <w:sz w:val="16"/>
                <w:szCs w:val="16"/>
                <w:lang w:val="es-ES_tradnl"/>
              </w:rPr>
              <w:t xml:space="preserve"> urbano: </w:t>
            </w:r>
            <w:proofErr w:type="spellStart"/>
            <w:r w:rsidRPr="005D6514">
              <w:rPr>
                <w:sz w:val="16"/>
                <w:szCs w:val="16"/>
                <w:lang w:val="es-ES_tradnl"/>
              </w:rPr>
              <w:t>estudo</w:t>
            </w:r>
            <w:proofErr w:type="spellEnd"/>
            <w:r w:rsidRPr="005D6514">
              <w:rPr>
                <w:sz w:val="16"/>
                <w:szCs w:val="16"/>
                <w:lang w:val="es-ES_tradnl"/>
              </w:rPr>
              <w:t xml:space="preserve"> de </w:t>
            </w:r>
            <w:proofErr w:type="spellStart"/>
            <w:r w:rsidRPr="005D6514">
              <w:rPr>
                <w:sz w:val="16"/>
                <w:szCs w:val="16"/>
                <w:lang w:val="es-ES_tradnl"/>
              </w:rPr>
              <w:t>intervenção</w:t>
            </w:r>
            <w:proofErr w:type="spellEnd"/>
            <w:r w:rsidRPr="005D6514">
              <w:rPr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5D6514">
              <w:rPr>
                <w:sz w:val="16"/>
                <w:szCs w:val="16"/>
                <w:lang w:val="es-ES_tradnl"/>
              </w:rPr>
              <w:t>randomizado</w:t>
            </w:r>
            <w:proofErr w:type="spellEnd"/>
            <w:r w:rsidRPr="005D6514">
              <w:rPr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Pr="005D6514">
              <w:rPr>
                <w:sz w:val="16"/>
                <w:szCs w:val="16"/>
                <w:lang w:val="es-ES_tradnl"/>
              </w:rPr>
              <w:t>fatorial</w:t>
            </w:r>
            <w:proofErr w:type="spellEnd"/>
            <w:r w:rsidRPr="005D6514">
              <w:rPr>
                <w:sz w:val="16"/>
                <w:szCs w:val="16"/>
                <w:lang w:val="es-ES_tradnl"/>
              </w:rPr>
              <w:t xml:space="preserve">.  </w:t>
            </w:r>
            <w:r w:rsidRPr="005D6514">
              <w:rPr>
                <w:sz w:val="16"/>
                <w:szCs w:val="16"/>
              </w:rPr>
              <w:t xml:space="preserve">(Portuguese </w:t>
            </w:r>
            <w:r w:rsidRPr="005D6514">
              <w:rPr>
                <w:sz w:val="16"/>
                <w:szCs w:val="16"/>
              </w:rPr>
              <w:lastRenderedPageBreak/>
              <w:t>language paper).</w:t>
            </w:r>
          </w:p>
        </w:tc>
        <w:tc>
          <w:tcPr>
            <w:tcW w:w="108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lastRenderedPageBreak/>
              <w:t>Randomized factorial intervention trial with 3 arms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17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>367 individuals were tested for serological Leishmaniasis. The area of Teresina, BR, wa</w:t>
            </w:r>
            <w:r w:rsidR="00F244E2">
              <w:rPr>
                <w:sz w:val="16"/>
                <w:szCs w:val="16"/>
              </w:rPr>
              <w:t>s divided in 34 blocks random</w:t>
            </w:r>
            <w:r w:rsidRPr="005D6514">
              <w:rPr>
                <w:sz w:val="16"/>
                <w:szCs w:val="16"/>
              </w:rPr>
              <w:t xml:space="preserve">ly allocated to 4 </w:t>
            </w:r>
            <w:r w:rsidRPr="005D6514">
              <w:rPr>
                <w:sz w:val="16"/>
                <w:szCs w:val="16"/>
              </w:rPr>
              <w:lastRenderedPageBreak/>
              <w:t>types of intervention.</w:t>
            </w:r>
          </w:p>
        </w:tc>
        <w:tc>
          <w:tcPr>
            <w:tcW w:w="90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Brazil. </w:t>
            </w:r>
          </w:p>
        </w:tc>
        <w:tc>
          <w:tcPr>
            <w:tcW w:w="1260" w:type="dxa"/>
          </w:tcPr>
          <w:p w:rsidR="005D6514" w:rsidRPr="005D6514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t>1) spraying houses and animal pens with insecticide; 2) spraying houses and</w:t>
            </w:r>
          </w:p>
          <w:p w:rsidR="001059D1" w:rsidRPr="00B36ED8" w:rsidRDefault="005D6514" w:rsidP="00712627">
            <w:pPr>
              <w:rPr>
                <w:sz w:val="16"/>
                <w:szCs w:val="16"/>
              </w:rPr>
            </w:pPr>
            <w:proofErr w:type="gramStart"/>
            <w:r w:rsidRPr="005D6514">
              <w:rPr>
                <w:sz w:val="16"/>
                <w:szCs w:val="16"/>
              </w:rPr>
              <w:t>eliminating</w:t>
            </w:r>
            <w:proofErr w:type="gramEnd"/>
            <w:r w:rsidRPr="005D6514">
              <w:rPr>
                <w:sz w:val="16"/>
                <w:szCs w:val="16"/>
              </w:rPr>
              <w:t xml:space="preserve"> infected dogs; 3) combination of spraying </w:t>
            </w:r>
            <w:r w:rsidRPr="005D6514">
              <w:rPr>
                <w:sz w:val="16"/>
                <w:szCs w:val="16"/>
              </w:rPr>
              <w:lastRenderedPageBreak/>
              <w:t>houses and animal pens, and eliminating infected dogs, and 4) only spraying houses (control).</w:t>
            </w:r>
          </w:p>
        </w:tc>
        <w:tc>
          <w:tcPr>
            <w:tcW w:w="117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lastRenderedPageBreak/>
              <w:t xml:space="preserve">Human </w:t>
            </w:r>
            <w:proofErr w:type="spellStart"/>
            <w:r w:rsidRPr="005D6514">
              <w:rPr>
                <w:sz w:val="16"/>
                <w:szCs w:val="16"/>
              </w:rPr>
              <w:t>seroprevalence</w:t>
            </w:r>
            <w:proofErr w:type="spellEnd"/>
            <w:r w:rsidRPr="005D6514">
              <w:rPr>
                <w:sz w:val="16"/>
                <w:szCs w:val="16"/>
              </w:rPr>
              <w:t xml:space="preserve"> </w:t>
            </w:r>
            <w:proofErr w:type="gramStart"/>
            <w:r w:rsidRPr="005D6514">
              <w:rPr>
                <w:sz w:val="16"/>
                <w:szCs w:val="16"/>
              </w:rPr>
              <w:t>( by</w:t>
            </w:r>
            <w:proofErr w:type="gramEnd"/>
            <w:r w:rsidRPr="005D6514">
              <w:rPr>
                <w:sz w:val="16"/>
                <w:szCs w:val="16"/>
              </w:rPr>
              <w:t xml:space="preserve"> ELISA). Dog </w:t>
            </w:r>
            <w:proofErr w:type="spellStart"/>
            <w:r w:rsidRPr="005D6514">
              <w:rPr>
                <w:sz w:val="16"/>
                <w:szCs w:val="16"/>
              </w:rPr>
              <w:t>seroprevalence</w:t>
            </w:r>
            <w:proofErr w:type="spellEnd"/>
            <w:r w:rsidRPr="005D6514">
              <w:rPr>
                <w:sz w:val="16"/>
                <w:szCs w:val="16"/>
              </w:rPr>
              <w:t xml:space="preserve"> (by Indirect immunofluorescence - IFAT) used to detect </w:t>
            </w:r>
            <w:proofErr w:type="spellStart"/>
            <w:r w:rsidRPr="005D6514">
              <w:rPr>
                <w:sz w:val="16"/>
                <w:szCs w:val="16"/>
              </w:rPr>
              <w:t>seropostive</w:t>
            </w:r>
            <w:proofErr w:type="spellEnd"/>
            <w:r w:rsidRPr="005D6514">
              <w:rPr>
                <w:sz w:val="16"/>
                <w:szCs w:val="16"/>
              </w:rPr>
              <w:t xml:space="preserve"> dogs to be </w:t>
            </w:r>
            <w:r w:rsidRPr="005D6514">
              <w:rPr>
                <w:sz w:val="16"/>
                <w:szCs w:val="16"/>
              </w:rPr>
              <w:lastRenderedPageBreak/>
              <w:t>eliminated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:rsidR="001059D1" w:rsidRPr="00B36ED8" w:rsidRDefault="005D6514" w:rsidP="00712627">
            <w:pPr>
              <w:rPr>
                <w:sz w:val="16"/>
                <w:szCs w:val="16"/>
              </w:rPr>
            </w:pPr>
            <w:r w:rsidRPr="005D6514">
              <w:rPr>
                <w:sz w:val="16"/>
                <w:szCs w:val="16"/>
              </w:rPr>
              <w:lastRenderedPageBreak/>
              <w:t xml:space="preserve">Human and dog infection - measured by </w:t>
            </w:r>
            <w:proofErr w:type="spellStart"/>
            <w:r w:rsidRPr="005D6514">
              <w:rPr>
                <w:sz w:val="16"/>
                <w:szCs w:val="16"/>
              </w:rPr>
              <w:t>seroprevalence</w:t>
            </w:r>
            <w:proofErr w:type="spellEnd"/>
            <w:r w:rsidRPr="005D6514">
              <w:rPr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:rsidR="001059D1" w:rsidRPr="00B36ED8" w:rsidRDefault="001059D1" w:rsidP="00712627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1059D1" w:rsidRPr="00B36ED8" w:rsidRDefault="00E550FE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Spraying houses and eliminating infected dogs (arm 2) was associated with a decreased incidence of VL compared to ‘no intervention’ control (which actually consisted of house spraying only) OR 0.2 (95% CI 0.04-0.89). Spraying houses, animal pens and eliminating dogs (arm 3) was associated with a decrease in VL compared </w:t>
            </w:r>
            <w:r>
              <w:rPr>
                <w:sz w:val="16"/>
                <w:szCs w:val="16"/>
              </w:rPr>
              <w:lastRenderedPageBreak/>
              <w:t xml:space="preserve">with the control group. OR 0.69 (95% CI 0.27-1.76). No P values reported. Baseline prevalence in 367 individuals across all areas was 42%. Of the remaining 213 </w:t>
            </w:r>
            <w:proofErr w:type="spellStart"/>
            <w:r>
              <w:rPr>
                <w:sz w:val="16"/>
                <w:szCs w:val="16"/>
              </w:rPr>
              <w:t>seronegatives</w:t>
            </w:r>
            <w:proofErr w:type="spellEnd"/>
            <w:r>
              <w:rPr>
                <w:sz w:val="16"/>
                <w:szCs w:val="16"/>
              </w:rPr>
              <w:t xml:space="preserve">, only 56% (120) were analysed after 6 months to test </w:t>
            </w:r>
            <w:proofErr w:type="spellStart"/>
            <w:r>
              <w:rPr>
                <w:sz w:val="16"/>
                <w:szCs w:val="16"/>
              </w:rPr>
              <w:t>seroconversion</w:t>
            </w:r>
            <w:proofErr w:type="spellEnd"/>
            <w:r>
              <w:rPr>
                <w:sz w:val="16"/>
                <w:szCs w:val="16"/>
              </w:rPr>
              <w:t xml:space="preserve">. Of these 16.1% became infected during 6 months after being in the spraying with dog elimination </w:t>
            </w:r>
            <w:proofErr w:type="gramStart"/>
            <w:r>
              <w:rPr>
                <w:sz w:val="16"/>
                <w:szCs w:val="16"/>
              </w:rPr>
              <w:t>group,</w:t>
            </w:r>
            <w:proofErr w:type="gramEnd"/>
            <w:r>
              <w:rPr>
                <w:sz w:val="16"/>
                <w:szCs w:val="16"/>
              </w:rPr>
              <w:t xml:space="preserve"> and 37.9% of the house and animal pens as well as dog culling intervention became infected. </w:t>
            </w:r>
          </w:p>
        </w:tc>
        <w:tc>
          <w:tcPr>
            <w:tcW w:w="990" w:type="dxa"/>
          </w:tcPr>
          <w:p w:rsidR="001059D1" w:rsidRPr="00B36ED8" w:rsidRDefault="001059D1" w:rsidP="00712627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712627" w:rsidRPr="00B36ED8" w:rsidRDefault="00E550FE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 values reported. The 44% of drop outs were not described by intervention group and therefore it is impossible to </w:t>
            </w:r>
            <w:proofErr w:type="gramStart"/>
            <w:r w:rsidR="00F244E2">
              <w:rPr>
                <w:sz w:val="16"/>
                <w:szCs w:val="16"/>
              </w:rPr>
              <w:t>differentiate</w:t>
            </w:r>
            <w:r>
              <w:rPr>
                <w:sz w:val="16"/>
                <w:szCs w:val="16"/>
              </w:rPr>
              <w:t xml:space="preserve">  the</w:t>
            </w:r>
            <w:proofErr w:type="gramEnd"/>
            <w:r>
              <w:rPr>
                <w:sz w:val="16"/>
                <w:szCs w:val="16"/>
              </w:rPr>
              <w:t xml:space="preserve"> denominator of how many </w:t>
            </w:r>
            <w:proofErr w:type="spellStart"/>
            <w:r>
              <w:rPr>
                <w:sz w:val="16"/>
                <w:szCs w:val="16"/>
              </w:rPr>
              <w:lastRenderedPageBreak/>
              <w:t>seropositives</w:t>
            </w:r>
            <w:proofErr w:type="spellEnd"/>
            <w:r>
              <w:rPr>
                <w:sz w:val="16"/>
                <w:szCs w:val="16"/>
              </w:rPr>
              <w:t xml:space="preserve"> there were in each group. Only percentages are reported. The OR values reported for intervention groups 2 and 3 infer that adding the spraying of animal pens actually decreases the protective effect, indicating that this result may be due to chance.</w:t>
            </w:r>
          </w:p>
        </w:tc>
        <w:tc>
          <w:tcPr>
            <w:tcW w:w="1080" w:type="dxa"/>
          </w:tcPr>
          <w:p w:rsidR="001059D1" w:rsidRPr="00B36ED8" w:rsidRDefault="00E550FE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The spraying of houses plus animal culling is effective (OR 0.2) whereas including spraying of animal pens as well, decreased </w:t>
            </w:r>
            <w:r>
              <w:rPr>
                <w:sz w:val="16"/>
                <w:szCs w:val="16"/>
              </w:rPr>
              <w:lastRenderedPageBreak/>
              <w:t>the protective effect (OR 0.69).</w:t>
            </w:r>
          </w:p>
        </w:tc>
      </w:tr>
      <w:tr w:rsidR="00B36ED8" w:rsidRPr="00B36ED8" w:rsidTr="00712627">
        <w:tc>
          <w:tcPr>
            <w:tcW w:w="1188" w:type="dxa"/>
          </w:tcPr>
          <w:p w:rsidR="001059D1" w:rsidRPr="00B36ED8" w:rsidRDefault="00863388" w:rsidP="00712627">
            <w:pPr>
              <w:rPr>
                <w:sz w:val="16"/>
                <w:szCs w:val="16"/>
              </w:rPr>
            </w:pPr>
            <w:r w:rsidRPr="00863388">
              <w:rPr>
                <w:sz w:val="16"/>
                <w:szCs w:val="16"/>
              </w:rPr>
              <w:lastRenderedPageBreak/>
              <w:t>Rojas et al, 2006. A multifaceted intervention to prevent American cutaneous leishmaniasis in Colombia: results of a group-randomized trial.</w:t>
            </w:r>
          </w:p>
        </w:tc>
        <w:tc>
          <w:tcPr>
            <w:tcW w:w="1080" w:type="dxa"/>
          </w:tcPr>
          <w:p w:rsidR="001059D1" w:rsidRPr="00B36ED8" w:rsidRDefault="00863388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863388">
              <w:rPr>
                <w:sz w:val="16"/>
                <w:szCs w:val="16"/>
              </w:rPr>
              <w:t>luster randomised controlled trial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1059D1" w:rsidRPr="00B36ED8" w:rsidRDefault="00863388" w:rsidP="00712627">
            <w:pPr>
              <w:rPr>
                <w:sz w:val="16"/>
                <w:szCs w:val="16"/>
              </w:rPr>
            </w:pPr>
            <w:r w:rsidRPr="00863388">
              <w:rPr>
                <w:sz w:val="16"/>
                <w:szCs w:val="16"/>
              </w:rPr>
              <w:t>20 villages matched according to prevalence of Leishmania infection, number of inhabitants and level of community participation, and then randomly assigned to intervention or control.</w:t>
            </w:r>
          </w:p>
        </w:tc>
        <w:tc>
          <w:tcPr>
            <w:tcW w:w="900" w:type="dxa"/>
          </w:tcPr>
          <w:p w:rsidR="001059D1" w:rsidRPr="00B36ED8" w:rsidRDefault="00863388" w:rsidP="00712627">
            <w:pPr>
              <w:rPr>
                <w:sz w:val="16"/>
                <w:szCs w:val="16"/>
              </w:rPr>
            </w:pPr>
            <w:proofErr w:type="spellStart"/>
            <w:r w:rsidRPr="00863388">
              <w:rPr>
                <w:sz w:val="16"/>
                <w:szCs w:val="16"/>
              </w:rPr>
              <w:t>Tumaco</w:t>
            </w:r>
            <w:proofErr w:type="spellEnd"/>
            <w:r w:rsidRPr="00863388">
              <w:rPr>
                <w:sz w:val="16"/>
                <w:szCs w:val="16"/>
              </w:rPr>
              <w:t>, Colombia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260" w:type="dxa"/>
          </w:tcPr>
          <w:p w:rsidR="001059D1" w:rsidRPr="00B36ED8" w:rsidRDefault="00863388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863388">
              <w:rPr>
                <w:sz w:val="16"/>
                <w:szCs w:val="16"/>
              </w:rPr>
              <w:t xml:space="preserve">ntervention included </w:t>
            </w:r>
            <w:proofErr w:type="spellStart"/>
            <w:r w:rsidRPr="00863388">
              <w:rPr>
                <w:sz w:val="16"/>
                <w:szCs w:val="16"/>
              </w:rPr>
              <w:t>deltamethrin</w:t>
            </w:r>
            <w:proofErr w:type="spellEnd"/>
            <w:r w:rsidRPr="00863388">
              <w:rPr>
                <w:sz w:val="16"/>
                <w:szCs w:val="16"/>
              </w:rPr>
              <w:t xml:space="preserve">-impregnated </w:t>
            </w:r>
            <w:proofErr w:type="spellStart"/>
            <w:r w:rsidRPr="00863388">
              <w:rPr>
                <w:sz w:val="16"/>
                <w:szCs w:val="16"/>
              </w:rPr>
              <w:t>bednets</w:t>
            </w:r>
            <w:proofErr w:type="spellEnd"/>
            <w:r w:rsidRPr="00863388">
              <w:rPr>
                <w:sz w:val="16"/>
                <w:szCs w:val="16"/>
              </w:rPr>
              <w:t>, use of repellent in surrounding forest (</w:t>
            </w:r>
            <w:proofErr w:type="spellStart"/>
            <w:r w:rsidRPr="00863388">
              <w:rPr>
                <w:sz w:val="16"/>
                <w:szCs w:val="16"/>
              </w:rPr>
              <w:t>diethyltoluamide</w:t>
            </w:r>
            <w:proofErr w:type="spellEnd"/>
            <w:r w:rsidRPr="00863388">
              <w:rPr>
                <w:sz w:val="16"/>
                <w:szCs w:val="16"/>
              </w:rPr>
              <w:t xml:space="preserve"> and </w:t>
            </w:r>
            <w:proofErr w:type="spellStart"/>
            <w:r w:rsidRPr="00863388">
              <w:rPr>
                <w:sz w:val="16"/>
                <w:szCs w:val="16"/>
              </w:rPr>
              <w:t>permethrin</w:t>
            </w:r>
            <w:proofErr w:type="spellEnd"/>
            <w:r w:rsidRPr="00863388">
              <w:rPr>
                <w:sz w:val="16"/>
                <w:szCs w:val="16"/>
              </w:rPr>
              <w:t xml:space="preserve">), modification of sand fly resting sites (white washing trees), and health education </w:t>
            </w:r>
            <w:proofErr w:type="spellStart"/>
            <w:r w:rsidRPr="00863388">
              <w:rPr>
                <w:sz w:val="16"/>
                <w:szCs w:val="16"/>
              </w:rPr>
              <w:t>vs</w:t>
            </w:r>
            <w:proofErr w:type="spellEnd"/>
            <w:r w:rsidRPr="00863388">
              <w:rPr>
                <w:sz w:val="16"/>
                <w:szCs w:val="16"/>
              </w:rPr>
              <w:t xml:space="preserve"> no intervention (control)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170" w:type="dxa"/>
          </w:tcPr>
          <w:p w:rsidR="001059D1" w:rsidRPr="00B36ED8" w:rsidRDefault="00863388" w:rsidP="00712627">
            <w:pPr>
              <w:rPr>
                <w:sz w:val="16"/>
                <w:szCs w:val="16"/>
              </w:rPr>
            </w:pPr>
            <w:r w:rsidRPr="00863388">
              <w:rPr>
                <w:sz w:val="16"/>
                <w:szCs w:val="16"/>
              </w:rPr>
              <w:t>Active case finding -examination for scars and active lesions. LST was used to detect previous infection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080" w:type="dxa"/>
          </w:tcPr>
          <w:p w:rsidR="001059D1" w:rsidRPr="00B36ED8" w:rsidRDefault="00863388" w:rsidP="00712627">
            <w:pPr>
              <w:rPr>
                <w:sz w:val="16"/>
                <w:szCs w:val="16"/>
              </w:rPr>
            </w:pPr>
            <w:r w:rsidRPr="00863388">
              <w:rPr>
                <w:sz w:val="16"/>
                <w:szCs w:val="16"/>
              </w:rPr>
              <w:t>Human incidence of ACL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080" w:type="dxa"/>
          </w:tcPr>
          <w:p w:rsidR="001059D1" w:rsidRPr="00863388" w:rsidRDefault="00863388" w:rsidP="00712627">
            <w:pPr>
              <w:rPr>
                <w:sz w:val="16"/>
                <w:szCs w:val="16"/>
              </w:rPr>
            </w:pPr>
            <w:r w:rsidRPr="00863388">
              <w:rPr>
                <w:sz w:val="16"/>
                <w:szCs w:val="16"/>
              </w:rPr>
              <w:t>LST conversion was also investigated but not all participants were tested.</w:t>
            </w:r>
          </w:p>
        </w:tc>
        <w:tc>
          <w:tcPr>
            <w:tcW w:w="2340" w:type="dxa"/>
          </w:tcPr>
          <w:p w:rsidR="00863388" w:rsidRDefault="00863388" w:rsidP="00712627">
            <w:pPr>
              <w:rPr>
                <w:sz w:val="16"/>
                <w:szCs w:val="16"/>
              </w:rPr>
            </w:pPr>
            <w:r w:rsidRPr="00863388">
              <w:rPr>
                <w:sz w:val="16"/>
                <w:szCs w:val="16"/>
              </w:rPr>
              <w:t>0.56% (10/1719) in the intervention group compared to 1.25% (23/1840) in the control group OR = 0.42, 95% CI 0.14-1.26 (not significant, no P value given).</w:t>
            </w:r>
          </w:p>
          <w:p w:rsidR="00863388" w:rsidRPr="00863388" w:rsidRDefault="00863388" w:rsidP="00712627">
            <w:pPr>
              <w:rPr>
                <w:sz w:val="16"/>
                <w:szCs w:val="16"/>
              </w:rPr>
            </w:pPr>
          </w:p>
          <w:p w:rsidR="00863388" w:rsidRDefault="00863388" w:rsidP="00712627">
            <w:pPr>
              <w:rPr>
                <w:sz w:val="16"/>
                <w:szCs w:val="16"/>
              </w:rPr>
            </w:pPr>
          </w:p>
          <w:p w:rsidR="00863388" w:rsidRDefault="00863388" w:rsidP="00712627">
            <w:pPr>
              <w:rPr>
                <w:sz w:val="16"/>
                <w:szCs w:val="16"/>
              </w:rPr>
            </w:pPr>
          </w:p>
          <w:p w:rsidR="00863388" w:rsidRDefault="00863388" w:rsidP="00712627">
            <w:pPr>
              <w:rPr>
                <w:sz w:val="16"/>
                <w:szCs w:val="16"/>
              </w:rPr>
            </w:pPr>
          </w:p>
          <w:p w:rsidR="00863388" w:rsidRDefault="00863388" w:rsidP="00712627">
            <w:pPr>
              <w:rPr>
                <w:sz w:val="16"/>
                <w:szCs w:val="16"/>
              </w:rPr>
            </w:pPr>
          </w:p>
          <w:p w:rsidR="001059D1" w:rsidRPr="00863388" w:rsidRDefault="001059D1" w:rsidP="00712627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</w:tcPr>
          <w:p w:rsidR="001059D1" w:rsidRPr="00863388" w:rsidRDefault="00863388" w:rsidP="00712627">
            <w:pPr>
              <w:rPr>
                <w:sz w:val="16"/>
                <w:szCs w:val="16"/>
              </w:rPr>
            </w:pPr>
            <w:r w:rsidRPr="00863388">
              <w:rPr>
                <w:sz w:val="16"/>
                <w:szCs w:val="16"/>
              </w:rPr>
              <w:t>LST conversion was 82/1</w:t>
            </w:r>
            <w:r w:rsidR="00712627">
              <w:rPr>
                <w:sz w:val="16"/>
                <w:szCs w:val="16"/>
              </w:rPr>
              <w:t xml:space="preserve">066 (only 1066/1719 </w:t>
            </w:r>
            <w:proofErr w:type="gramStart"/>
            <w:r w:rsidR="00712627">
              <w:rPr>
                <w:sz w:val="16"/>
                <w:szCs w:val="16"/>
              </w:rPr>
              <w:t>were</w:t>
            </w:r>
            <w:proofErr w:type="gramEnd"/>
            <w:r w:rsidR="00712627">
              <w:rPr>
                <w:sz w:val="16"/>
                <w:szCs w:val="16"/>
              </w:rPr>
              <w:t xml:space="preserve"> tested)</w:t>
            </w:r>
            <w:r w:rsidRPr="00863388">
              <w:rPr>
                <w:sz w:val="16"/>
                <w:szCs w:val="16"/>
              </w:rPr>
              <w:t xml:space="preserve"> in the intervention group, and 80/1034 (only 1034/1840 were tested) in the control group. Adverse events associated with the use of the </w:t>
            </w:r>
            <w:proofErr w:type="spellStart"/>
            <w:r w:rsidRPr="00863388">
              <w:rPr>
                <w:sz w:val="16"/>
                <w:szCs w:val="16"/>
              </w:rPr>
              <w:t>bednets</w:t>
            </w:r>
            <w:proofErr w:type="spellEnd"/>
            <w:r w:rsidRPr="00863388">
              <w:rPr>
                <w:sz w:val="16"/>
                <w:szCs w:val="16"/>
              </w:rPr>
              <w:t xml:space="preserve"> and the repellent were reported in 2% of the participants and were always mild.</w:t>
            </w:r>
          </w:p>
        </w:tc>
        <w:tc>
          <w:tcPr>
            <w:tcW w:w="1440" w:type="dxa"/>
          </w:tcPr>
          <w:p w:rsidR="001059D1" w:rsidRPr="00B36ED8" w:rsidRDefault="00863388" w:rsidP="00712627">
            <w:pPr>
              <w:rPr>
                <w:sz w:val="16"/>
                <w:szCs w:val="16"/>
              </w:rPr>
            </w:pPr>
            <w:r w:rsidRPr="00863388">
              <w:rPr>
                <w:sz w:val="16"/>
                <w:szCs w:val="16"/>
              </w:rPr>
              <w:t>Randomisation explained. The small number of cases renders the effect estimate imprecise and precludes a claim of a protective effect for the intervention.</w:t>
            </w:r>
          </w:p>
        </w:tc>
        <w:tc>
          <w:tcPr>
            <w:tcW w:w="1080" w:type="dxa"/>
          </w:tcPr>
          <w:p w:rsidR="001059D1" w:rsidRPr="00B36ED8" w:rsidRDefault="00863388" w:rsidP="007126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</w:tr>
    </w:tbl>
    <w:p w:rsidR="001059D1" w:rsidRDefault="001059D1">
      <w:pPr>
        <w:rPr>
          <w:sz w:val="18"/>
          <w:szCs w:val="18"/>
        </w:rPr>
      </w:pPr>
    </w:p>
    <w:sectPr w:rsidR="001059D1" w:rsidSect="001F24F2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7FE" w:rsidRDefault="00DB17FE" w:rsidP="00503096">
      <w:pPr>
        <w:spacing w:after="0" w:line="240" w:lineRule="auto"/>
      </w:pPr>
      <w:r>
        <w:separator/>
      </w:r>
    </w:p>
  </w:endnote>
  <w:endnote w:type="continuationSeparator" w:id="0">
    <w:p w:rsidR="00DB17FE" w:rsidRDefault="00DB17FE" w:rsidP="00503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7FE" w:rsidRDefault="00DB17FE" w:rsidP="00503096">
      <w:pPr>
        <w:spacing w:after="0" w:line="240" w:lineRule="auto"/>
      </w:pPr>
      <w:r>
        <w:separator/>
      </w:r>
    </w:p>
  </w:footnote>
  <w:footnote w:type="continuationSeparator" w:id="0">
    <w:p w:rsidR="00DB17FE" w:rsidRDefault="00DB17FE" w:rsidP="00503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266" w:rsidRPr="00630470" w:rsidRDefault="00630470" w:rsidP="00630470">
    <w:pPr>
      <w:pStyle w:val="Header"/>
    </w:pPr>
    <w:r w:rsidRPr="00630470">
      <w:t>Dataset S4 – Full dataset of Multiple interventions studies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63"/>
    <w:rsid w:val="00061523"/>
    <w:rsid w:val="000B3A3B"/>
    <w:rsid w:val="001059D1"/>
    <w:rsid w:val="00152464"/>
    <w:rsid w:val="001C67D8"/>
    <w:rsid w:val="001F24F2"/>
    <w:rsid w:val="001F3B69"/>
    <w:rsid w:val="00210AB7"/>
    <w:rsid w:val="00226B21"/>
    <w:rsid w:val="002511A6"/>
    <w:rsid w:val="0025230D"/>
    <w:rsid w:val="00277EBB"/>
    <w:rsid w:val="002925AA"/>
    <w:rsid w:val="002E6891"/>
    <w:rsid w:val="00351FF2"/>
    <w:rsid w:val="00353EA2"/>
    <w:rsid w:val="00362E11"/>
    <w:rsid w:val="00381EEC"/>
    <w:rsid w:val="00386B99"/>
    <w:rsid w:val="00390B9B"/>
    <w:rsid w:val="003E37AD"/>
    <w:rsid w:val="003E4EA7"/>
    <w:rsid w:val="00411274"/>
    <w:rsid w:val="0043512F"/>
    <w:rsid w:val="0045115E"/>
    <w:rsid w:val="004E139B"/>
    <w:rsid w:val="00503096"/>
    <w:rsid w:val="00560E0D"/>
    <w:rsid w:val="005D6514"/>
    <w:rsid w:val="005F4E19"/>
    <w:rsid w:val="00630470"/>
    <w:rsid w:val="00643F01"/>
    <w:rsid w:val="00667CDA"/>
    <w:rsid w:val="0067788C"/>
    <w:rsid w:val="006C3BD6"/>
    <w:rsid w:val="006D29CD"/>
    <w:rsid w:val="00702739"/>
    <w:rsid w:val="00712627"/>
    <w:rsid w:val="007677EE"/>
    <w:rsid w:val="007B1E52"/>
    <w:rsid w:val="007E2155"/>
    <w:rsid w:val="00844CB3"/>
    <w:rsid w:val="00863388"/>
    <w:rsid w:val="00885852"/>
    <w:rsid w:val="00947443"/>
    <w:rsid w:val="009537F1"/>
    <w:rsid w:val="00971BF4"/>
    <w:rsid w:val="009F7753"/>
    <w:rsid w:val="00A119F8"/>
    <w:rsid w:val="00A41100"/>
    <w:rsid w:val="00A61A17"/>
    <w:rsid w:val="00A66A61"/>
    <w:rsid w:val="00A81BD8"/>
    <w:rsid w:val="00AC2E43"/>
    <w:rsid w:val="00AF7B63"/>
    <w:rsid w:val="00B21A47"/>
    <w:rsid w:val="00B36ED8"/>
    <w:rsid w:val="00B46E0D"/>
    <w:rsid w:val="00B9347D"/>
    <w:rsid w:val="00B93CDB"/>
    <w:rsid w:val="00C04A79"/>
    <w:rsid w:val="00C17F1E"/>
    <w:rsid w:val="00C3462C"/>
    <w:rsid w:val="00C36DBE"/>
    <w:rsid w:val="00C51266"/>
    <w:rsid w:val="00C82F38"/>
    <w:rsid w:val="00CA418F"/>
    <w:rsid w:val="00CD59A0"/>
    <w:rsid w:val="00CE73F7"/>
    <w:rsid w:val="00D2003E"/>
    <w:rsid w:val="00DB17FE"/>
    <w:rsid w:val="00DB499B"/>
    <w:rsid w:val="00DB624B"/>
    <w:rsid w:val="00E323D9"/>
    <w:rsid w:val="00E550FE"/>
    <w:rsid w:val="00E9728F"/>
    <w:rsid w:val="00F16FED"/>
    <w:rsid w:val="00F244E2"/>
    <w:rsid w:val="00FE5754"/>
    <w:rsid w:val="00FE65FD"/>
    <w:rsid w:val="00FF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3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0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03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096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3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0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03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09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3</cp:revision>
  <dcterms:created xsi:type="dcterms:W3CDTF">2012-12-16T21:38:00Z</dcterms:created>
  <dcterms:modified xsi:type="dcterms:W3CDTF">2013-05-12T17:29:00Z</dcterms:modified>
</cp:coreProperties>
</file>