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1"/>
        <w:tblW w:w="7860" w:type="dxa"/>
        <w:jc w:val="center"/>
        <w:tblLook w:val="04A0"/>
      </w:tblPr>
      <w:tblGrid>
        <w:gridCol w:w="7860"/>
      </w:tblGrid>
      <w:tr w:rsidR="00F7604C" w:rsidRPr="004675DD" w:rsidTr="003D3296">
        <w:trPr>
          <w:cnfStyle w:val="1000000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Zinc transporters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Metal ion SLC transporters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Zinc efflux and compartmentalization by the SLC30 family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Late Phase of HIV Life Cycle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Cell Cycle, Mitotic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Transcription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Gene Expression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HIV Life Cycle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Metabolism of non-coding RNA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SnRNP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Assembly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Translesion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synthesis by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Pol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eta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Egf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signaling pathway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Igf-1 signaling pathway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Sprouty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regulation of tyrosine kinase signals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 Chain Elongation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 Promoter Escape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 Transcription Termination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Tpo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signaling pathway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Down-stream signal transduction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 Transcription Initiation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Generic Transcription Pathway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Pdgf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signaling pathway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EGF receptor (ErbB1) signaling pathway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Processing of Capped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Intron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-Containing Pre-mRNA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Activation of the pre-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replicative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complex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NEP/NS2 Interacts with the Cellular Export Machinery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Negative Regulation of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Glucokinase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by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Glucokinase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Regulatory Protein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Nuclear import of Rev protein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Signaling by PDGF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Transport of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Ribonucleoproteins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into the Host Nucleus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Vpr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-mediated nuclear import of PICs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E2F mediated regulation of DNA replication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Export of Viral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Ribonucleoproteins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from Nucleus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Rev-mediated nuclear export of HIV-1 RNA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Mitotic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Prometaphase</w:t>
            </w:r>
            <w:proofErr w:type="spellEnd"/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Interactions of Rev with host cellular proteins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Interactions of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Vpr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with host cellular proteins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Transport of the SLBP independent Mature mRNA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DNA Damage Bypass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Formation of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Acetoacetic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Acid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Translesion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synthesis by DNA polymerases bypassing lesion on DNA template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Transport of the SLBP Dependant Mature mRNA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Formation and Maturation of mRNA Transcript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M Phase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Basal transcription factors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Transport of Mature mRNA Derived from an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Intronless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Transcript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Glucose uptake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Transport of Mature mRNAs Derived from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Intronless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Transcripts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lastRenderedPageBreak/>
              <w:t>RNA Polymerase II Transcription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D-Glutamine and D-glutamate metabolism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Synthesis of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Ketone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Bodies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Post-translational protein modification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Signaling events regulated by Ret tyrosine kinase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 Promoter Clearance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HIV-1 Transcription Initiation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HIV-1 Transcription Pre-Initiation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II HIV-1 Promoter Escape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II Promoter Escape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II Transcription Initiation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II Transcription Initiation And Promoter Clearance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II Transcription Pre-Initiation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Ketone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body metabolism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SMAC binds to IAPs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SMAC-mediated apoptotic response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SMAC-mediated dissociation of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IAP:caspase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complexes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Insulin Pathway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 Polymerase I Transcription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Amino sugar and nucleotide sugar metabolism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HIV Infection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Assembly of the ORC complex at the origin of replication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DNA replication initiation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De novo synthesis of IMP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Telomere C-strand synthesis initiation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Taste transduction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IL4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TGF-beta receptor signaling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Apoptotic factor-mediated response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Aspartate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,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asparagine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, glutamate, and glutamine metabolism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Inhibition of replication initiation of damaged DNA by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Rb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/E2F1</w:t>
            </w:r>
          </w:p>
        </w:tc>
      </w:tr>
      <w:tr w:rsidR="00F7604C" w:rsidRPr="004675DD" w:rsidTr="003D3296">
        <w:trPr>
          <w:cnfStyle w:val="000000100000"/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Transport of Mature mRNA derived from an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Intron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-Containing Transcript</w:t>
            </w:r>
          </w:p>
        </w:tc>
      </w:tr>
      <w:tr w:rsidR="00F7604C" w:rsidRPr="004675DD" w:rsidTr="003D3296">
        <w:trPr>
          <w:trHeight w:val="255"/>
          <w:jc w:val="center"/>
        </w:trPr>
        <w:tc>
          <w:tcPr>
            <w:cnfStyle w:val="001000000000"/>
            <w:tcW w:w="7860" w:type="dxa"/>
            <w:noWrap/>
            <w:hideMark/>
          </w:tcPr>
          <w:p w:rsidR="00F7604C" w:rsidRPr="004675DD" w:rsidRDefault="00F7604C" w:rsidP="003D3296">
            <w:pPr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Signaling events activated by </w:t>
            </w:r>
            <w:proofErr w:type="spellStart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Hepatocyte</w:t>
            </w:r>
            <w:proofErr w:type="spellEnd"/>
            <w:r w:rsidRPr="004675DD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Growth Factor Receptor (c-Met)</w:t>
            </w:r>
          </w:p>
        </w:tc>
      </w:tr>
    </w:tbl>
    <w:p w:rsidR="008F0C25" w:rsidRDefault="008F0C25"/>
    <w:sectPr w:rsidR="008F0C25" w:rsidSect="008F0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F7604C"/>
    <w:rsid w:val="008F0C25"/>
    <w:rsid w:val="00F7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04C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F760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2575</Characters>
  <Application>Microsoft Office Word</Application>
  <DocSecurity>0</DocSecurity>
  <Lines>21</Lines>
  <Paragraphs>6</Paragraphs>
  <ScaleCrop>false</ScaleCrop>
  <Company> 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arashh</dc:creator>
  <cp:keywords/>
  <dc:description/>
  <cp:lastModifiedBy>arashh</cp:lastModifiedBy>
  <cp:revision>1</cp:revision>
  <dcterms:created xsi:type="dcterms:W3CDTF">2012-08-03T17:48:00Z</dcterms:created>
  <dcterms:modified xsi:type="dcterms:W3CDTF">2012-08-03T17:48:00Z</dcterms:modified>
</cp:coreProperties>
</file>