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4B0" w:rsidRPr="004E6DEB" w:rsidRDefault="004124D4" w:rsidP="001444B0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S1</w:t>
      </w:r>
      <w:r w:rsidR="001444B0" w:rsidRPr="004E6D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444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</w:t>
      </w:r>
      <w:r w:rsidR="001444B0" w:rsidRPr="004E6D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able.</w:t>
      </w:r>
      <w:r w:rsidR="001444B0" w:rsidRPr="004E6D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Univariate and multivariate analys</w:t>
      </w:r>
      <w:r w:rsidR="001444B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1444B0" w:rsidRPr="004E6DEB">
        <w:rPr>
          <w:rFonts w:ascii="Times New Roman" w:hAnsi="Times New Roman" w:cs="Times New Roman"/>
          <w:color w:val="000000" w:themeColor="text1"/>
          <w:sz w:val="24"/>
          <w:szCs w:val="24"/>
        </w:rPr>
        <w:t>s for progression-free survival</w:t>
      </w:r>
    </w:p>
    <w:tbl>
      <w:tblPr>
        <w:tblW w:w="12061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"/>
        <w:gridCol w:w="4340"/>
        <w:gridCol w:w="777"/>
        <w:gridCol w:w="1781"/>
        <w:gridCol w:w="1076"/>
        <w:gridCol w:w="204"/>
        <w:gridCol w:w="777"/>
        <w:gridCol w:w="1781"/>
        <w:gridCol w:w="1076"/>
        <w:gridCol w:w="204"/>
      </w:tblGrid>
      <w:tr w:rsidR="001444B0" w:rsidRPr="004E6DEB" w:rsidTr="00021864">
        <w:trPr>
          <w:trHeight w:val="330"/>
        </w:trPr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32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PFS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Univariate analysis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Multivariate analysis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Variables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HR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95% CI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p-value</w:t>
            </w:r>
          </w:p>
        </w:tc>
        <w:tc>
          <w:tcPr>
            <w:tcW w:w="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HR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95% CI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>p-value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Sex (Male vs. Female)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3.017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0.360-25.314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0.309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Location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2.105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1.088-4.073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0.027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ind w:firstLineChars="200" w:firstLine="440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Neck vs. Abdomen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0.034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ind w:firstLineChars="200" w:firstLine="440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 xml:space="preserve">Thorax vs. Abdomen 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0.034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ind w:firstLineChars="200" w:firstLine="440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Thorax vs. Lower extremity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0.038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ind w:firstLineChars="200" w:firstLine="440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Neck, thorax vs. Abdomen vs. Others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4.731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0.979-22.855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0.053 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Tumor size (</w:t>
            </w:r>
            <w:r w:rsidRPr="004E6DEB">
              <w:rPr>
                <w:rFonts w:ascii="맑은 고딕" w:eastAsia="맑은 고딕" w:hAnsi="맑은 고딕" w:cs="Times New Roman"/>
                <w:bCs/>
                <w:color w:val="000000"/>
                <w:kern w:val="0"/>
                <w:sz w:val="22"/>
              </w:rPr>
              <w:t>≥</w:t>
            </w: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7cm vs. &lt;7cm)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1.069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0.237-4.809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0.931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Prior surgery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0.690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0.080-5.936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0.736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RM status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0.636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0.184-2.196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0.474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4E6DEB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Chemotherapy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0.046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0.000-40.999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4E6DEB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0.695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867EBF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4E6DEB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345CB0" w:rsidP="00FE751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 xml:space="preserve">CTV </w:t>
            </w:r>
            <w:r w:rsidR="00FE7515" w:rsidRPr="00867EBF">
              <w:rPr>
                <w:rFonts w:ascii="Times New Roman" w:eastAsia="맑은 고딕" w:hAnsi="Times New Roman" w:cs="Times New Roman" w:hint="eastAsia"/>
                <w:bCs/>
                <w:color w:val="000000"/>
                <w:kern w:val="0"/>
                <w:sz w:val="22"/>
              </w:rPr>
              <w:t>margin</w:t>
            </w:r>
            <w:r w:rsidR="001444B0" w:rsidRPr="00867EBF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 xml:space="preserve"> (</w:t>
            </w:r>
            <w:r w:rsidR="001444B0" w:rsidRPr="00867EBF">
              <w:rPr>
                <w:rFonts w:ascii="Times New Roman" w:eastAsia="바탕" w:hAnsi="Times New Roman" w:cs="Times New Roman"/>
                <w:bCs/>
                <w:color w:val="000000"/>
                <w:kern w:val="0"/>
                <w:sz w:val="22"/>
              </w:rPr>
              <w:t>≥</w:t>
            </w:r>
            <w:r w:rsidR="001444B0" w:rsidRPr="00867EBF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5cm vs. &lt;5cm)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0.417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0.091-1.914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0.260 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0.174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0.033-0.917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0.039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444B0" w:rsidRPr="00867EBF" w:rsidTr="00021864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FE751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RT dose (</w:t>
            </w:r>
            <w:r w:rsidRPr="00867EBF">
              <w:rPr>
                <w:rFonts w:ascii="Times New Roman" w:eastAsia="바탕" w:hAnsi="Times New Roman" w:cs="Times New Roman"/>
                <w:bCs/>
                <w:color w:val="000000"/>
                <w:kern w:val="0"/>
                <w:sz w:val="22"/>
              </w:rPr>
              <w:t>&gt;</w:t>
            </w:r>
            <w:r w:rsidRPr="00867EBF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 xml:space="preserve">45 </w:t>
            </w:r>
            <w:proofErr w:type="spellStart"/>
            <w:r w:rsidRPr="00867EBF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>Gy</w:t>
            </w:r>
            <w:proofErr w:type="spellEnd"/>
            <w:r w:rsidRPr="00867EBF">
              <w:rPr>
                <w:rFonts w:ascii="Times New Roman" w:eastAsia="맑은 고딕" w:hAnsi="Times New Roman" w:cs="Times New Roman"/>
                <w:bCs/>
                <w:color w:val="000000"/>
                <w:kern w:val="0"/>
                <w:sz w:val="22"/>
              </w:rPr>
              <w:t xml:space="preserve"> vs. ≤45 Gy)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0.102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0.012-0.854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0.035 </w:t>
            </w:r>
          </w:p>
        </w:tc>
        <w:tc>
          <w:tcPr>
            <w:tcW w:w="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0.014-0.995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0.049 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4B0" w:rsidRPr="00867EBF" w:rsidRDefault="001444B0" w:rsidP="000218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867EBF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444B0" w:rsidRPr="00867EBF" w:rsidRDefault="001444B0" w:rsidP="001444B0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1444B0" w:rsidRPr="004E6DEB" w:rsidRDefault="001444B0" w:rsidP="001444B0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67EBF">
        <w:rPr>
          <w:rFonts w:ascii="Times New Roman" w:hAnsi="Times New Roman" w:cs="Times New Roman"/>
          <w:b/>
          <w:i/>
          <w:sz w:val="24"/>
          <w:szCs w:val="24"/>
        </w:rPr>
        <w:t>Abbreviations:</w:t>
      </w:r>
      <w:r w:rsidRPr="00867EBF">
        <w:rPr>
          <w:rFonts w:ascii="Times New Roman" w:hAnsi="Times New Roman" w:cs="Times New Roman"/>
          <w:sz w:val="24"/>
          <w:szCs w:val="24"/>
        </w:rPr>
        <w:t xml:space="preserve"> RM, resection margin; RT, radiotherapy; </w:t>
      </w:r>
      <w:r w:rsidR="00345CB0" w:rsidRPr="00867EBF">
        <w:rPr>
          <w:rFonts w:ascii="Times New Roman" w:hAnsi="Times New Roman" w:cs="Times New Roman"/>
          <w:sz w:val="24"/>
          <w:szCs w:val="24"/>
        </w:rPr>
        <w:t xml:space="preserve">CTV, clinical target volume; </w:t>
      </w:r>
      <w:r w:rsidRPr="00867EBF">
        <w:rPr>
          <w:rFonts w:ascii="Times New Roman" w:hAnsi="Times New Roman" w:cs="Times New Roman"/>
          <w:sz w:val="24"/>
          <w:szCs w:val="24"/>
        </w:rPr>
        <w:t>PFS, progression-free survival; HR, hazard ratio; CI, confidence interval.</w:t>
      </w:r>
    </w:p>
    <w:p w:rsidR="001444B0" w:rsidRPr="004E6DEB" w:rsidRDefault="001444B0" w:rsidP="001444B0">
      <w:pPr>
        <w:spacing w:line="480" w:lineRule="auto"/>
        <w:jc w:val="left"/>
        <w:rPr>
          <w:sz w:val="24"/>
          <w:szCs w:val="24"/>
        </w:rPr>
      </w:pPr>
    </w:p>
    <w:p w:rsidR="0069002E" w:rsidRPr="001444B0" w:rsidRDefault="0069002E">
      <w:bookmarkStart w:id="0" w:name="_GoBack"/>
      <w:bookmarkEnd w:id="0"/>
    </w:p>
    <w:sectPr w:rsidR="0069002E" w:rsidRPr="001444B0" w:rsidSect="00EB5F25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D7C" w:rsidRDefault="00353D7C" w:rsidP="00867EBF">
      <w:pPr>
        <w:spacing w:after="0" w:line="240" w:lineRule="auto"/>
      </w:pPr>
      <w:r>
        <w:separator/>
      </w:r>
    </w:p>
  </w:endnote>
  <w:endnote w:type="continuationSeparator" w:id="0">
    <w:p w:rsidR="00353D7C" w:rsidRDefault="00353D7C" w:rsidP="00867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D7C" w:rsidRDefault="00353D7C" w:rsidP="00867EBF">
      <w:pPr>
        <w:spacing w:after="0" w:line="240" w:lineRule="auto"/>
      </w:pPr>
      <w:r>
        <w:separator/>
      </w:r>
    </w:p>
  </w:footnote>
  <w:footnote w:type="continuationSeparator" w:id="0">
    <w:p w:rsidR="00353D7C" w:rsidRDefault="00353D7C" w:rsidP="00867E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7MwMDQwNjaxMDM3MTZX0lEKTi0uzszPAykwqQUAx7SA8CwAAAA="/>
  </w:docVars>
  <w:rsids>
    <w:rsidRoot w:val="001444B0"/>
    <w:rsid w:val="0014061F"/>
    <w:rsid w:val="001444B0"/>
    <w:rsid w:val="00345CB0"/>
    <w:rsid w:val="00353D7C"/>
    <w:rsid w:val="004124D4"/>
    <w:rsid w:val="004F1415"/>
    <w:rsid w:val="0069002E"/>
    <w:rsid w:val="00867EBF"/>
    <w:rsid w:val="00F16087"/>
    <w:rsid w:val="00FE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EF317F-51D7-4BB2-A8BB-9EECF9BE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4B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44B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1444B0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67EB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867EBF"/>
  </w:style>
  <w:style w:type="paragraph" w:styleId="a5">
    <w:name w:val="footer"/>
    <w:basedOn w:val="a"/>
    <w:link w:val="Char1"/>
    <w:uiPriority w:val="99"/>
    <w:unhideWhenUsed/>
    <w:rsid w:val="00867EB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867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연세의료원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최서희(방사선종양학교실)</dc:creator>
  <cp:lastModifiedBy>최서희</cp:lastModifiedBy>
  <cp:revision>2</cp:revision>
  <dcterms:created xsi:type="dcterms:W3CDTF">2018-05-19T00:20:00Z</dcterms:created>
  <dcterms:modified xsi:type="dcterms:W3CDTF">2018-05-19T00:20:00Z</dcterms:modified>
</cp:coreProperties>
</file>