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D76" w:rsidRPr="00A05FEB" w:rsidRDefault="00CD4D76" w:rsidP="00CD4D76">
      <w:pPr>
        <w:jc w:val="both"/>
        <w:rPr>
          <w:b/>
        </w:rPr>
      </w:pPr>
      <w:r w:rsidRPr="00A05FEB">
        <w:rPr>
          <w:b/>
        </w:rPr>
        <w:t>Table 2     Characteristic of studies included in the review</w:t>
      </w:r>
    </w:p>
    <w:tbl>
      <w:tblPr>
        <w:tblStyle w:val="TableGrid"/>
        <w:tblpPr w:leftFromText="180" w:rightFromText="180" w:vertAnchor="text" w:horzAnchor="margin" w:tblpY="304"/>
        <w:tblW w:w="13149" w:type="dxa"/>
        <w:tblLayout w:type="fixed"/>
        <w:tblLook w:val="0000" w:firstRow="0" w:lastRow="0" w:firstColumn="0" w:lastColumn="0" w:noHBand="0" w:noVBand="0"/>
      </w:tblPr>
      <w:tblGrid>
        <w:gridCol w:w="1101"/>
        <w:gridCol w:w="992"/>
        <w:gridCol w:w="992"/>
        <w:gridCol w:w="1418"/>
        <w:gridCol w:w="1121"/>
        <w:gridCol w:w="1288"/>
        <w:gridCol w:w="1276"/>
        <w:gridCol w:w="1418"/>
        <w:gridCol w:w="3543"/>
      </w:tblGrid>
      <w:tr w:rsidR="00CD4D76" w:rsidRPr="00A05FEB" w:rsidTr="00C93DB3">
        <w:trPr>
          <w:trHeight w:val="665"/>
        </w:trPr>
        <w:tc>
          <w:tcPr>
            <w:tcW w:w="1101" w:type="dxa"/>
          </w:tcPr>
          <w:p w:rsidR="00CD4D76" w:rsidRPr="00A05FEB" w:rsidRDefault="00CD4D76" w:rsidP="00C93DB3">
            <w:pPr>
              <w:ind w:left="-125"/>
              <w:jc w:val="both"/>
            </w:pPr>
            <w:r w:rsidRPr="00A05FEB">
              <w:t>Lead</w:t>
            </w:r>
          </w:p>
          <w:p w:rsidR="00CD4D76" w:rsidRPr="00A05FEB" w:rsidRDefault="00CD4D76" w:rsidP="00C93DB3">
            <w:pPr>
              <w:ind w:left="-125"/>
              <w:jc w:val="both"/>
            </w:pPr>
            <w:r w:rsidRPr="00A05FEB">
              <w:t>author</w:t>
            </w:r>
          </w:p>
        </w:tc>
        <w:tc>
          <w:tcPr>
            <w:tcW w:w="992" w:type="dxa"/>
          </w:tcPr>
          <w:p w:rsidR="00CD4D76" w:rsidRPr="00A05FEB" w:rsidRDefault="00CD4D76" w:rsidP="00C93DB3">
            <w:pPr>
              <w:jc w:val="both"/>
            </w:pPr>
            <w:r w:rsidRPr="00A05FEB">
              <w:t>Year</w:t>
            </w:r>
          </w:p>
          <w:p w:rsidR="00CD4D76" w:rsidRPr="00A05FEB" w:rsidRDefault="00CD4D76" w:rsidP="00C93DB3">
            <w:pPr>
              <w:jc w:val="both"/>
            </w:pPr>
          </w:p>
        </w:tc>
        <w:tc>
          <w:tcPr>
            <w:tcW w:w="992" w:type="dxa"/>
          </w:tcPr>
          <w:p w:rsidR="00CD4D76" w:rsidRPr="00A05FEB" w:rsidRDefault="00CD4D76" w:rsidP="00C93DB3">
            <w:pPr>
              <w:jc w:val="both"/>
            </w:pPr>
            <w:r w:rsidRPr="00A05FEB">
              <w:t>Country</w:t>
            </w:r>
          </w:p>
          <w:p w:rsidR="00CD4D76" w:rsidRPr="00A05FEB" w:rsidRDefault="00CD4D76" w:rsidP="00C93DB3">
            <w:pPr>
              <w:jc w:val="both"/>
            </w:pPr>
          </w:p>
        </w:tc>
        <w:tc>
          <w:tcPr>
            <w:tcW w:w="1418" w:type="dxa"/>
          </w:tcPr>
          <w:p w:rsidR="00CD4D76" w:rsidRPr="00A05FEB" w:rsidRDefault="00CD4D76" w:rsidP="00C93DB3">
            <w:pPr>
              <w:jc w:val="both"/>
            </w:pPr>
            <w:r w:rsidRPr="00A05FEB">
              <w:t>Sample description</w:t>
            </w:r>
          </w:p>
        </w:tc>
        <w:tc>
          <w:tcPr>
            <w:tcW w:w="1121" w:type="dxa"/>
          </w:tcPr>
          <w:p w:rsidR="00CD4D76" w:rsidRPr="00A05FEB" w:rsidRDefault="00CD4D76" w:rsidP="00C93DB3">
            <w:pPr>
              <w:jc w:val="both"/>
            </w:pPr>
            <w:r w:rsidRPr="00A05FEB">
              <w:t>Type of cancer</w:t>
            </w:r>
          </w:p>
        </w:tc>
        <w:tc>
          <w:tcPr>
            <w:tcW w:w="1288" w:type="dxa"/>
          </w:tcPr>
          <w:p w:rsidR="00CD4D76" w:rsidRPr="00A05FEB" w:rsidRDefault="00CD4D76" w:rsidP="00C93DB3">
            <w:pPr>
              <w:spacing w:after="200" w:line="276" w:lineRule="auto"/>
              <w:jc w:val="both"/>
            </w:pPr>
            <w:r w:rsidRPr="00A05FEB">
              <w:t>Duration of Study</w:t>
            </w:r>
          </w:p>
        </w:tc>
        <w:tc>
          <w:tcPr>
            <w:tcW w:w="1276" w:type="dxa"/>
          </w:tcPr>
          <w:p w:rsidR="00CD4D76" w:rsidRPr="00A05FEB" w:rsidRDefault="00CD4D76" w:rsidP="00C93DB3">
            <w:pPr>
              <w:jc w:val="both"/>
            </w:pPr>
            <w:r w:rsidRPr="00A05FEB">
              <w:t>Study design</w:t>
            </w:r>
          </w:p>
          <w:p w:rsidR="00CD4D76" w:rsidRPr="00A05FEB" w:rsidRDefault="00CD4D76" w:rsidP="00C93DB3">
            <w:pPr>
              <w:jc w:val="both"/>
              <w:rPr>
                <w:b/>
              </w:rPr>
            </w:pPr>
          </w:p>
        </w:tc>
        <w:tc>
          <w:tcPr>
            <w:tcW w:w="1418" w:type="dxa"/>
          </w:tcPr>
          <w:p w:rsidR="00CD4D76" w:rsidRPr="00A05FEB" w:rsidRDefault="00CD4D76" w:rsidP="00C93DB3">
            <w:pPr>
              <w:jc w:val="both"/>
            </w:pPr>
            <w:r w:rsidRPr="00A05FEB">
              <w:t>Sample size</w:t>
            </w:r>
          </w:p>
        </w:tc>
        <w:tc>
          <w:tcPr>
            <w:tcW w:w="3543" w:type="dxa"/>
          </w:tcPr>
          <w:p w:rsidR="00CD4D76" w:rsidRPr="00A05FEB" w:rsidRDefault="00CD4D76" w:rsidP="00C93DB3">
            <w:pPr>
              <w:jc w:val="both"/>
            </w:pPr>
            <w:r>
              <w:t>Conclusion</w:t>
            </w:r>
          </w:p>
        </w:tc>
      </w:tr>
      <w:tr w:rsidR="00CD4D76" w:rsidRPr="00A05FEB" w:rsidTr="00C93DB3">
        <w:trPr>
          <w:trHeight w:val="1718"/>
        </w:trPr>
        <w:tc>
          <w:tcPr>
            <w:tcW w:w="1101" w:type="dxa"/>
          </w:tcPr>
          <w:p w:rsidR="00CD4D76" w:rsidRPr="00A05FEB" w:rsidRDefault="00CD4D76" w:rsidP="00C93DB3">
            <w:pPr>
              <w:ind w:left="-125"/>
              <w:jc w:val="both"/>
            </w:pPr>
          </w:p>
          <w:p w:rsidR="00CD4D76" w:rsidRPr="00A05FEB" w:rsidRDefault="00CD4D76" w:rsidP="00C93DB3">
            <w:pPr>
              <w:ind w:left="-125"/>
              <w:jc w:val="both"/>
            </w:pPr>
            <w:r w:rsidRPr="00A05FEB">
              <w:t>Ibrahim</w:t>
            </w:r>
          </w:p>
        </w:tc>
        <w:tc>
          <w:tcPr>
            <w:tcW w:w="992" w:type="dxa"/>
          </w:tcPr>
          <w:p w:rsidR="00CD4D76" w:rsidRPr="00A05FEB" w:rsidRDefault="00CD4D76" w:rsidP="00C93DB3">
            <w:pPr>
              <w:jc w:val="both"/>
            </w:pPr>
          </w:p>
          <w:p w:rsidR="00CD4D76" w:rsidRPr="00A05FEB" w:rsidRDefault="00CD4D76" w:rsidP="00C93DB3">
            <w:pPr>
              <w:jc w:val="both"/>
            </w:pPr>
            <w:r w:rsidRPr="00A05FEB">
              <w:t>2013</w:t>
            </w:r>
          </w:p>
        </w:tc>
        <w:tc>
          <w:tcPr>
            <w:tcW w:w="992" w:type="dxa"/>
          </w:tcPr>
          <w:p w:rsidR="00CD4D76" w:rsidRPr="00A05FEB" w:rsidRDefault="00CD4D76" w:rsidP="00C93DB3">
            <w:pPr>
              <w:jc w:val="both"/>
            </w:pPr>
          </w:p>
          <w:p w:rsidR="00CD4D76" w:rsidRPr="00A05FEB" w:rsidRDefault="00CD4D76" w:rsidP="00C93DB3">
            <w:pPr>
              <w:jc w:val="both"/>
            </w:pPr>
            <w:r w:rsidRPr="00A05FEB">
              <w:t>UAE</w:t>
            </w:r>
          </w:p>
        </w:tc>
        <w:tc>
          <w:tcPr>
            <w:tcW w:w="1418" w:type="dxa"/>
          </w:tcPr>
          <w:p w:rsidR="00CD4D76" w:rsidRPr="00A05FEB" w:rsidRDefault="00CD4D76" w:rsidP="00C93DB3">
            <w:pPr>
              <w:jc w:val="both"/>
            </w:pPr>
          </w:p>
          <w:p w:rsidR="00CD4D76" w:rsidRPr="00A05FEB" w:rsidRDefault="00CD4D76" w:rsidP="00C93DB3">
            <w:pPr>
              <w:jc w:val="both"/>
            </w:pPr>
            <w:r>
              <w:t>C</w:t>
            </w:r>
            <w:r w:rsidRPr="00E55FC5">
              <w:t>ommunity pharmacies</w:t>
            </w:r>
          </w:p>
        </w:tc>
        <w:tc>
          <w:tcPr>
            <w:tcW w:w="1121" w:type="dxa"/>
          </w:tcPr>
          <w:p w:rsidR="00CD4D76" w:rsidRPr="00A05FEB" w:rsidRDefault="00CD4D76" w:rsidP="00C93DB3">
            <w:pPr>
              <w:jc w:val="both"/>
            </w:pPr>
          </w:p>
          <w:p w:rsidR="00CD4D76" w:rsidRPr="00A05FEB" w:rsidRDefault="00CD4D76" w:rsidP="00C93DB3">
            <w:pPr>
              <w:jc w:val="both"/>
            </w:pPr>
            <w:r w:rsidRPr="00A05FEB">
              <w:t>Breast</w:t>
            </w:r>
          </w:p>
        </w:tc>
        <w:tc>
          <w:tcPr>
            <w:tcW w:w="1288" w:type="dxa"/>
          </w:tcPr>
          <w:p w:rsidR="00CD4D76" w:rsidRPr="00A05FEB" w:rsidRDefault="00CD4D76" w:rsidP="00C93DB3">
            <w:pPr>
              <w:jc w:val="both"/>
            </w:pPr>
          </w:p>
          <w:p w:rsidR="00CD4D76" w:rsidRPr="00A05FEB" w:rsidRDefault="00CD4D76" w:rsidP="00C93DB3">
            <w:pPr>
              <w:spacing w:after="200" w:line="276" w:lineRule="auto"/>
              <w:jc w:val="center"/>
            </w:pPr>
            <w:r w:rsidRPr="00A05FEB">
              <w:t>24 weeks</w:t>
            </w:r>
          </w:p>
        </w:tc>
        <w:tc>
          <w:tcPr>
            <w:tcW w:w="1276" w:type="dxa"/>
          </w:tcPr>
          <w:p w:rsidR="00CD4D76" w:rsidRPr="00A05FEB" w:rsidRDefault="00CD4D76" w:rsidP="00C93DB3">
            <w:pPr>
              <w:jc w:val="both"/>
            </w:pPr>
          </w:p>
          <w:p w:rsidR="00CD4D76" w:rsidRPr="00A05FEB" w:rsidRDefault="00CD4D76" w:rsidP="00C93DB3">
            <w:pPr>
              <w:jc w:val="both"/>
            </w:pPr>
            <w:r w:rsidRPr="00A05FEB">
              <w:t>Cross sectional survey</w:t>
            </w:r>
          </w:p>
        </w:tc>
        <w:tc>
          <w:tcPr>
            <w:tcW w:w="1418" w:type="dxa"/>
          </w:tcPr>
          <w:p w:rsidR="00CD4D76" w:rsidRPr="00A05FEB" w:rsidRDefault="00CD4D76" w:rsidP="00C93DB3">
            <w:pPr>
              <w:jc w:val="both"/>
            </w:pPr>
          </w:p>
          <w:p w:rsidR="00CD4D76" w:rsidRPr="00A05FEB" w:rsidRDefault="00CD4D76" w:rsidP="00C93DB3">
            <w:pPr>
              <w:jc w:val="both"/>
            </w:pPr>
            <w:r w:rsidRPr="00A05FEB">
              <w:t>335</w:t>
            </w:r>
          </w:p>
        </w:tc>
        <w:tc>
          <w:tcPr>
            <w:tcW w:w="3543" w:type="dxa"/>
          </w:tcPr>
          <w:p w:rsidR="00CD4D76" w:rsidRPr="00CC6BA0" w:rsidRDefault="00CD4D76" w:rsidP="00C93DB3">
            <w:pPr>
              <w:jc w:val="both"/>
            </w:pPr>
            <w:r>
              <w:t xml:space="preserve">Community </w:t>
            </w:r>
            <w:r w:rsidRPr="00CC6BA0">
              <w:t>Pharmacists have low level of knowledge in</w:t>
            </w:r>
            <w:r>
              <w:t xml:space="preserve"> </w:t>
            </w:r>
            <w:r w:rsidRPr="00CC6BA0">
              <w:t>breast</w:t>
            </w:r>
            <w:r>
              <w:t xml:space="preserve"> </w:t>
            </w:r>
            <w:r w:rsidRPr="00CC6BA0">
              <w:t>cancer.</w:t>
            </w:r>
            <w:r>
              <w:t xml:space="preserve"> </w:t>
            </w:r>
            <w:r w:rsidRPr="00CC6BA0">
              <w:t>Efforts</w:t>
            </w:r>
            <w:r>
              <w:t xml:space="preserve"> </w:t>
            </w:r>
            <w:r w:rsidRPr="00CC6BA0">
              <w:t>should</w:t>
            </w:r>
            <w:r>
              <w:t xml:space="preserve"> </w:t>
            </w:r>
            <w:r w:rsidRPr="00CC6BA0">
              <w:t>be</w:t>
            </w:r>
            <w:r>
              <w:t xml:space="preserve"> </w:t>
            </w:r>
            <w:r w:rsidRPr="00CC6BA0">
              <w:t>made</w:t>
            </w:r>
            <w:r>
              <w:t xml:space="preserve"> </w:t>
            </w:r>
            <w:r w:rsidRPr="00CC6BA0">
              <w:t>on providing pharmacists with</w:t>
            </w:r>
            <w:r>
              <w:t xml:space="preserve"> </w:t>
            </w:r>
            <w:r w:rsidRPr="00CC6BA0">
              <w:t>high</w:t>
            </w:r>
            <w:r>
              <w:t xml:space="preserve"> </w:t>
            </w:r>
            <w:r w:rsidRPr="00CC6BA0">
              <w:t>quality</w:t>
            </w:r>
          </w:p>
          <w:p w:rsidR="00CD4D76" w:rsidRPr="00A05FEB" w:rsidRDefault="00CD4D76" w:rsidP="00C93DB3">
            <w:pPr>
              <w:jc w:val="both"/>
            </w:pPr>
            <w:r w:rsidRPr="00CC6BA0">
              <w:t>Breast</w:t>
            </w:r>
            <w:r>
              <w:t xml:space="preserve"> </w:t>
            </w:r>
            <w:r w:rsidRPr="00CC6BA0">
              <w:t>cancer continuous education.</w:t>
            </w:r>
          </w:p>
        </w:tc>
      </w:tr>
      <w:tr w:rsidR="00CD4D76" w:rsidRPr="00A05FEB" w:rsidTr="00C93DB3">
        <w:trPr>
          <w:trHeight w:val="2380"/>
        </w:trPr>
        <w:tc>
          <w:tcPr>
            <w:tcW w:w="1101" w:type="dxa"/>
          </w:tcPr>
          <w:p w:rsidR="00CD4D76" w:rsidRDefault="00CD4D76" w:rsidP="00C93DB3">
            <w:pPr>
              <w:ind w:left="-125"/>
              <w:jc w:val="both"/>
            </w:pPr>
            <w:proofErr w:type="spellStart"/>
            <w:r>
              <w:t>Beshir</w:t>
            </w:r>
            <w:proofErr w:type="spellEnd"/>
          </w:p>
          <w:p w:rsidR="00CD4D76" w:rsidRDefault="00CD4D76" w:rsidP="00C93DB3">
            <w:pPr>
              <w:ind w:left="-125"/>
              <w:jc w:val="both"/>
            </w:pPr>
          </w:p>
          <w:p w:rsidR="00CD4D76" w:rsidRDefault="00CD4D76" w:rsidP="00C93DB3">
            <w:pPr>
              <w:ind w:left="-125"/>
              <w:jc w:val="both"/>
            </w:pPr>
          </w:p>
          <w:p w:rsidR="00CD4D76" w:rsidRDefault="00CD4D76" w:rsidP="00C93DB3">
            <w:pPr>
              <w:ind w:left="-125"/>
              <w:jc w:val="both"/>
            </w:pPr>
          </w:p>
          <w:p w:rsidR="00CD4D76" w:rsidRDefault="00CD4D76" w:rsidP="00C93DB3">
            <w:pPr>
              <w:ind w:left="-125"/>
              <w:jc w:val="both"/>
            </w:pPr>
          </w:p>
          <w:p w:rsidR="00CD4D76" w:rsidRDefault="00CD4D76" w:rsidP="00C93DB3">
            <w:pPr>
              <w:ind w:left="-125"/>
              <w:jc w:val="both"/>
            </w:pPr>
          </w:p>
          <w:p w:rsidR="00CD4D76" w:rsidRDefault="00CD4D76" w:rsidP="00C93DB3">
            <w:pPr>
              <w:ind w:left="-125"/>
              <w:jc w:val="both"/>
            </w:pPr>
          </w:p>
          <w:p w:rsidR="00CD4D76" w:rsidRDefault="00CD4D76" w:rsidP="00C93DB3">
            <w:pPr>
              <w:ind w:left="-125"/>
              <w:jc w:val="both"/>
            </w:pPr>
          </w:p>
          <w:p w:rsidR="00CD4D76" w:rsidRDefault="00CD4D76" w:rsidP="00C93DB3">
            <w:pPr>
              <w:ind w:left="-125"/>
              <w:jc w:val="both"/>
            </w:pPr>
          </w:p>
          <w:p w:rsidR="00CD4D76" w:rsidRDefault="00CD4D76" w:rsidP="00C93DB3">
            <w:pPr>
              <w:ind w:left="-125"/>
              <w:jc w:val="both"/>
            </w:pPr>
          </w:p>
          <w:p w:rsidR="00CD4D76" w:rsidRPr="00A05FEB" w:rsidRDefault="00CD4D76" w:rsidP="00C93DB3">
            <w:pPr>
              <w:ind w:left="-125"/>
              <w:jc w:val="both"/>
            </w:pPr>
          </w:p>
        </w:tc>
        <w:tc>
          <w:tcPr>
            <w:tcW w:w="992" w:type="dxa"/>
          </w:tcPr>
          <w:p w:rsidR="00CD4D76" w:rsidRPr="00A05FEB" w:rsidRDefault="00CD4D76" w:rsidP="00C93DB3">
            <w:pPr>
              <w:jc w:val="both"/>
            </w:pPr>
            <w:r>
              <w:t>2012</w:t>
            </w:r>
          </w:p>
        </w:tc>
        <w:tc>
          <w:tcPr>
            <w:tcW w:w="992" w:type="dxa"/>
          </w:tcPr>
          <w:p w:rsidR="00CD4D76" w:rsidRPr="00A05FEB" w:rsidRDefault="00CD4D76" w:rsidP="00C93DB3">
            <w:pPr>
              <w:jc w:val="both"/>
            </w:pPr>
            <w:r>
              <w:t>Malaysia</w:t>
            </w:r>
          </w:p>
        </w:tc>
        <w:tc>
          <w:tcPr>
            <w:tcW w:w="1418" w:type="dxa"/>
          </w:tcPr>
          <w:p w:rsidR="00CD4D76" w:rsidRDefault="00CD4D76" w:rsidP="00C93DB3">
            <w:pPr>
              <w:jc w:val="both"/>
            </w:pPr>
            <w:r>
              <w:t>Independent</w:t>
            </w:r>
          </w:p>
          <w:p w:rsidR="00CD4D76" w:rsidRPr="00A05FEB" w:rsidRDefault="00CD4D76" w:rsidP="00C93DB3">
            <w:pPr>
              <w:jc w:val="both"/>
            </w:pPr>
            <w:r>
              <w:t>community pharmacies</w:t>
            </w:r>
          </w:p>
        </w:tc>
        <w:tc>
          <w:tcPr>
            <w:tcW w:w="1121" w:type="dxa"/>
          </w:tcPr>
          <w:p w:rsidR="00CD4D76" w:rsidRPr="00A05FEB" w:rsidRDefault="00CD4D76" w:rsidP="00C93DB3">
            <w:pPr>
              <w:jc w:val="both"/>
            </w:pPr>
            <w:r>
              <w:t>Breast</w:t>
            </w:r>
          </w:p>
        </w:tc>
        <w:tc>
          <w:tcPr>
            <w:tcW w:w="1288" w:type="dxa"/>
          </w:tcPr>
          <w:p w:rsidR="00CD4D76" w:rsidRPr="00A05FEB" w:rsidRDefault="00CD4D76" w:rsidP="00C93DB3">
            <w:pPr>
              <w:spacing w:after="200" w:line="276" w:lineRule="auto"/>
              <w:jc w:val="center"/>
            </w:pPr>
            <w:r>
              <w:t>20 weeks</w:t>
            </w:r>
          </w:p>
        </w:tc>
        <w:tc>
          <w:tcPr>
            <w:tcW w:w="1276" w:type="dxa"/>
          </w:tcPr>
          <w:p w:rsidR="00CD4D76" w:rsidRPr="00A05FEB" w:rsidRDefault="00CD4D76" w:rsidP="00C93DB3">
            <w:pPr>
              <w:jc w:val="both"/>
            </w:pPr>
            <w:r w:rsidRPr="00CC6BA0">
              <w:t>Cross sectional survey</w:t>
            </w:r>
          </w:p>
        </w:tc>
        <w:tc>
          <w:tcPr>
            <w:tcW w:w="1418" w:type="dxa"/>
          </w:tcPr>
          <w:p w:rsidR="00CD4D76" w:rsidRPr="00A05FEB" w:rsidRDefault="00CD4D76" w:rsidP="00C93DB3">
            <w:pPr>
              <w:jc w:val="both"/>
            </w:pPr>
            <w:r>
              <w:t>35</w:t>
            </w:r>
          </w:p>
        </w:tc>
        <w:tc>
          <w:tcPr>
            <w:tcW w:w="3543" w:type="dxa"/>
          </w:tcPr>
          <w:p w:rsidR="00CD4D76" w:rsidRDefault="00CD4D76" w:rsidP="00C93DB3">
            <w:pPr>
              <w:jc w:val="both"/>
            </w:pPr>
            <w:r>
              <w:t>Community pharmacists have low breast cancer knowledge which can prevent actualisation of pharmacist role in breast cancer education. Therefore further work should focus on providing pharmacists with high quality breast cancer continuous education.</w:t>
            </w:r>
          </w:p>
          <w:p w:rsidR="00CD4D76" w:rsidRDefault="00CD4D76" w:rsidP="00C93DB3">
            <w:pPr>
              <w:jc w:val="both"/>
            </w:pPr>
          </w:p>
        </w:tc>
      </w:tr>
      <w:tr w:rsidR="00CD4D76" w:rsidRPr="00A05FEB" w:rsidTr="00C93DB3">
        <w:trPr>
          <w:trHeight w:val="1692"/>
        </w:trPr>
        <w:tc>
          <w:tcPr>
            <w:tcW w:w="1101" w:type="dxa"/>
          </w:tcPr>
          <w:p w:rsidR="00CD4D76" w:rsidRPr="00A05FEB" w:rsidRDefault="00CD4D76" w:rsidP="00C93DB3">
            <w:pPr>
              <w:ind w:left="-125"/>
              <w:jc w:val="both"/>
            </w:pPr>
            <w:r>
              <w:t>EL Hajj</w:t>
            </w:r>
          </w:p>
        </w:tc>
        <w:tc>
          <w:tcPr>
            <w:tcW w:w="992" w:type="dxa"/>
          </w:tcPr>
          <w:p w:rsidR="00CD4D76" w:rsidRPr="00A05FEB" w:rsidRDefault="00CD4D76" w:rsidP="00C93DB3">
            <w:pPr>
              <w:jc w:val="both"/>
            </w:pPr>
            <w:r>
              <w:t>2011</w:t>
            </w:r>
          </w:p>
        </w:tc>
        <w:tc>
          <w:tcPr>
            <w:tcW w:w="992" w:type="dxa"/>
          </w:tcPr>
          <w:p w:rsidR="00CD4D76" w:rsidRPr="00A05FEB" w:rsidRDefault="00CD4D76" w:rsidP="00C93DB3">
            <w:pPr>
              <w:jc w:val="both"/>
            </w:pPr>
            <w:r>
              <w:t>Qatar</w:t>
            </w:r>
          </w:p>
        </w:tc>
        <w:tc>
          <w:tcPr>
            <w:tcW w:w="1418" w:type="dxa"/>
          </w:tcPr>
          <w:p w:rsidR="00CD4D76" w:rsidRPr="00A05FEB" w:rsidRDefault="00CD4D76" w:rsidP="00C93DB3">
            <w:pPr>
              <w:jc w:val="both"/>
            </w:pPr>
            <w:r>
              <w:t>Community pharmacies</w:t>
            </w:r>
          </w:p>
        </w:tc>
        <w:tc>
          <w:tcPr>
            <w:tcW w:w="1121" w:type="dxa"/>
          </w:tcPr>
          <w:p w:rsidR="00CD4D76" w:rsidRPr="00A05FEB" w:rsidRDefault="00CD4D76" w:rsidP="00C93DB3">
            <w:pPr>
              <w:jc w:val="both"/>
            </w:pPr>
            <w:r>
              <w:t>Breast</w:t>
            </w:r>
          </w:p>
        </w:tc>
        <w:tc>
          <w:tcPr>
            <w:tcW w:w="1288" w:type="dxa"/>
          </w:tcPr>
          <w:p w:rsidR="00CD4D76" w:rsidRPr="00477060" w:rsidRDefault="00CD4D76" w:rsidP="00C93DB3">
            <w:pPr>
              <w:jc w:val="center"/>
            </w:pPr>
            <w:r>
              <w:t>12 weeks</w:t>
            </w:r>
          </w:p>
        </w:tc>
        <w:tc>
          <w:tcPr>
            <w:tcW w:w="1276" w:type="dxa"/>
          </w:tcPr>
          <w:p w:rsidR="00CD4D76" w:rsidRPr="00A05FEB" w:rsidRDefault="00CD4D76" w:rsidP="00C93DB3">
            <w:pPr>
              <w:jc w:val="both"/>
            </w:pPr>
            <w:r>
              <w:t>Descriptive cross sectional survey</w:t>
            </w:r>
          </w:p>
        </w:tc>
        <w:tc>
          <w:tcPr>
            <w:tcW w:w="1418" w:type="dxa"/>
          </w:tcPr>
          <w:p w:rsidR="00CD4D76" w:rsidRPr="00A05FEB" w:rsidRDefault="00CD4D76" w:rsidP="00C93DB3">
            <w:pPr>
              <w:jc w:val="both"/>
            </w:pPr>
            <w:r>
              <w:t>195</w:t>
            </w:r>
          </w:p>
        </w:tc>
        <w:tc>
          <w:tcPr>
            <w:tcW w:w="3543" w:type="dxa"/>
          </w:tcPr>
          <w:p w:rsidR="00CD4D76" w:rsidRDefault="00CD4D76" w:rsidP="00C93DB3">
            <w:pPr>
              <w:jc w:val="both"/>
            </w:pPr>
            <w:r>
              <w:t>Low breast cancer knowledge was recorded among community pharmacists. Further work should focus on providing pharmacists with breast cancer continuous education.</w:t>
            </w:r>
          </w:p>
        </w:tc>
      </w:tr>
      <w:tr w:rsidR="00CD4D76" w:rsidRPr="00A05FEB" w:rsidTr="00C93DB3">
        <w:trPr>
          <w:trHeight w:val="1700"/>
        </w:trPr>
        <w:tc>
          <w:tcPr>
            <w:tcW w:w="1101" w:type="dxa"/>
          </w:tcPr>
          <w:p w:rsidR="00CD4D76" w:rsidRPr="00A05FEB" w:rsidRDefault="00CD4D76" w:rsidP="00C93DB3">
            <w:pPr>
              <w:ind w:left="-125"/>
              <w:jc w:val="both"/>
            </w:pPr>
          </w:p>
          <w:p w:rsidR="00CD4D76" w:rsidRPr="00A05FEB" w:rsidRDefault="00CD4D76" w:rsidP="00C93DB3">
            <w:pPr>
              <w:ind w:left="-125"/>
              <w:jc w:val="both"/>
            </w:pPr>
            <w:proofErr w:type="spellStart"/>
            <w:r w:rsidRPr="00A05FEB">
              <w:t>Ayoub</w:t>
            </w:r>
            <w:proofErr w:type="spellEnd"/>
          </w:p>
        </w:tc>
        <w:tc>
          <w:tcPr>
            <w:tcW w:w="992" w:type="dxa"/>
          </w:tcPr>
          <w:p w:rsidR="00CD4D76" w:rsidRPr="00A05FEB" w:rsidRDefault="00CD4D76" w:rsidP="00C93DB3">
            <w:pPr>
              <w:jc w:val="both"/>
            </w:pPr>
          </w:p>
          <w:p w:rsidR="00CD4D76" w:rsidRPr="00A05FEB" w:rsidRDefault="00CD4D76" w:rsidP="00C93DB3">
            <w:pPr>
              <w:jc w:val="both"/>
            </w:pPr>
            <w:r w:rsidRPr="00A05FEB">
              <w:t>2016</w:t>
            </w:r>
          </w:p>
        </w:tc>
        <w:tc>
          <w:tcPr>
            <w:tcW w:w="992" w:type="dxa"/>
          </w:tcPr>
          <w:p w:rsidR="00CD4D76" w:rsidRPr="00A05FEB" w:rsidRDefault="00CD4D76" w:rsidP="00C93DB3">
            <w:pPr>
              <w:jc w:val="both"/>
            </w:pPr>
          </w:p>
          <w:p w:rsidR="00CD4D76" w:rsidRPr="00A05FEB" w:rsidRDefault="00CD4D76" w:rsidP="00C93DB3">
            <w:pPr>
              <w:jc w:val="both"/>
            </w:pPr>
            <w:r w:rsidRPr="00A05FEB">
              <w:t>Jordan</w:t>
            </w:r>
          </w:p>
        </w:tc>
        <w:tc>
          <w:tcPr>
            <w:tcW w:w="1418" w:type="dxa"/>
          </w:tcPr>
          <w:p w:rsidR="00CD4D76" w:rsidRPr="00A05FEB" w:rsidRDefault="00CD4D76" w:rsidP="00C93DB3">
            <w:pPr>
              <w:jc w:val="both"/>
            </w:pPr>
          </w:p>
          <w:p w:rsidR="00CD4D76" w:rsidRPr="00A05FEB" w:rsidRDefault="00CD4D76" w:rsidP="00C93DB3">
            <w:pPr>
              <w:jc w:val="both"/>
            </w:pPr>
            <w:r>
              <w:t>C</w:t>
            </w:r>
            <w:r w:rsidRPr="00A05FEB">
              <w:t>ommercial community pharmacies</w:t>
            </w:r>
          </w:p>
        </w:tc>
        <w:tc>
          <w:tcPr>
            <w:tcW w:w="1121" w:type="dxa"/>
          </w:tcPr>
          <w:p w:rsidR="00CD4D76" w:rsidRPr="00A05FEB" w:rsidRDefault="00CD4D76" w:rsidP="00C93DB3">
            <w:pPr>
              <w:jc w:val="both"/>
            </w:pPr>
          </w:p>
          <w:p w:rsidR="00CD4D76" w:rsidRPr="00A05FEB" w:rsidRDefault="00CD4D76" w:rsidP="00C93DB3">
            <w:pPr>
              <w:jc w:val="both"/>
            </w:pPr>
            <w:r w:rsidRPr="00A05FEB">
              <w:t>Breast</w:t>
            </w:r>
          </w:p>
        </w:tc>
        <w:tc>
          <w:tcPr>
            <w:tcW w:w="1288" w:type="dxa"/>
          </w:tcPr>
          <w:p w:rsidR="00CD4D76" w:rsidRPr="00A05FEB" w:rsidRDefault="00CD4D76" w:rsidP="00C93DB3">
            <w:pPr>
              <w:jc w:val="both"/>
            </w:pPr>
          </w:p>
          <w:p w:rsidR="00CD4D76" w:rsidRPr="00A05FEB" w:rsidRDefault="00CD4D76" w:rsidP="00C93DB3">
            <w:pPr>
              <w:spacing w:after="200" w:line="276" w:lineRule="auto"/>
              <w:jc w:val="both"/>
            </w:pPr>
            <w:r w:rsidRPr="00A05FEB">
              <w:t>20 weeks</w:t>
            </w:r>
          </w:p>
        </w:tc>
        <w:tc>
          <w:tcPr>
            <w:tcW w:w="1276" w:type="dxa"/>
          </w:tcPr>
          <w:p w:rsidR="00CD4D76" w:rsidRPr="00A05FEB" w:rsidRDefault="00CD4D76" w:rsidP="00C93DB3">
            <w:pPr>
              <w:jc w:val="both"/>
            </w:pPr>
          </w:p>
          <w:p w:rsidR="00CD4D76" w:rsidRPr="00A05FEB" w:rsidRDefault="00CD4D76" w:rsidP="00C93DB3">
            <w:pPr>
              <w:jc w:val="both"/>
            </w:pPr>
            <w:r w:rsidRPr="00A05FEB">
              <w:t>Descriptive cross sectional survey</w:t>
            </w:r>
          </w:p>
        </w:tc>
        <w:tc>
          <w:tcPr>
            <w:tcW w:w="1418" w:type="dxa"/>
          </w:tcPr>
          <w:p w:rsidR="00CD4D76" w:rsidRPr="00A05FEB" w:rsidRDefault="00CD4D76" w:rsidP="00C93DB3">
            <w:pPr>
              <w:jc w:val="both"/>
            </w:pPr>
          </w:p>
          <w:p w:rsidR="00CD4D76" w:rsidRPr="00A05FEB" w:rsidRDefault="00CD4D76" w:rsidP="00C93DB3">
            <w:pPr>
              <w:jc w:val="both"/>
            </w:pPr>
            <w:r w:rsidRPr="00A05FEB">
              <w:t>1113</w:t>
            </w:r>
          </w:p>
        </w:tc>
        <w:tc>
          <w:tcPr>
            <w:tcW w:w="3543" w:type="dxa"/>
          </w:tcPr>
          <w:p w:rsidR="00CD4D76" w:rsidRDefault="00CD4D76" w:rsidP="00C93DB3">
            <w:pPr>
              <w:jc w:val="both"/>
            </w:pPr>
          </w:p>
          <w:p w:rsidR="00CD4D76" w:rsidRDefault="00CD4D76" w:rsidP="00C93DB3">
            <w:pPr>
              <w:jc w:val="both"/>
            </w:pPr>
            <w:r>
              <w:t>There is knowledge gap pertaining to breast cancer and screening guidelines. Pharmacist must improve their knowledge through</w:t>
            </w:r>
          </w:p>
          <w:p w:rsidR="00CD4D76" w:rsidRPr="00A05FEB" w:rsidRDefault="00CD4D76" w:rsidP="00C93DB3">
            <w:pPr>
              <w:jc w:val="both"/>
            </w:pPr>
            <w:r>
              <w:t>better undergraduate oncology education and intensive continuous education programmes</w:t>
            </w:r>
          </w:p>
        </w:tc>
      </w:tr>
    </w:tbl>
    <w:p w:rsidR="00CD4D76" w:rsidRDefault="00CD4D76" w:rsidP="00CD4D76"/>
    <w:p w:rsidR="00CD4D76" w:rsidRDefault="00CD4D76" w:rsidP="00CD4D76"/>
    <w:p w:rsidR="00CD4D76" w:rsidRDefault="00CD4D76" w:rsidP="00CD4D76"/>
    <w:p w:rsidR="00CD4D76" w:rsidRDefault="00CD4D76" w:rsidP="00CD4D76"/>
    <w:p w:rsidR="00CD4D76" w:rsidRDefault="00CD4D76" w:rsidP="00CD4D76"/>
    <w:p w:rsidR="00CD4D76" w:rsidRDefault="00CD4D76" w:rsidP="00CD4D76"/>
    <w:p w:rsidR="007C27B1" w:rsidRDefault="007C27B1">
      <w:bookmarkStart w:id="0" w:name="_GoBack"/>
      <w:bookmarkEnd w:id="0"/>
    </w:p>
    <w:sectPr w:rsidR="007C27B1" w:rsidSect="00CD4D7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D76"/>
    <w:rsid w:val="007C27B1"/>
    <w:rsid w:val="00CD4D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D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4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D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4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207</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2018-01-06T21:26:00Z</dcterms:created>
  <dcterms:modified xsi:type="dcterms:W3CDTF">2018-01-06T21:26:00Z</dcterms:modified>
</cp:coreProperties>
</file>