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7F2" w:rsidRPr="00FF2D98" w:rsidRDefault="00FF2D98" w:rsidP="003E17F2">
      <w:pPr>
        <w:jc w:val="both"/>
        <w:rPr>
          <w:rFonts w:ascii="Times New Roman" w:hAnsi="Times New Roman"/>
          <w:b/>
          <w:sz w:val="28"/>
          <w:szCs w:val="28"/>
        </w:rPr>
      </w:pPr>
      <w:r w:rsidRPr="00FF2D98">
        <w:rPr>
          <w:rFonts w:ascii="Times New Roman" w:hAnsi="Times New Roman"/>
          <w:b/>
          <w:sz w:val="28"/>
          <w:szCs w:val="28"/>
        </w:rPr>
        <w:t>S1 Text</w:t>
      </w:r>
    </w:p>
    <w:p w:rsidR="003E17F2" w:rsidRDefault="003E17F2" w:rsidP="003E17F2">
      <w:pPr>
        <w:jc w:val="both"/>
        <w:rPr>
          <w:rFonts w:ascii="Times New Roman" w:hAnsi="Times New Roman"/>
          <w:b/>
        </w:rPr>
      </w:pPr>
      <w:r>
        <w:rPr>
          <w:rFonts w:ascii="Times New Roman" w:hAnsi="Times New Roman"/>
          <w:b/>
        </w:rPr>
        <w:t>Avalanche shape collapse</w:t>
      </w:r>
    </w:p>
    <w:p w:rsidR="003E17F2" w:rsidRDefault="003E17F2" w:rsidP="003E17F2">
      <w:pPr>
        <w:spacing w:line="480" w:lineRule="auto"/>
        <w:jc w:val="both"/>
        <w:rPr>
          <w:rFonts w:ascii="Times New Roman" w:hAnsi="Times New Roman"/>
        </w:rPr>
      </w:pPr>
      <w:r>
        <w:rPr>
          <w:rFonts w:ascii="Times New Roman" w:hAnsi="Times New Roman"/>
        </w:rPr>
        <w:t>We investigated whether t</w:t>
      </w:r>
      <w:bookmarkStart w:id="0" w:name="_GoBack"/>
      <w:bookmarkEnd w:id="0"/>
      <w:r>
        <w:rPr>
          <w:rFonts w:ascii="Times New Roman" w:hAnsi="Times New Roman"/>
        </w:rPr>
        <w:t xml:space="preserve">he observed neuronal avalanches produced self-similar dynamics as predicted by criticality theory. The theory predicts that the averaged time-course of avalanches of lifetime </w:t>
      </w:r>
      <w:proofErr w:type="spellStart"/>
      <w:r>
        <w:rPr>
          <w:rFonts w:ascii="Times New Roman" w:hAnsi="Times New Roman"/>
        </w:rPr>
        <w:t>Δt</w:t>
      </w:r>
      <w:proofErr w:type="spellEnd"/>
      <w:r>
        <w:rPr>
          <w:rFonts w:ascii="Times New Roman" w:hAnsi="Times New Roman"/>
        </w:rPr>
        <w:t xml:space="preserve">, i.e., </w:t>
      </w:r>
      <m:oMath>
        <m:d>
          <m:dPr>
            <m:begChr m:val="〈"/>
            <m:endChr m:val="〉"/>
            <m:ctrlPr>
              <w:rPr>
                <w:rFonts w:ascii="Cambria Math" w:hAnsi="Cambria Math"/>
                <w:i/>
              </w:rPr>
            </m:ctrlPr>
          </m:dPr>
          <m:e>
            <w:proofErr w:type="gramStart"/>
            <m:r>
              <w:rPr>
                <w:rFonts w:ascii="Cambria Math" w:hAnsi="Cambria Math"/>
              </w:rPr>
              <m:t>S(</m:t>
            </m:r>
            <w:proofErr w:type="gramEnd"/>
            <m:r>
              <w:rPr>
                <w:rFonts w:ascii="Cambria Math" w:hAnsi="Cambria Math"/>
              </w:rPr>
              <m:t>t,∆t)</m:t>
            </m:r>
          </m:e>
        </m:d>
      </m:oMath>
      <w:r>
        <w:rPr>
          <w:rFonts w:ascii="Times New Roman" w:hAnsi="Times New Roman"/>
        </w:rPr>
        <w:t xml:space="preserve">, where </w:t>
      </w:r>
      <m:oMath>
        <m:r>
          <w:rPr>
            <w:rFonts w:ascii="Cambria Math" w:hAnsi="Cambria Math"/>
          </w:rPr>
          <m:t>S</m:t>
        </m:r>
        <m:d>
          <m:dPr>
            <m:ctrlPr>
              <w:rPr>
                <w:rFonts w:ascii="Cambria Math" w:hAnsi="Cambria Math"/>
                <w:i/>
              </w:rPr>
            </m:ctrlPr>
          </m:dPr>
          <m:e>
            <m:r>
              <w:rPr>
                <w:rFonts w:ascii="Cambria Math" w:hAnsi="Cambria Math"/>
              </w:rPr>
              <m:t>t,∆t</m:t>
            </m:r>
          </m:e>
        </m:d>
      </m:oMath>
      <w:r>
        <w:rPr>
          <w:rFonts w:ascii="Times New Roman" w:hAnsi="Times New Roman"/>
        </w:rPr>
        <w:t xml:space="preserve"> is the size of the avalanche at time </w:t>
      </w:r>
      <w:r>
        <w:rPr>
          <w:rFonts w:ascii="Times New Roman" w:hAnsi="Times New Roman"/>
          <w:i/>
        </w:rPr>
        <w:t>t</w:t>
      </w:r>
      <w:r>
        <w:rPr>
          <w:rFonts w:ascii="Times New Roman" w:hAnsi="Times New Roman"/>
        </w:rPr>
        <w:t xml:space="preserve"> (</w:t>
      </w:r>
      <m:oMath>
        <m:r>
          <w:rPr>
            <w:rFonts w:ascii="Cambria Math" w:hAnsi="Cambria Math"/>
          </w:rPr>
          <m:t>1≤t≤∆t</m:t>
        </m:r>
      </m:oMath>
      <w:r>
        <w:rPr>
          <w:rFonts w:ascii="Times New Roman" w:hAnsi="Times New Roman"/>
        </w:rPr>
        <w:t xml:space="preserve">),  does not depend on </w:t>
      </w:r>
      <w:proofErr w:type="spellStart"/>
      <w:r>
        <w:rPr>
          <w:rFonts w:ascii="Times New Roman" w:hAnsi="Times New Roman"/>
        </w:rPr>
        <w:t>Δ</w:t>
      </w:r>
      <w:r>
        <w:rPr>
          <w:rFonts w:ascii="Times New Roman" w:hAnsi="Times New Roman"/>
          <w:i/>
        </w:rPr>
        <w:t>t</w:t>
      </w:r>
      <w:proofErr w:type="spellEnd"/>
      <w:r>
        <w:rPr>
          <w:rFonts w:ascii="Times New Roman" w:hAnsi="Times New Roman"/>
        </w:rPr>
        <w:t xml:space="preserve"> in the scaled axes given by the normalize time </w:t>
      </w:r>
      <m:oMath>
        <m:r>
          <w:rPr>
            <w:rFonts w:ascii="Cambria Math" w:hAnsi="Cambria Math"/>
          </w:rPr>
          <m:t>t/Δt</m:t>
        </m:r>
      </m:oMath>
      <w:r>
        <w:rPr>
          <w:rFonts w:ascii="Times New Roman" w:hAnsi="Times New Roman"/>
        </w:rPr>
        <w:t xml:space="preserve"> and the scaled avalanche profile </w:t>
      </w:r>
      <m:oMath>
        <m:d>
          <m:dPr>
            <m:begChr m:val="〈"/>
            <m:endChr m:val="〉"/>
            <m:ctrlPr>
              <w:rPr>
                <w:rFonts w:ascii="Cambria Math" w:hAnsi="Cambria Math"/>
                <w:i/>
              </w:rPr>
            </m:ctrlPr>
          </m:dPr>
          <m:e>
            <m:r>
              <w:rPr>
                <w:rFonts w:ascii="Cambria Math" w:hAnsi="Cambria Math"/>
              </w:rPr>
              <m:t>S(t,∆t)</m:t>
            </m:r>
          </m:e>
        </m:d>
        <m:sSup>
          <m:sSupPr>
            <m:ctrlPr>
              <w:rPr>
                <w:rFonts w:ascii="Cambria Math" w:hAnsi="Cambria Math"/>
                <w:i/>
              </w:rPr>
            </m:ctrlPr>
          </m:sSupPr>
          <m:e>
            <m:r>
              <w:rPr>
                <w:rFonts w:ascii="Cambria Math" w:hAnsi="Cambria Math"/>
              </w:rPr>
              <m:t>∆t</m:t>
            </m:r>
          </m:e>
          <m:sup>
            <m:r>
              <w:rPr>
                <w:rFonts w:ascii="Cambria Math" w:hAnsi="Cambria Math"/>
              </w:rPr>
              <m:t>1-</m:t>
            </m:r>
            <m:f>
              <m:fPr>
                <m:type m:val="lin"/>
                <m:ctrlPr>
                  <w:rPr>
                    <w:rFonts w:ascii="Cambria Math" w:hAnsi="Cambria Math"/>
                    <w:i/>
                  </w:rPr>
                </m:ctrlPr>
              </m:fPr>
              <m:num>
                <m:r>
                  <w:rPr>
                    <w:rFonts w:ascii="Cambria Math" w:hAnsi="Cambria Math"/>
                  </w:rPr>
                  <m:t>1</m:t>
                </m:r>
              </m:num>
              <m:den>
                <m:r>
                  <w:rPr>
                    <w:rFonts w:ascii="Cambria Math" w:hAnsi="Cambria Math"/>
                  </w:rPr>
                  <m:t>σνz</m:t>
                </m:r>
              </m:den>
            </m:f>
          </m:sup>
        </m:sSup>
      </m:oMath>
      <w:r>
        <w:rPr>
          <w:rFonts w:ascii="Times New Roman" w:hAnsi="Times New Roman"/>
        </w:rPr>
        <w:t xml:space="preserve">. In other words </w:t>
      </w:r>
      <m:oMath>
        <m:d>
          <m:dPr>
            <m:begChr m:val="〈"/>
            <m:endChr m:val="〉"/>
            <m:ctrlPr>
              <w:rPr>
                <w:rFonts w:ascii="Cambria Math" w:hAnsi="Cambria Math"/>
                <w:i/>
              </w:rPr>
            </m:ctrlPr>
          </m:dPr>
          <m:e>
            <w:proofErr w:type="gramStart"/>
            <m:r>
              <w:rPr>
                <w:rFonts w:ascii="Cambria Math" w:hAnsi="Cambria Math"/>
              </w:rPr>
              <m:t>S(</m:t>
            </m:r>
            <w:proofErr w:type="gramEnd"/>
            <m:r>
              <w:rPr>
                <w:rFonts w:ascii="Cambria Math" w:hAnsi="Cambria Math"/>
              </w:rPr>
              <m:t>t,∆t)</m:t>
            </m:r>
          </m:e>
        </m:d>
        <m:sSup>
          <m:sSupPr>
            <m:ctrlPr>
              <w:rPr>
                <w:rFonts w:ascii="Cambria Math" w:hAnsi="Cambria Math"/>
                <w:i/>
              </w:rPr>
            </m:ctrlPr>
          </m:sSupPr>
          <m:e>
            <m:r>
              <w:rPr>
                <w:rFonts w:ascii="Cambria Math" w:hAnsi="Cambria Math"/>
              </w:rPr>
              <m:t>∆t</m:t>
            </m:r>
          </m:e>
          <m:sup>
            <m:r>
              <w:rPr>
                <w:rFonts w:ascii="Cambria Math" w:hAnsi="Cambria Math"/>
              </w:rPr>
              <m:t>1-</m:t>
            </m:r>
            <m:f>
              <m:fPr>
                <m:type m:val="lin"/>
                <m:ctrlPr>
                  <w:rPr>
                    <w:rFonts w:ascii="Cambria Math" w:hAnsi="Cambria Math"/>
                    <w:i/>
                  </w:rPr>
                </m:ctrlPr>
              </m:fPr>
              <m:num>
                <m:r>
                  <w:rPr>
                    <w:rFonts w:ascii="Cambria Math" w:hAnsi="Cambria Math"/>
                  </w:rPr>
                  <m:t>1</m:t>
                </m:r>
              </m:num>
              <m:den>
                <m:r>
                  <w:rPr>
                    <w:rFonts w:ascii="Cambria Math" w:hAnsi="Cambria Math"/>
                  </w:rPr>
                  <m:t>σνz</m:t>
                </m:r>
              </m:den>
            </m:f>
          </m:sup>
        </m:sSup>
        <m:r>
          <w:rPr>
            <w:rFonts w:ascii="Cambria Math" w:hAnsi="Cambria Math"/>
          </w:rPr>
          <m:t>=F(</m:t>
        </m:r>
        <m:f>
          <m:fPr>
            <m:type m:val="lin"/>
            <m:ctrlPr>
              <w:rPr>
                <w:rFonts w:ascii="Cambria Math" w:hAnsi="Cambria Math"/>
                <w:i/>
              </w:rPr>
            </m:ctrlPr>
          </m:fPr>
          <m:num>
            <m:r>
              <w:rPr>
                <w:rFonts w:ascii="Cambria Math" w:hAnsi="Cambria Math"/>
              </w:rPr>
              <m:t>t</m:t>
            </m:r>
          </m:num>
          <m:den>
            <m:r>
              <w:rPr>
                <w:rFonts w:ascii="Cambria Math" w:hAnsi="Cambria Math"/>
              </w:rPr>
              <m:t>∆t</m:t>
            </m:r>
          </m:den>
        </m:f>
        <m:r>
          <w:rPr>
            <w:rFonts w:ascii="Cambria Math" w:hAnsi="Cambria Math"/>
          </w:rPr>
          <m:t>)</m:t>
        </m:r>
      </m:oMath>
      <w:r>
        <w:rPr>
          <w:rFonts w:ascii="Times New Roman" w:hAnsi="Times New Roman"/>
        </w:rPr>
        <w:t xml:space="preserve">, where the function </w:t>
      </w:r>
      <w:r>
        <w:rPr>
          <w:rFonts w:ascii="Times New Roman" w:hAnsi="Times New Roman"/>
          <w:i/>
        </w:rPr>
        <w:t>F</w:t>
      </w:r>
      <w:r>
        <w:rPr>
          <w:rFonts w:ascii="Times New Roman" w:hAnsi="Times New Roman"/>
        </w:rPr>
        <w:t xml:space="preserve"> does not depend on the temporal scale and the exponent </w:t>
      </w:r>
      <m:oMath>
        <m:r>
          <w:rPr>
            <w:rFonts w:ascii="Cambria Math" w:hAnsi="Cambria Math"/>
          </w:rPr>
          <m:t>σνz</m:t>
        </m:r>
      </m:oMath>
      <w:r>
        <w:rPr>
          <w:rFonts w:ascii="Times New Roman" w:hAnsi="Times New Roman"/>
        </w:rPr>
        <w:t xml:space="preserve"> satisfies the relation: </w:t>
      </w:r>
      <m:oMath>
        <m:f>
          <m:fPr>
            <m:type m:val="lin"/>
            <m:ctrlPr>
              <w:rPr>
                <w:rFonts w:ascii="Cambria Math" w:eastAsiaTheme="minorEastAsia" w:hAnsi="Cambria Math"/>
                <w:i/>
              </w:rPr>
            </m:ctrlPr>
          </m:fPr>
          <m:num>
            <m:d>
              <m:dPr>
                <m:ctrlPr>
                  <w:rPr>
                    <w:rFonts w:ascii="Cambria Math" w:eastAsiaTheme="minorEastAsia" w:hAnsi="Cambria Math"/>
                    <w:i/>
                  </w:rPr>
                </m:ctrlPr>
              </m:dPr>
              <m:e>
                <m:r>
                  <w:rPr>
                    <w:rFonts w:ascii="Cambria Math" w:eastAsiaTheme="minorEastAsia" w:hAnsi="Cambria Math"/>
                  </w:rPr>
                  <m:t>τ-1</m:t>
                </m:r>
              </m:e>
            </m:d>
          </m:num>
          <m:den>
            <m:d>
              <m:dPr>
                <m:ctrlPr>
                  <w:rPr>
                    <w:rFonts w:ascii="Cambria Math" w:eastAsiaTheme="minorEastAsia" w:hAnsi="Cambria Math"/>
                    <w:i/>
                  </w:rPr>
                </m:ctrlPr>
              </m:dPr>
              <m:e>
                <m:r>
                  <w:rPr>
                    <w:rFonts w:ascii="Cambria Math" w:eastAsiaTheme="minorEastAsia" w:hAnsi="Cambria Math"/>
                  </w:rPr>
                  <m:t>α-1</m:t>
                </m:r>
              </m:e>
            </m:d>
          </m:den>
        </m:f>
        <m:r>
          <w:rPr>
            <w:rFonts w:ascii="Cambria Math" w:eastAsiaTheme="minorEastAsia" w:hAnsi="Cambria Math"/>
          </w:rPr>
          <m:t>=</m:t>
        </m:r>
        <m:r>
          <w:rPr>
            <w:rFonts w:ascii="Cambria Math" w:hAnsi="Cambria Math"/>
          </w:rPr>
          <m:t>σνz</m:t>
        </m:r>
      </m:oMath>
      <w:r>
        <w:rPr>
          <w:rFonts w:ascii="Times New Roman" w:hAnsi="Times New Roman"/>
        </w:rPr>
        <w:t xml:space="preserve">, where </w:t>
      </w:r>
      <m:oMath>
        <m:r>
          <w:rPr>
            <w:rFonts w:ascii="Cambria Math" w:hAnsi="Cambria Math"/>
          </w:rPr>
          <m:t>α</m:t>
        </m:r>
      </m:oMath>
      <w:r>
        <w:rPr>
          <w:rFonts w:ascii="Times New Roman" w:hAnsi="Times New Roman"/>
        </w:rPr>
        <w:t xml:space="preserve"> is the power law exponent of the distribution of avalanche lifetimes and </w:t>
      </w:r>
      <m:oMath>
        <m:r>
          <w:rPr>
            <w:rFonts w:ascii="Cambria Math" w:hAnsi="Cambria Math"/>
          </w:rPr>
          <m:t>τ</m:t>
        </m:r>
      </m:oMath>
      <w:r>
        <w:rPr>
          <w:rFonts w:ascii="Times New Roman" w:hAnsi="Times New Roman"/>
        </w:rPr>
        <w:t xml:space="preserve"> is the power exponent of the distribution of avalanche sizes. This invariance across scales is known as “shape collapse”</w:t>
      </w:r>
      <w:proofErr w:type="gramStart"/>
      <w:r>
        <w:rPr>
          <w:rFonts w:ascii="Times New Roman" w:hAnsi="Times New Roman"/>
        </w:rPr>
        <w:t>..</w:t>
      </w:r>
      <w:proofErr w:type="gramEnd"/>
      <w:r>
        <w:rPr>
          <w:rFonts w:ascii="Times New Roman" w:hAnsi="Times New Roman"/>
        </w:rPr>
        <w:t xml:space="preserve"> We used the method of Marshall et al. </w:t>
      </w:r>
      <w:r w:rsidR="00CB171B">
        <w:rPr>
          <w:rFonts w:ascii="Times New Roman" w:hAnsi="Times New Roman"/>
        </w:rPr>
        <w:fldChar w:fldCharType="begin" w:fldLock="1"/>
      </w:r>
      <w:r w:rsidR="00C93A3F">
        <w:rPr>
          <w:rFonts w:ascii="Times New Roman" w:hAnsi="Times New Roman"/>
        </w:rPr>
        <w:instrText>ADDIN CSL_CITATION { "citationItems" : [ { "id" : "ITEM-1", "itemData" : { "DOI" : "10.3389/fphys.2016.00250", "ISSN" : "1664-042X", "PMID" : "27445842", "abstract" : "Neural systems include interactions that occur across many scales. Two divergent methods for characterizing such interactions have drawn on the physical analysis of critical phenomena and the mathematical study of information. Inferring criticality in neural systems has traditionally rested on fitting power laws to the property distributions of \"neural avalanches\" (contiguous bursts of activity), but the fractal nature of avalanche shapes has recently emerged as another signature of criticality. On the other hand, neural complexity, an information theoretic measure, has been used to capture the interplay between the functional localization of brain regions and their integration for higher cognitive functions. Unfortunately, treatments of all three methods-power-law fitting, avalanche shape collapse, and neural complexity-have suffered from shortcomings. Empirical data often contain biases that introduce deviations from true power law in the tail and head of the distribution, but deviations in the tail have often been unconsidered; avalanche shape collapse has required manual parameter tuning; and the estimation of neural complexity has relied on small data sets or statistical assumptions for the sake of computational efficiency. In this paper we present technical advancements in the analysis of criticality and complexity in neural systems. We use maximum-likelihood estimation to automatically fit power laws with left and right cutoffs, present the first automated shape collapse algorithm, and describe new techniques to account for large numbers of neural variables and small data sets in the calculation of neural complexity. In order to facilitate future research in criticality and complexity, we have made the software utilized in this analysis freely available online in the MATLAB NCC (Neural Complexity and Criticality) Toolbox.", "author" : [ { "dropping-particle" : "", "family" : "Marshall", "given" : "Najja", "non-dropping-particle" : "", "parse-names" : false, "suffix" : "" }, { "dropping-particle" : "", "family" : "Timme", "given" : "Nicholas M.", "non-dropping-particle" : "", "parse-names" : false, "suffix" : "" }, { "dropping-particle" : "", "family" : "Bennett", "given" : "Nicholas", "non-dropping-particle" : "", "parse-names" : false, "suffix" : "" }, { "dropping-particle" : "", "family" : "Ripp", "given" : "Monica", "non-dropping-particle" : "", "parse-names" : false, "suffix" : "" }, { "dropping-particle" : "", "family" : "Lautzenhiser", "given" : "Edward", "non-dropping-particle" : "", "parse-names" : false, "suffix" : "" }, { "dropping-particle" : "", "family" : "Beggs", "given" : "John M.", "non-dropping-particle" : "", "parse-names" : false, "suffix" : "" } ], "container-title" : "Frontiers in Physiology", "id" : "ITEM-1", "issued" : { "date-parts" : [ [ "2016", "6", "27" ] ] }, "page" : "250", "title" : "Analysis of Power Laws, Shape Collapses, and Neural Complexity: New Techniques and MATLAB Support via the NCC Toolbox", "type" : "article-journal", "volume" : "7" }, "uris" : [ "http://www.mendeley.com/documents/?uuid=897893c6-3cf7-3497-aabf-5266c3e994be" ] } ], "mendeley" : { "formattedCitation" : "[1]", "plainTextFormattedCitation" : "[1]", "previouslyFormattedCitation" : "[55]" }, "properties" : { "noteIndex" : 0 }, "schema" : "https://github.com/citation-style-language/schema/raw/master/csl-citation.json" }</w:instrText>
      </w:r>
      <w:r w:rsidR="00CB171B">
        <w:rPr>
          <w:rFonts w:ascii="Times New Roman" w:hAnsi="Times New Roman"/>
        </w:rPr>
        <w:fldChar w:fldCharType="separate"/>
      </w:r>
      <w:r w:rsidR="00C93A3F" w:rsidRPr="00C93A3F">
        <w:rPr>
          <w:rFonts w:ascii="Times New Roman" w:hAnsi="Times New Roman"/>
          <w:noProof/>
        </w:rPr>
        <w:t>[1]</w:t>
      </w:r>
      <w:r w:rsidR="00CB171B">
        <w:rPr>
          <w:rFonts w:ascii="Times New Roman" w:hAnsi="Times New Roman"/>
        </w:rPr>
        <w:fldChar w:fldCharType="end"/>
      </w:r>
      <w:r>
        <w:rPr>
          <w:rFonts w:ascii="Times New Roman" w:hAnsi="Times New Roman"/>
        </w:rPr>
        <w:t xml:space="preserve">  to automatically find the scaling parameter </w:t>
      </w:r>
      <m:oMath>
        <m:r>
          <w:rPr>
            <w:rFonts w:ascii="Cambria Math" w:hAnsi="Cambria Math"/>
          </w:rPr>
          <m:t>a=1-</m:t>
        </m:r>
        <m:f>
          <m:fPr>
            <m:type m:val="lin"/>
            <m:ctrlPr>
              <w:rPr>
                <w:rFonts w:ascii="Cambria Math" w:hAnsi="Cambria Math"/>
                <w:i/>
              </w:rPr>
            </m:ctrlPr>
          </m:fPr>
          <m:num>
            <m:r>
              <w:rPr>
                <w:rFonts w:ascii="Cambria Math" w:hAnsi="Cambria Math"/>
              </w:rPr>
              <m:t>1</m:t>
            </m:r>
          </m:num>
          <m:den>
            <m:r>
              <w:rPr>
                <w:rFonts w:ascii="Cambria Math" w:hAnsi="Cambria Math"/>
              </w:rPr>
              <m:t>σνz</m:t>
            </m:r>
          </m:den>
        </m:f>
      </m:oMath>
      <w:r>
        <w:rPr>
          <w:rFonts w:ascii="Times New Roman" w:hAnsi="Times New Roman"/>
        </w:rPr>
        <w:t xml:space="preserve"> that produces the best possible collapse, i.e., the parameter</w:t>
      </w:r>
      <w:r>
        <w:t xml:space="preserve"> </w:t>
      </w:r>
      <m:oMath>
        <m:r>
          <w:rPr>
            <w:rFonts w:ascii="Cambria Math" w:hAnsi="Cambria Math"/>
          </w:rPr>
          <m:t>a</m:t>
        </m:r>
      </m:oMath>
      <w:r>
        <w:t xml:space="preserve"> </w:t>
      </w:r>
      <w:r>
        <w:rPr>
          <w:rFonts w:ascii="Times New Roman" w:hAnsi="Times New Roman"/>
        </w:rPr>
        <w:t>that minimizes the variance</w:t>
      </w:r>
      <w:r>
        <w:t xml:space="preserve"> </w:t>
      </w:r>
      <w:r>
        <w:rPr>
          <w:rFonts w:ascii="Times New Roman" w:hAnsi="Times New Roman"/>
        </w:rPr>
        <w:t>across the avalanche profiles in the normalized time (</w:t>
      </w:r>
      <m:oMath>
        <m:r>
          <w:rPr>
            <w:rFonts w:ascii="Cambria Math" w:hAnsi="Cambria Math"/>
          </w:rPr>
          <m:t>t/∆t</m:t>
        </m:r>
      </m:oMath>
      <w:r>
        <w:rPr>
          <w:rFonts w:ascii="Times New Roman" w:hAnsi="Times New Roman"/>
        </w:rPr>
        <w:t xml:space="preserve">). The minimized variance was used as a collapse index (CI) that tends to 0 when scaled avalanche profiles collapse into a single curve. Since this analysis requires a good estimation of </w:t>
      </w:r>
      <m:oMath>
        <m:d>
          <m:dPr>
            <m:begChr m:val="〈"/>
            <m:endChr m:val="〉"/>
            <m:ctrlPr>
              <w:rPr>
                <w:rFonts w:ascii="Cambria Math" w:hAnsi="Cambria Math"/>
                <w:i/>
              </w:rPr>
            </m:ctrlPr>
          </m:dPr>
          <m:e>
            <w:proofErr w:type="gramStart"/>
            <m:r>
              <w:rPr>
                <w:rFonts w:ascii="Cambria Math" w:hAnsi="Cambria Math"/>
              </w:rPr>
              <m:t>S(</m:t>
            </m:r>
            <w:proofErr w:type="gramEnd"/>
            <m:r>
              <w:rPr>
                <w:rFonts w:ascii="Cambria Math" w:hAnsi="Cambria Math"/>
              </w:rPr>
              <m:t>t,∆t)</m:t>
            </m:r>
          </m:e>
        </m:d>
      </m:oMath>
      <w:r>
        <w:rPr>
          <w:rFonts w:ascii="Times New Roman" w:hAnsi="Times New Roman"/>
        </w:rPr>
        <w:t>, we only analyzed the cat datasets, for which more data was available, and we restricted the analysis to temporal scales (Δ</w:t>
      </w:r>
      <w:r>
        <w:rPr>
          <w:rFonts w:ascii="Times New Roman" w:hAnsi="Times New Roman"/>
          <w:i/>
        </w:rPr>
        <w:t>t</w:t>
      </w:r>
      <w:r>
        <w:rPr>
          <w:rFonts w:ascii="Times New Roman" w:hAnsi="Times New Roman"/>
        </w:rPr>
        <w:t xml:space="preserve">) for which at least 10 avalanches were observed. </w:t>
      </w:r>
    </w:p>
    <w:p w:rsidR="003E17F2" w:rsidRDefault="003E17F2" w:rsidP="003E17F2">
      <w:pPr>
        <w:spacing w:line="480" w:lineRule="auto"/>
        <w:jc w:val="both"/>
        <w:rPr>
          <w:rFonts w:ascii="Times New Roman" w:hAnsi="Times New Roman"/>
        </w:rPr>
      </w:pPr>
      <w:r>
        <w:rPr>
          <w:rFonts w:ascii="Times New Roman" w:hAnsi="Times New Roman"/>
        </w:rPr>
        <w:t>In our data, the avalanche time-courses (S3A-B</w:t>
      </w:r>
      <w:r w:rsidR="00A03A4E">
        <w:rPr>
          <w:rFonts w:ascii="Times New Roman" w:hAnsi="Times New Roman"/>
        </w:rPr>
        <w:t xml:space="preserve"> Figs</w:t>
      </w:r>
      <w:r>
        <w:rPr>
          <w:rFonts w:ascii="Times New Roman" w:hAnsi="Times New Roman"/>
        </w:rPr>
        <w:t>) did not perfectly collapse for none of the states (S3C-D</w:t>
      </w:r>
      <w:r w:rsidR="00A03A4E">
        <w:rPr>
          <w:rFonts w:ascii="Times New Roman" w:hAnsi="Times New Roman"/>
        </w:rPr>
        <w:t xml:space="preserve"> Figs</w:t>
      </w:r>
      <w:r>
        <w:rPr>
          <w:rFonts w:ascii="Times New Roman" w:hAnsi="Times New Roman"/>
        </w:rPr>
        <w:t xml:space="preserve">), probably due to the limited number of avalanches in each cortical state. However, </w:t>
      </w:r>
      <w:r w:rsidRPr="007E4338">
        <w:rPr>
          <w:rFonts w:ascii="Times New Roman" w:hAnsi="Times New Roman"/>
        </w:rPr>
        <w:t xml:space="preserve">the empirical avalanche profiles </w:t>
      </w:r>
      <w:r>
        <w:rPr>
          <w:rFonts w:ascii="Times New Roman" w:hAnsi="Times New Roman"/>
        </w:rPr>
        <w:t xml:space="preserve">tended to collapse more for the synchronized states than for the desynchronized states. Differences in CI were statistically different when grouping the data of </w:t>
      </w:r>
      <w:proofErr w:type="spellStart"/>
      <w:r>
        <w:rPr>
          <w:rFonts w:ascii="Times New Roman" w:hAnsi="Times New Roman"/>
        </w:rPr>
        <w:t>Desyn</w:t>
      </w:r>
      <w:proofErr w:type="spellEnd"/>
      <w:r>
        <w:rPr>
          <w:rFonts w:ascii="Times New Roman" w:hAnsi="Times New Roman"/>
        </w:rPr>
        <w:t xml:space="preserve"> I/II and </w:t>
      </w:r>
      <w:proofErr w:type="spellStart"/>
      <w:r>
        <w:rPr>
          <w:rFonts w:ascii="Times New Roman" w:hAnsi="Times New Roman"/>
        </w:rPr>
        <w:t>SynSlow</w:t>
      </w:r>
      <w:proofErr w:type="spellEnd"/>
      <w:r>
        <w:rPr>
          <w:rFonts w:ascii="Times New Roman" w:hAnsi="Times New Roman"/>
        </w:rPr>
        <w:t xml:space="preserve"> I/II (p = 0.027, paired t-test, S3F</w:t>
      </w:r>
      <w:r w:rsidR="00A03A4E">
        <w:rPr>
          <w:rFonts w:ascii="Times New Roman" w:hAnsi="Times New Roman"/>
        </w:rPr>
        <w:t xml:space="preserve"> Fig</w:t>
      </w:r>
      <w:r>
        <w:rPr>
          <w:rFonts w:ascii="Times New Roman" w:hAnsi="Times New Roman"/>
        </w:rPr>
        <w:t xml:space="preserve">), otherwise, CI was reduced from the synchronized to desynchronized states but differences were not significant (p = 0.254, one-way </w:t>
      </w:r>
      <w:proofErr w:type="spellStart"/>
      <w:r>
        <w:rPr>
          <w:rFonts w:ascii="Times New Roman" w:hAnsi="Times New Roman"/>
        </w:rPr>
        <w:t>rm</w:t>
      </w:r>
      <w:proofErr w:type="spellEnd"/>
      <w:r>
        <w:rPr>
          <w:rFonts w:ascii="Times New Roman" w:hAnsi="Times New Roman"/>
        </w:rPr>
        <w:t>-</w:t>
      </w:r>
      <w:r w:rsidRPr="008721A4">
        <w:rPr>
          <w:rFonts w:ascii="Times New Roman" w:hAnsi="Times New Roman"/>
        </w:rPr>
        <w:t>ANOVA</w:t>
      </w:r>
      <w:r>
        <w:rPr>
          <w:rFonts w:ascii="Times New Roman" w:hAnsi="Times New Roman"/>
        </w:rPr>
        <w:t>, S3E</w:t>
      </w:r>
      <w:r w:rsidR="00A03A4E">
        <w:rPr>
          <w:rFonts w:ascii="Times New Roman" w:hAnsi="Times New Roman"/>
        </w:rPr>
        <w:t xml:space="preserve"> Fig</w:t>
      </w:r>
      <w:r>
        <w:rPr>
          <w:rFonts w:ascii="Times New Roman" w:hAnsi="Times New Roman"/>
        </w:rPr>
        <w:t xml:space="preserve">). </w:t>
      </w:r>
      <w:r w:rsidRPr="00E33B30">
        <w:rPr>
          <w:rFonts w:ascii="Times New Roman" w:hAnsi="Times New Roman"/>
        </w:rPr>
        <w:t>Further studies</w:t>
      </w:r>
      <w:r>
        <w:rPr>
          <w:rFonts w:ascii="Times New Roman" w:hAnsi="Times New Roman"/>
        </w:rPr>
        <w:t>, with larger amount of data, are needed to test self-similar dynamics in different cortical states</w:t>
      </w:r>
      <w:r w:rsidRPr="00E33B30">
        <w:rPr>
          <w:rFonts w:ascii="Times New Roman" w:hAnsi="Times New Roman"/>
        </w:rPr>
        <w:t>.</w:t>
      </w:r>
    </w:p>
    <w:p w:rsidR="003E17F2" w:rsidRDefault="003E17F2" w:rsidP="003E17F2">
      <w:pPr>
        <w:spacing w:line="480" w:lineRule="auto"/>
        <w:jc w:val="both"/>
        <w:rPr>
          <w:rFonts w:ascii="Times New Roman" w:hAnsi="Times New Roman"/>
        </w:rPr>
      </w:pPr>
      <w:r>
        <w:rPr>
          <w:rFonts w:ascii="Times New Roman" w:hAnsi="Times New Roman"/>
        </w:rPr>
        <w:lastRenderedPageBreak/>
        <w:t xml:space="preserve">We also performed the analysis on the simulated data using the spiking model. As shown </w:t>
      </w:r>
      <w:proofErr w:type="gramStart"/>
      <w:r>
        <w:rPr>
          <w:rFonts w:ascii="Times New Roman" w:hAnsi="Times New Roman"/>
        </w:rPr>
        <w:t>in  S3G</w:t>
      </w:r>
      <w:proofErr w:type="gramEnd"/>
      <w:r>
        <w:rPr>
          <w:rFonts w:ascii="Times New Roman" w:hAnsi="Times New Roman"/>
        </w:rPr>
        <w:t>-J</w:t>
      </w:r>
      <w:r w:rsidR="00A03A4E">
        <w:rPr>
          <w:rFonts w:ascii="Times New Roman" w:hAnsi="Times New Roman"/>
        </w:rPr>
        <w:t xml:space="preserve"> Fig</w:t>
      </w:r>
      <w:r w:rsidR="00A928EF">
        <w:rPr>
          <w:rFonts w:ascii="Times New Roman" w:hAnsi="Times New Roman"/>
        </w:rPr>
        <w:t>s</w:t>
      </w:r>
      <w:r>
        <w:rPr>
          <w:rFonts w:ascii="Times New Roman" w:hAnsi="Times New Roman"/>
        </w:rPr>
        <w:t>, data generated by the model in the desynchronized state do not collapse, while data generated in the synchronized state does. This result is in line with our observation that empirical data from desynchronized states lead to a higher variance (i.e., CI) than empirical data from synchronized states.</w:t>
      </w:r>
    </w:p>
    <w:p w:rsidR="003E17F2" w:rsidRPr="001050E4" w:rsidRDefault="003E17F2" w:rsidP="003E17F2">
      <w:pPr>
        <w:jc w:val="both"/>
        <w:rPr>
          <w:rFonts w:ascii="Times New Roman" w:hAnsi="Times New Roman"/>
          <w:b/>
        </w:rPr>
      </w:pPr>
      <w:r w:rsidRPr="001050E4">
        <w:rPr>
          <w:rFonts w:ascii="Times New Roman" w:hAnsi="Times New Roman"/>
          <w:b/>
        </w:rPr>
        <w:t>State analysis of the synchronized model state</w:t>
      </w:r>
    </w:p>
    <w:p w:rsidR="003E17F2" w:rsidRDefault="003E17F2" w:rsidP="003E17F2">
      <w:pPr>
        <w:spacing w:line="480" w:lineRule="auto"/>
        <w:jc w:val="both"/>
        <w:rPr>
          <w:rFonts w:ascii="Times New Roman" w:hAnsi="Times New Roman"/>
        </w:rPr>
      </w:pPr>
      <w:r>
        <w:rPr>
          <w:rFonts w:ascii="Times New Roman" w:hAnsi="Times New Roman"/>
        </w:rPr>
        <w:t xml:space="preserve">We tested whether differences found in various criticality metrics across cortical states in our data are a byproduct of artificially separating critical dynamics into states with varying levels of population synchronization. Similar to previous studies </w:t>
      </w:r>
      <w:r w:rsidR="00CB171B">
        <w:rPr>
          <w:rFonts w:ascii="Times New Roman" w:hAnsi="Times New Roman"/>
        </w:rPr>
        <w:fldChar w:fldCharType="begin" w:fldLock="1"/>
      </w:r>
      <w:r w:rsidR="00C93A3F">
        <w:rPr>
          <w:rFonts w:ascii="Times New Roman" w:hAnsi="Times New Roman"/>
        </w:rPr>
        <w:instrText>ADDIN CSL_CITATION { "citationItems" : [ { "id" : "ITEM-1", "itemData" : { "ISSN" : "0036-8075", "author" : [ { "dropping-particle" : "", "family" : "Renart", "given" : "A", "non-dropping-particle" : "", "parse-names" : false, "suffix" : "" }, { "dropping-particle" : "", "family" : "la Rocha", "given" : "J", "non-dropping-particle" : "De", "parse-names" : false, "suffix" : "" }, { "dropping-particle" : "", "family" : "Bartho", "given" : "P", "non-dropping-particle" : "", "parse-names" : false, "suffix" : "" }, { "dropping-particle" : "", "family" : "Hollender", "given" : "L", "non-dropping-particle" : "", "parse-names" : false, "suffix" : "" }, { "dropping-particle" : "", "family" : "Parga", "given" : "N", "non-dropping-particle" : "", "parse-names" : false, "suffix" : "" }, { "dropping-particle" : "", "family" : "Reyes", "given" : "A", "non-dropping-particle" : "", "parse-names" : false, "suffix" : "" }, { "dropping-particle" : "", "family" : "Harris", "given" : "KD", "non-dropping-particle" : "", "parse-names" : false, "suffix" : "" } ], "container-title" : "Science", "id" : "ITEM-1", "issue" : "5965", "issued" : { "date-parts" : [ [ "2010" ] ] }, "page" : "587", "publisher" : "American Association for the Advancement of Science", "title" : "The asynchronous state in cortical circuits", "type" : "article-journal", "volume" : "327" }, "uris" : [ "http://www.mendeley.com/documents/?uuid=016d3259-512b-49a3-8e18-2bff65c7f0f5" ] } ], "mendeley" : { "formattedCitation" : "[2]", "plainTextFormattedCitation" : "[2]", "previouslyFormattedCitation" : "[38]" }, "properties" : { "noteIndex" : 0 }, "schema" : "https://github.com/citation-style-language/schema/raw/master/csl-citation.json" }</w:instrText>
      </w:r>
      <w:r w:rsidR="00CB171B">
        <w:rPr>
          <w:rFonts w:ascii="Times New Roman" w:hAnsi="Times New Roman"/>
        </w:rPr>
        <w:fldChar w:fldCharType="separate"/>
      </w:r>
      <w:r w:rsidR="00C93A3F" w:rsidRPr="00C93A3F">
        <w:rPr>
          <w:rFonts w:ascii="Times New Roman" w:hAnsi="Times New Roman"/>
          <w:noProof/>
        </w:rPr>
        <w:t>[2]</w:t>
      </w:r>
      <w:r w:rsidR="00CB171B">
        <w:rPr>
          <w:rFonts w:ascii="Times New Roman" w:hAnsi="Times New Roman"/>
        </w:rPr>
        <w:fldChar w:fldCharType="end"/>
      </w:r>
      <w:r>
        <w:rPr>
          <w:rFonts w:ascii="Times New Roman" w:hAnsi="Times New Roman"/>
        </w:rPr>
        <w:t xml:space="preserve">, we delineated states of different synchronization levels in the model SI state based on population spike count variability and quantified synchronization by the </w:t>
      </w:r>
      <w:proofErr w:type="spellStart"/>
      <w:r>
        <w:rPr>
          <w:rFonts w:ascii="Times New Roman" w:hAnsi="Times New Roman"/>
        </w:rPr>
        <w:t>Fano</w:t>
      </w:r>
      <w:proofErr w:type="spellEnd"/>
      <w:r>
        <w:rPr>
          <w:rFonts w:ascii="Times New Roman" w:hAnsi="Times New Roman"/>
        </w:rPr>
        <w:t xml:space="preserve"> factor </w:t>
      </w:r>
      <w:r w:rsidR="00CB171B">
        <w:rPr>
          <w:rFonts w:ascii="Times New Roman" w:hAnsi="Times New Roman"/>
        </w:rPr>
        <w:fldChar w:fldCharType="begin" w:fldLock="1"/>
      </w:r>
      <w:r w:rsidR="00C93A3F">
        <w:rPr>
          <w:rFonts w:ascii="Times New Roman" w:hAnsi="Times New Roman"/>
        </w:rPr>
        <w:instrText>ADDIN CSL_CITATION { "citationItems" : [ { "id" : "ITEM-1", "itemData" : { "DOI" : "10.1523/JNEUROSCI.2542-07.2008", "ISSN" : "1529-2401", "PMID" : "18480283", "abstract" : "Isolated feedforward networks (FFNs) of spiking neurons have been studied extensively for their ability to propagate transient synchrony and asynchronous firing rates, in the presence of activity independent synaptic background noise (Diesmann et al., 1999; van Rossum et al., 2002). In a biologically realistic scenario, however, the FFN should be embedded in a recurrent network, such that the activity in the FFN and the network activity may dynamically interact. Previously, transient synchrony propagating in an FFN was found to destabilize the dynamics of the embedding network (Mehring et al., 2003). Here, we show that by modeling synapses as conductance transients, rather than current sources, it is possible to embed and propagate transient synchrony in the FFN, without destabilizing the background network dynamics. However, the network activity has a strong impact on the type of activity that can be propagated in the embedded FFN. Global synchrony and high firing rates in the embedding network prohibit the propagation of both, synchronous and asynchronous spiking activity. In contrast, asynchronous low-rate network states support the propagation of both, synchronous spiking and asynchronous, but only low firing rates. In either case, spiking activity tends to synchronize as it propagates, challenging the feasibility to transmit information in asynchronous firing rates. Finally, asynchronous network activity allows to embed more than one FFN, with the amount of cross talk depending on the degree of overlap in the FFNs. This opens the possibility of computational mechanisms using transient synchrony among the activities in multiple FFNs.", "author" : [ { "dropping-particle" : "", "family" : "Kumar", "given" : "A", "non-dropping-particle" : "", "parse-names" : false, "suffix" : "" }, { "dropping-particle" : "", "family" : "Rotter", "given" : "S", "non-dropping-particle" : "", "parse-names" : false, "suffix" : "" }, { "dropping-particle" : "", "family" : "Aertsen", "given" : "A", "non-dropping-particle" : "", "parse-names" : false, "suffix" : "" } ], "container-title" : "Journal of neuroscience", "id" : "ITEM-1", "issue" : "20", "issued" : { "date-parts" : [ [ "2008" ] ] }, "page" : "5268-80", "title" : "Conditions for propagating synchronous spiking and asynchronous firing rates in a cortical network model.", "type" : "article-journal", "volume" : "28" }, "uris" : [ "http://www.mendeley.com/documents/?uuid=74e71246-9119-4b8e-bf1f-c648408271e4" ] } ], "mendeley" : { "formattedCitation" : "[3]", "plainTextFormattedCitation" : "[3]", "previouslyFormattedCitation" : "[63]" }, "properties" : { "noteIndex" : 0 }, "schema" : "https://github.com/citation-style-language/schema/raw/master/csl-citation.json" }</w:instrText>
      </w:r>
      <w:r w:rsidR="00CB171B">
        <w:rPr>
          <w:rFonts w:ascii="Times New Roman" w:hAnsi="Times New Roman"/>
        </w:rPr>
        <w:fldChar w:fldCharType="separate"/>
      </w:r>
      <w:r w:rsidR="00C93A3F" w:rsidRPr="00C93A3F">
        <w:rPr>
          <w:rFonts w:ascii="Times New Roman" w:hAnsi="Times New Roman"/>
          <w:noProof/>
        </w:rPr>
        <w:t>[3]</w:t>
      </w:r>
      <w:r w:rsidR="00CB171B">
        <w:rPr>
          <w:rFonts w:ascii="Times New Roman" w:hAnsi="Times New Roman"/>
        </w:rPr>
        <w:fldChar w:fldCharType="end"/>
      </w:r>
      <w:r>
        <w:rPr>
          <w:rFonts w:ascii="Times New Roman" w:hAnsi="Times New Roman"/>
        </w:rPr>
        <w:t xml:space="preserve">, which is defined as: FF = </w:t>
      </w:r>
      <w:proofErr w:type="spellStart"/>
      <w:r>
        <w:rPr>
          <w:rFonts w:ascii="Times New Roman" w:hAnsi="Times New Roman"/>
        </w:rPr>
        <w:t>var</w:t>
      </w:r>
      <w:proofErr w:type="spellEnd"/>
      <w:r>
        <w:rPr>
          <w:rFonts w:ascii="Times New Roman" w:hAnsi="Times New Roman"/>
        </w:rPr>
        <w:t xml:space="preserve">(spike count) / mean(spike count), with the spike count reflecting the sum of spikes across the entire neuronal population within a given bin of the binned datasets. The bin-size was chosen as 100ms for the experimental data and 50ms for the model.  When analyzing the </w:t>
      </w:r>
      <w:proofErr w:type="spellStart"/>
      <w:r>
        <w:rPr>
          <w:rFonts w:ascii="Times New Roman" w:hAnsi="Times New Roman"/>
        </w:rPr>
        <w:t>Fano</w:t>
      </w:r>
      <w:proofErr w:type="spellEnd"/>
      <w:r>
        <w:rPr>
          <w:rFonts w:ascii="Times New Roman" w:hAnsi="Times New Roman"/>
        </w:rPr>
        <w:t xml:space="preserve"> factors of the already separated states  in both cat and monkey datasets, the FFs of spiking activity averaged across the 1 second data segments were close to one for desynchronized activity as expected from an independent Poisson process, while synchronized states were associated with FFs &gt;&gt;1 ( S4A-B</w:t>
      </w:r>
      <w:r w:rsidR="00A03A4E">
        <w:rPr>
          <w:rFonts w:ascii="Times New Roman" w:hAnsi="Times New Roman"/>
        </w:rPr>
        <w:t xml:space="preserve"> Figs</w:t>
      </w:r>
      <w:r>
        <w:rPr>
          <w:rFonts w:ascii="Times New Roman" w:hAnsi="Times New Roman"/>
        </w:rPr>
        <w:t>). These results demonstrate that differences in FF describe different states in our data. We then split the synchronized model state into bins</w:t>
      </w:r>
      <w:r w:rsidR="003C2D1B">
        <w:rPr>
          <w:rFonts w:ascii="Times New Roman" w:hAnsi="Times New Roman"/>
        </w:rPr>
        <w:t xml:space="preserve"> (250ms duration)</w:t>
      </w:r>
      <w:r>
        <w:rPr>
          <w:rFonts w:ascii="Times New Roman" w:hAnsi="Times New Roman"/>
        </w:rPr>
        <w:t xml:space="preserve"> similar to the experimental data and calculated the FF for each bin. The FF distribution of the critical SI state indeed showed a large range of different synchronization levels (S4C</w:t>
      </w:r>
      <w:r w:rsidR="00A03A4E">
        <w:rPr>
          <w:rFonts w:ascii="Times New Roman" w:hAnsi="Times New Roman"/>
        </w:rPr>
        <w:t xml:space="preserve"> Fig</w:t>
      </w:r>
      <w:r>
        <w:rPr>
          <w:rFonts w:ascii="Times New Roman" w:hAnsi="Times New Roman"/>
        </w:rPr>
        <w:t>).  To test whether more desynchronized activity in the SI state is accompanied by a loss of power law as seen in the experimental data, we successively removed synchronized bins such that only bins with FF less than the mean or mean/2 of the FF distribution were analyzed. While the mean spike rate of the remaining data decreased (S4D</w:t>
      </w:r>
      <w:r w:rsidR="00A03A4E">
        <w:rPr>
          <w:rFonts w:ascii="Times New Roman" w:hAnsi="Times New Roman"/>
        </w:rPr>
        <w:t xml:space="preserve"> Fig</w:t>
      </w:r>
      <w:r>
        <w:rPr>
          <w:rFonts w:ascii="Times New Roman" w:hAnsi="Times New Roman"/>
        </w:rPr>
        <w:t>), the power law was preserved even in the absence of strongly synchronized states (S4E</w:t>
      </w:r>
      <w:r w:rsidR="00A03A4E">
        <w:rPr>
          <w:rFonts w:ascii="Times New Roman" w:hAnsi="Times New Roman"/>
        </w:rPr>
        <w:t xml:space="preserve"> Fig</w:t>
      </w:r>
      <w:r>
        <w:rPr>
          <w:rFonts w:ascii="Times New Roman" w:hAnsi="Times New Roman"/>
        </w:rPr>
        <w:t xml:space="preserve">). The manipulation only moved the power law cutoff to </w:t>
      </w:r>
      <w:r>
        <w:rPr>
          <w:rFonts w:ascii="Times New Roman" w:hAnsi="Times New Roman"/>
        </w:rPr>
        <w:lastRenderedPageBreak/>
        <w:t>smaller avalanches. In addition, results of the collapse analysis for the more desynchronized model SI activity were indistinguishable from the fully sampled case (S3J and S4F</w:t>
      </w:r>
      <w:r w:rsidR="00A03A4E">
        <w:rPr>
          <w:rFonts w:ascii="Times New Roman" w:hAnsi="Times New Roman"/>
        </w:rPr>
        <w:t xml:space="preserve"> Figs</w:t>
      </w:r>
      <w:r>
        <w:rPr>
          <w:rFonts w:ascii="Times New Roman" w:hAnsi="Times New Roman"/>
        </w:rPr>
        <w:t>).</w:t>
      </w:r>
    </w:p>
    <w:p w:rsidR="00C93A3F" w:rsidRDefault="00C93A3F" w:rsidP="003E17F2">
      <w:pPr>
        <w:spacing w:line="480" w:lineRule="auto"/>
        <w:jc w:val="both"/>
        <w:rPr>
          <w:rFonts w:ascii="Times New Roman" w:hAnsi="Times New Roman"/>
        </w:rPr>
      </w:pPr>
    </w:p>
    <w:p w:rsidR="00C93A3F" w:rsidRPr="00B451DB" w:rsidRDefault="00CB171B" w:rsidP="00C93A3F">
      <w:pPr>
        <w:widowControl w:val="0"/>
        <w:autoSpaceDE w:val="0"/>
        <w:autoSpaceDN w:val="0"/>
        <w:adjustRightInd w:val="0"/>
        <w:spacing w:line="480" w:lineRule="auto"/>
        <w:ind w:left="640" w:hanging="640"/>
        <w:rPr>
          <w:rFonts w:ascii="Times New Roman" w:hAnsi="Times New Roman"/>
          <w:noProof/>
          <w:szCs w:val="24"/>
          <w:lang w:val="fr-FR"/>
        </w:rPr>
      </w:pPr>
      <w:r>
        <w:rPr>
          <w:rFonts w:ascii="Times New Roman" w:hAnsi="Times New Roman"/>
        </w:rPr>
        <w:fldChar w:fldCharType="begin" w:fldLock="1"/>
      </w:r>
      <w:r w:rsidR="00C93A3F">
        <w:rPr>
          <w:rFonts w:ascii="Times New Roman" w:hAnsi="Times New Roman"/>
        </w:rPr>
        <w:instrText xml:space="preserve">ADDIN Mendeley Bibliography CSL_BIBLIOGRAPHY </w:instrText>
      </w:r>
      <w:r>
        <w:rPr>
          <w:rFonts w:ascii="Times New Roman" w:hAnsi="Times New Roman"/>
        </w:rPr>
        <w:fldChar w:fldCharType="separate"/>
      </w:r>
      <w:r w:rsidR="00C93A3F" w:rsidRPr="00C93A3F">
        <w:rPr>
          <w:rFonts w:ascii="Times New Roman" w:hAnsi="Times New Roman"/>
          <w:noProof/>
          <w:szCs w:val="24"/>
        </w:rPr>
        <w:t xml:space="preserve">1. </w:t>
      </w:r>
      <w:r w:rsidR="00C93A3F" w:rsidRPr="00C93A3F">
        <w:rPr>
          <w:rFonts w:ascii="Times New Roman" w:hAnsi="Times New Roman"/>
          <w:noProof/>
          <w:szCs w:val="24"/>
        </w:rPr>
        <w:tab/>
        <w:t xml:space="preserve">Marshall N, Timme NM, Bennett N, Ripp M, Lautzenhiser E, Beggs JM. Analysis of Power Laws, Shape Collapses, and Neural Complexity: New Techniques and MATLAB Support via the NCC Toolbox. </w:t>
      </w:r>
      <w:r w:rsidR="00C93A3F" w:rsidRPr="00B451DB">
        <w:rPr>
          <w:rFonts w:ascii="Times New Roman" w:hAnsi="Times New Roman"/>
          <w:noProof/>
          <w:szCs w:val="24"/>
          <w:lang w:val="fr-FR"/>
        </w:rPr>
        <w:t>Front Physiol. 2016;7: 250. doi:10.3389/fphys.2016.00250</w:t>
      </w:r>
    </w:p>
    <w:p w:rsidR="00C93A3F" w:rsidRPr="00C93A3F" w:rsidRDefault="00C93A3F" w:rsidP="00C93A3F">
      <w:pPr>
        <w:widowControl w:val="0"/>
        <w:autoSpaceDE w:val="0"/>
        <w:autoSpaceDN w:val="0"/>
        <w:adjustRightInd w:val="0"/>
        <w:spacing w:line="480" w:lineRule="auto"/>
        <w:ind w:left="640" w:hanging="640"/>
        <w:rPr>
          <w:rFonts w:ascii="Times New Roman" w:hAnsi="Times New Roman"/>
          <w:noProof/>
          <w:szCs w:val="24"/>
        </w:rPr>
      </w:pPr>
      <w:r w:rsidRPr="00B451DB">
        <w:rPr>
          <w:rFonts w:ascii="Times New Roman" w:hAnsi="Times New Roman"/>
          <w:noProof/>
          <w:szCs w:val="24"/>
          <w:lang w:val="fr-FR"/>
        </w:rPr>
        <w:t xml:space="preserve">2. </w:t>
      </w:r>
      <w:r w:rsidRPr="00B451DB">
        <w:rPr>
          <w:rFonts w:ascii="Times New Roman" w:hAnsi="Times New Roman"/>
          <w:noProof/>
          <w:szCs w:val="24"/>
          <w:lang w:val="fr-FR"/>
        </w:rPr>
        <w:tab/>
        <w:t xml:space="preserve">Renart A, De la Rocha J, Bartho P, Hollender L, Parga N, Reyes A, et al. </w:t>
      </w:r>
      <w:r w:rsidRPr="00C93A3F">
        <w:rPr>
          <w:rFonts w:ascii="Times New Roman" w:hAnsi="Times New Roman"/>
          <w:noProof/>
          <w:szCs w:val="24"/>
        </w:rPr>
        <w:t>The asynchronous state in cortical circuits. Science (80- ). American Association for the Advancement of Science; 2010;327: 587. Available: http://www.sciencemag.org/content/327/5965/587.short</w:t>
      </w:r>
    </w:p>
    <w:p w:rsidR="00C93A3F" w:rsidRPr="00C93A3F" w:rsidRDefault="00C93A3F" w:rsidP="00C93A3F">
      <w:pPr>
        <w:widowControl w:val="0"/>
        <w:autoSpaceDE w:val="0"/>
        <w:autoSpaceDN w:val="0"/>
        <w:adjustRightInd w:val="0"/>
        <w:spacing w:line="480" w:lineRule="auto"/>
        <w:ind w:left="640" w:hanging="640"/>
        <w:rPr>
          <w:rFonts w:ascii="Times New Roman" w:hAnsi="Times New Roman"/>
          <w:noProof/>
        </w:rPr>
      </w:pPr>
      <w:r w:rsidRPr="00C93A3F">
        <w:rPr>
          <w:rFonts w:ascii="Times New Roman" w:hAnsi="Times New Roman"/>
          <w:noProof/>
          <w:szCs w:val="24"/>
        </w:rPr>
        <w:t xml:space="preserve">3. </w:t>
      </w:r>
      <w:r w:rsidRPr="00C93A3F">
        <w:rPr>
          <w:rFonts w:ascii="Times New Roman" w:hAnsi="Times New Roman"/>
          <w:noProof/>
          <w:szCs w:val="24"/>
        </w:rPr>
        <w:tab/>
        <w:t>Kumar A, Rotter S, Aertsen A. Conditions for propagating synchronous spiking and asynchronous firing rates in a cortical network model. J Neurosci. 2008;28: 5268–80. doi:10.1523/JNEUROSCI.2542-07.2008</w:t>
      </w:r>
    </w:p>
    <w:p w:rsidR="003C133A" w:rsidRPr="00643FE7" w:rsidRDefault="00CB171B" w:rsidP="003C133A">
      <w:pPr>
        <w:rPr>
          <w:rFonts w:ascii="Times New Roman" w:hAnsi="Times New Roman"/>
          <w:b/>
        </w:rPr>
      </w:pPr>
      <w:r>
        <w:rPr>
          <w:rFonts w:ascii="Times New Roman" w:hAnsi="Times New Roman"/>
        </w:rPr>
        <w:fldChar w:fldCharType="end"/>
      </w:r>
      <w:r w:rsidR="003C133A" w:rsidRPr="00643FE7">
        <w:rPr>
          <w:rFonts w:ascii="Times New Roman" w:hAnsi="Times New Roman"/>
          <w:b/>
        </w:rPr>
        <w:t xml:space="preserve"> </w:t>
      </w:r>
    </w:p>
    <w:p w:rsidR="003C133A" w:rsidRPr="00643FE7" w:rsidRDefault="003C133A" w:rsidP="003C133A">
      <w:pPr>
        <w:rPr>
          <w:rFonts w:ascii="Times New Roman" w:hAnsi="Times New Roman"/>
          <w:b/>
        </w:rPr>
      </w:pPr>
    </w:p>
    <w:p w:rsidR="003C133A" w:rsidRPr="00643FE7" w:rsidRDefault="003C133A" w:rsidP="003C133A">
      <w:pPr>
        <w:rPr>
          <w:rFonts w:ascii="Times New Roman" w:hAnsi="Times New Roman"/>
          <w:b/>
        </w:rPr>
      </w:pPr>
    </w:p>
    <w:p w:rsidR="003C133A" w:rsidRPr="00643FE7" w:rsidRDefault="003C133A" w:rsidP="003C133A">
      <w:pPr>
        <w:rPr>
          <w:rFonts w:ascii="Times New Roman" w:hAnsi="Times New Roman"/>
          <w:b/>
        </w:rPr>
      </w:pPr>
    </w:p>
    <w:p w:rsidR="003C133A" w:rsidRPr="00643FE7" w:rsidRDefault="003C133A" w:rsidP="003C133A">
      <w:pPr>
        <w:rPr>
          <w:rFonts w:ascii="Times New Roman" w:hAnsi="Times New Roman"/>
          <w:b/>
        </w:rPr>
      </w:pPr>
    </w:p>
    <w:p w:rsidR="003C133A" w:rsidRPr="00643FE7" w:rsidRDefault="003C133A" w:rsidP="003C133A">
      <w:pPr>
        <w:rPr>
          <w:rFonts w:ascii="Times New Roman" w:hAnsi="Times New Roman"/>
          <w:b/>
        </w:rPr>
      </w:pPr>
    </w:p>
    <w:p w:rsidR="003C133A" w:rsidRPr="00643FE7" w:rsidRDefault="003C133A" w:rsidP="003C133A">
      <w:pPr>
        <w:rPr>
          <w:rFonts w:ascii="Times New Roman" w:hAnsi="Times New Roman"/>
          <w:b/>
        </w:rPr>
      </w:pPr>
    </w:p>
    <w:p w:rsidR="003C133A" w:rsidRPr="00643FE7" w:rsidRDefault="003C133A" w:rsidP="003C133A">
      <w:pPr>
        <w:rPr>
          <w:rFonts w:ascii="Times New Roman" w:hAnsi="Times New Roman"/>
          <w:b/>
        </w:rPr>
      </w:pPr>
    </w:p>
    <w:p w:rsidR="000106A1" w:rsidRDefault="000106A1"/>
    <w:sectPr w:rsidR="000106A1" w:rsidSect="00AE3F7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mbria Math">
    <w:panose1 w:val="02040503050406030204"/>
    <w:charset w:val="00"/>
    <w:family w:val="auto"/>
    <w:pitch w:val="variable"/>
    <w:sig w:usb0="E00002FF" w:usb1="42002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7F2"/>
    <w:rsid w:val="000106A1"/>
    <w:rsid w:val="0022601C"/>
    <w:rsid w:val="003A3CF1"/>
    <w:rsid w:val="003C133A"/>
    <w:rsid w:val="003C2D1B"/>
    <w:rsid w:val="003E17F2"/>
    <w:rsid w:val="00461783"/>
    <w:rsid w:val="004A57A1"/>
    <w:rsid w:val="005920DD"/>
    <w:rsid w:val="00643FE7"/>
    <w:rsid w:val="008222F3"/>
    <w:rsid w:val="008E33CB"/>
    <w:rsid w:val="00A03A4E"/>
    <w:rsid w:val="00A928EF"/>
    <w:rsid w:val="00AE3F7F"/>
    <w:rsid w:val="00B451DB"/>
    <w:rsid w:val="00C93A3F"/>
    <w:rsid w:val="00CB171B"/>
    <w:rsid w:val="00FE53A1"/>
    <w:rsid w:val="00FF2D98"/>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7F2"/>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17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7F2"/>
    <w:rPr>
      <w:rFonts w:ascii="Tahoma" w:eastAsia="Times New Roman" w:hAnsi="Tahoma" w:cs="Tahoma"/>
      <w:sz w:val="16"/>
      <w:szCs w:val="16"/>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17F2"/>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17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7F2"/>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5B9993-1763-554E-B109-2303335C8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2046</Words>
  <Characters>11666</Characters>
  <Application>Microsoft Macintosh Word</Application>
  <DocSecurity>0</DocSecurity>
  <Lines>97</Lines>
  <Paragraphs>27</Paragraphs>
  <ScaleCrop>false</ScaleCrop>
  <Company>Microsoft</Company>
  <LinksUpToDate>false</LinksUpToDate>
  <CharactersWithSpaces>13685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Gerald</dc:creator>
  <cp:lastModifiedBy>Paige Horvath</cp:lastModifiedBy>
  <cp:revision>2</cp:revision>
  <dcterms:created xsi:type="dcterms:W3CDTF">2017-05-26T18:33:00Z</dcterms:created>
  <dcterms:modified xsi:type="dcterms:W3CDTF">2017-05-26T18:33:00Z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gerald.a.hahn@gmail.com@www.mendeley.com</vt:lpwstr>
  </property>
  <property fmtid="{D5CDD505-2E9C-101B-9397-08002B2CF9AE}" pid="4" name="Mendeley Citation Style_1">
    <vt:lpwstr>http://www.zotero.org/styles/plos-computational-biology</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16th edition (author-date)</vt:lpwstr>
  </property>
  <property fmtid="{D5CDD505-2E9C-101B-9397-08002B2CF9AE}" pid="11" name="Mendeley Recent Style Id 3_1">
    <vt:lpwstr>http://www.zotero.org/styles/harvard1</vt:lpwstr>
  </property>
  <property fmtid="{D5CDD505-2E9C-101B-9397-08002B2CF9AE}" pid="12" name="Mendeley Recent Style Name 3_1">
    <vt:lpwstr>Harvard Reference format 1 (author-date)</vt:lpwstr>
  </property>
  <property fmtid="{D5CDD505-2E9C-101B-9397-08002B2CF9AE}" pid="13" name="Mendeley Recent Style Id 4_1">
    <vt:lpwstr>http://www.zotero.org/styles/ieee</vt:lpwstr>
  </property>
  <property fmtid="{D5CDD505-2E9C-101B-9397-08002B2CF9AE}" pid="14" name="Mendeley Recent Style Name 4_1">
    <vt:lpwstr>IEEE</vt:lpwstr>
  </property>
  <property fmtid="{D5CDD505-2E9C-101B-9397-08002B2CF9AE}" pid="15" name="Mendeley Recent Style Id 5_1">
    <vt:lpwstr>http://www.zotero.org/styles/modern-humanities-research-association</vt:lpwstr>
  </property>
  <property fmtid="{D5CDD505-2E9C-101B-9397-08002B2CF9AE}" pid="16" name="Mendeley Recent Style Name 5_1">
    <vt:lpwstr>Modern Humanities Research Association 3rd edition (note with bibliography)</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7th edition</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http://www.zotero.org/styles/plos-computational-biology</vt:lpwstr>
  </property>
  <property fmtid="{D5CDD505-2E9C-101B-9397-08002B2CF9AE}" pid="22" name="Mendeley Recent Style Name 8_1">
    <vt:lpwstr>PLOS Computational Biology</vt:lpwstr>
  </property>
  <property fmtid="{D5CDD505-2E9C-101B-9397-08002B2CF9AE}" pid="23" name="Mendeley Recent Style Id 9_1">
    <vt:lpwstr>http://www.zotero.org/styles/the-journal-of-neuroscience</vt:lpwstr>
  </property>
  <property fmtid="{D5CDD505-2E9C-101B-9397-08002B2CF9AE}" pid="24" name="Mendeley Recent Style Name 9_1">
    <vt:lpwstr>The Journal of Neuroscience</vt:lpwstr>
  </property>
</Properties>
</file>