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E1" w:rsidRPr="00F5530E" w:rsidRDefault="00C55BE1" w:rsidP="00C55BE1">
      <w:pPr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55BE1">
        <w:rPr>
          <w:rFonts w:ascii="Times New Roman" w:hAnsi="Times New Roman" w:cs="Times New Roman"/>
          <w:b/>
          <w:sz w:val="24"/>
          <w:szCs w:val="24"/>
        </w:rPr>
        <w:t>Suppl</w:t>
      </w:r>
      <w:r w:rsidRPr="00C55BE1">
        <w:rPr>
          <w:rFonts w:ascii="Times New Roman" w:hAnsi="Times New Roman" w:cs="Times New Roman"/>
          <w:b/>
          <w:sz w:val="24"/>
          <w:szCs w:val="24"/>
        </w:rPr>
        <w:t>.</w:t>
      </w:r>
      <w:r w:rsidRPr="00C55BE1">
        <w:rPr>
          <w:rFonts w:ascii="Times New Roman" w:hAnsi="Times New Roman" w:cs="Times New Roman"/>
          <w:b/>
          <w:sz w:val="24"/>
          <w:szCs w:val="24"/>
        </w:rPr>
        <w:t xml:space="preserve"> Fig. </w:t>
      </w:r>
      <w:r w:rsidRPr="00C55BE1">
        <w:rPr>
          <w:rFonts w:ascii="Times New Roman" w:hAnsi="Times New Roman" w:cs="Times New Roman"/>
          <w:b/>
          <w:sz w:val="24"/>
          <w:szCs w:val="24"/>
        </w:rPr>
        <w:t>S</w:t>
      </w:r>
      <w:r w:rsidRPr="00C55BE1">
        <w:rPr>
          <w:rFonts w:ascii="Times New Roman" w:hAnsi="Times New Roman" w:cs="Times New Roman"/>
          <w:b/>
          <w:sz w:val="24"/>
          <w:szCs w:val="24"/>
        </w:rPr>
        <w:t>1</w:t>
      </w:r>
      <w:r w:rsidRPr="00C55BE1">
        <w:rPr>
          <w:rFonts w:ascii="Times New Roman" w:hAnsi="Times New Roman" w:cs="Times New Roman"/>
          <w:b/>
          <w:sz w:val="24"/>
          <w:szCs w:val="24"/>
        </w:rPr>
        <w:t>.</w:t>
      </w:r>
      <w:bookmarkEnd w:id="0"/>
      <w:r w:rsidRPr="00F5530E">
        <w:rPr>
          <w:rFonts w:ascii="Times New Roman" w:hAnsi="Times New Roman" w:cs="Times New Roman"/>
          <w:sz w:val="24"/>
          <w:szCs w:val="24"/>
        </w:rPr>
        <w:t xml:space="preserve"> (A) Distribution of positive food challenges for each dose step. (B) Distribution of clinical reaction severity by dose step.</w:t>
      </w:r>
    </w:p>
    <w:p w:rsidR="00F31868" w:rsidRDefault="00F31868"/>
    <w:sectPr w:rsidR="00F318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BE1"/>
    <w:rsid w:val="00C55BE1"/>
    <w:rsid w:val="00F3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jappertr</dc:creator>
  <cp:lastModifiedBy>jappertr</cp:lastModifiedBy>
  <cp:revision>1</cp:revision>
  <dcterms:created xsi:type="dcterms:W3CDTF">2017-02-06T13:53:00Z</dcterms:created>
  <dcterms:modified xsi:type="dcterms:W3CDTF">2017-02-06T13:54:00Z</dcterms:modified>
</cp:coreProperties>
</file>