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79A" w:rsidRPr="008B7753" w:rsidRDefault="00FF04A4" w:rsidP="003D379A">
      <w:pPr>
        <w:pStyle w:val="Normaalweb"/>
        <w:spacing w:before="0" w:beforeAutospacing="0" w:after="0" w:afterAutospacing="0" w:line="480" w:lineRule="auto"/>
      </w:pPr>
      <w:r>
        <w:rPr>
          <w:b/>
        </w:rPr>
        <w:t>S</w:t>
      </w:r>
      <w:r w:rsidRPr="008B7753">
        <w:rPr>
          <w:b/>
        </w:rPr>
        <w:t>3</w:t>
      </w:r>
      <w:r w:rsidR="00496E48">
        <w:rPr>
          <w:b/>
        </w:rPr>
        <w:t xml:space="preserve"> </w:t>
      </w:r>
      <w:bookmarkStart w:id="0" w:name="_GoBack"/>
      <w:bookmarkEnd w:id="0"/>
      <w:r w:rsidR="003D379A" w:rsidRPr="008B7753">
        <w:rPr>
          <w:b/>
        </w:rPr>
        <w:t>Table</w:t>
      </w:r>
      <w:r w:rsidR="003D379A" w:rsidRPr="008B7753">
        <w:t xml:space="preserve">. Association of plasma potassium with risk of developing chronic kidney disease stratified by use of diuretics in 5,130 participants of the </w:t>
      </w:r>
      <w:r w:rsidR="003B6D46" w:rsidRPr="00033011">
        <w:t>Prevention of Renal and Vascular End-stage Disease (PREVEND) study</w:t>
      </w:r>
      <w:r w:rsidR="003D379A" w:rsidRPr="008B7753">
        <w:t>.</w:t>
      </w:r>
    </w:p>
    <w:tbl>
      <w:tblPr>
        <w:tblW w:w="14303" w:type="dxa"/>
        <w:jc w:val="center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1985"/>
        <w:gridCol w:w="2126"/>
        <w:gridCol w:w="1985"/>
        <w:gridCol w:w="2005"/>
        <w:gridCol w:w="2125"/>
      </w:tblGrid>
      <w:tr w:rsidR="003D379A" w:rsidRPr="008B7753" w:rsidTr="006E1C9B">
        <w:trPr>
          <w:trHeight w:val="346"/>
          <w:jc w:val="center"/>
        </w:trPr>
        <w:tc>
          <w:tcPr>
            <w:tcW w:w="4077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  <w:tc>
          <w:tcPr>
            <w:tcW w:w="10226" w:type="dxa"/>
            <w:gridSpan w:val="5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b/>
                <w:lang w:eastAsia="nl-NL"/>
              </w:rPr>
            </w:pPr>
            <w:r w:rsidRPr="008B7753">
              <w:rPr>
                <w:b/>
                <w:lang w:eastAsia="nl-NL"/>
              </w:rPr>
              <w:t>Plasma potassium, mmol/L</w:t>
            </w:r>
          </w:p>
        </w:tc>
      </w:tr>
      <w:tr w:rsidR="003D379A" w:rsidRPr="008B7753" w:rsidTr="006E1C9B">
        <w:trPr>
          <w:trHeight w:val="346"/>
          <w:jc w:val="center"/>
        </w:trPr>
        <w:tc>
          <w:tcPr>
            <w:tcW w:w="4077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tabs>
                <w:tab w:val="left" w:pos="645"/>
                <w:tab w:val="center" w:pos="884"/>
              </w:tabs>
              <w:spacing w:after="0" w:line="480" w:lineRule="auto"/>
              <w:rPr>
                <w:lang w:eastAsia="nl-NL"/>
              </w:rPr>
            </w:pPr>
            <w:r w:rsidRPr="008B7753">
              <w:rPr>
                <w:lang w:eastAsia="nl-NL"/>
              </w:rPr>
              <w:tab/>
              <w:t>2.3-3.4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3.5-3.9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4.0-4.4</w:t>
            </w: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4.5-4.9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5.0-6.3</w:t>
            </w:r>
          </w:p>
        </w:tc>
      </w:tr>
      <w:tr w:rsidR="003D379A" w:rsidRPr="008B7753" w:rsidTr="006E1C9B">
        <w:trPr>
          <w:trHeight w:val="346"/>
          <w:jc w:val="center"/>
        </w:trPr>
        <w:tc>
          <w:tcPr>
            <w:tcW w:w="4077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rPr>
                <w:b/>
              </w:rPr>
            </w:pPr>
            <w:r w:rsidRPr="008B7753">
              <w:rPr>
                <w:b/>
              </w:rPr>
              <w:t>No diuretic use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  <w:tc>
          <w:tcPr>
            <w:tcW w:w="2005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</w:tr>
      <w:tr w:rsidR="003D379A" w:rsidRPr="008B7753" w:rsidTr="006E1C9B">
        <w:trPr>
          <w:trHeight w:val="363"/>
          <w:jc w:val="center"/>
        </w:trPr>
        <w:tc>
          <w:tcPr>
            <w:tcW w:w="4077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ind w:left="397"/>
            </w:pPr>
            <w:r w:rsidRPr="008B7753">
              <w:t>Person-years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80</w:t>
            </w:r>
          </w:p>
        </w:tc>
        <w:tc>
          <w:tcPr>
            <w:tcW w:w="212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2,781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21,469</w:t>
            </w:r>
          </w:p>
        </w:tc>
        <w:tc>
          <w:tcPr>
            <w:tcW w:w="200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12,175</w:t>
            </w:r>
          </w:p>
        </w:tc>
        <w:tc>
          <w:tcPr>
            <w:tcW w:w="212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1,291</w:t>
            </w:r>
          </w:p>
        </w:tc>
      </w:tr>
      <w:tr w:rsidR="003D379A" w:rsidRPr="008B7753" w:rsidTr="006E1C9B">
        <w:trPr>
          <w:trHeight w:val="363"/>
          <w:jc w:val="center"/>
        </w:trPr>
        <w:tc>
          <w:tcPr>
            <w:tcW w:w="4077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ind w:left="397"/>
            </w:pPr>
            <w:r w:rsidRPr="008B7753">
              <w:t>Number of events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6</w:t>
            </w:r>
          </w:p>
        </w:tc>
        <w:tc>
          <w:tcPr>
            <w:tcW w:w="212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32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325</w:t>
            </w:r>
          </w:p>
        </w:tc>
        <w:tc>
          <w:tcPr>
            <w:tcW w:w="200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211</w:t>
            </w:r>
          </w:p>
        </w:tc>
        <w:tc>
          <w:tcPr>
            <w:tcW w:w="212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20</w:t>
            </w:r>
          </w:p>
        </w:tc>
      </w:tr>
      <w:tr w:rsidR="003D379A" w:rsidRPr="008B7753" w:rsidTr="006E1C9B">
        <w:trPr>
          <w:trHeight w:val="363"/>
          <w:jc w:val="center"/>
        </w:trPr>
        <w:tc>
          <w:tcPr>
            <w:tcW w:w="4077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ind w:left="397"/>
            </w:pPr>
            <w:r w:rsidRPr="008B7753">
              <w:t>Rates*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750</w:t>
            </w:r>
          </w:p>
        </w:tc>
        <w:tc>
          <w:tcPr>
            <w:tcW w:w="212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115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151</w:t>
            </w:r>
          </w:p>
        </w:tc>
        <w:tc>
          <w:tcPr>
            <w:tcW w:w="200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173</w:t>
            </w:r>
          </w:p>
        </w:tc>
        <w:tc>
          <w:tcPr>
            <w:tcW w:w="212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155</w:t>
            </w:r>
          </w:p>
        </w:tc>
      </w:tr>
      <w:tr w:rsidR="003D379A" w:rsidRPr="008B7753" w:rsidTr="006E1C9B">
        <w:trPr>
          <w:trHeight w:val="363"/>
          <w:jc w:val="center"/>
        </w:trPr>
        <w:tc>
          <w:tcPr>
            <w:tcW w:w="4077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ind w:left="397"/>
            </w:pPr>
            <w:r w:rsidRPr="008B7753">
              <w:t>Multivariable model†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7.74 (3.43-17.48)</w:t>
            </w:r>
          </w:p>
        </w:tc>
        <w:tc>
          <w:tcPr>
            <w:tcW w:w="212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0.92 (0.64-1.33)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00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1.04 (0.87-1.24)</w:t>
            </w:r>
          </w:p>
        </w:tc>
        <w:tc>
          <w:tcPr>
            <w:tcW w:w="212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0.92 (0.59-1.45)</w:t>
            </w:r>
          </w:p>
        </w:tc>
      </w:tr>
      <w:tr w:rsidR="003D379A" w:rsidRPr="008B7753" w:rsidTr="006E1C9B">
        <w:trPr>
          <w:trHeight w:val="363"/>
          <w:jc w:val="center"/>
        </w:trPr>
        <w:tc>
          <w:tcPr>
            <w:tcW w:w="4077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rPr>
                <w:b/>
              </w:rPr>
            </w:pPr>
            <w:r w:rsidRPr="008B7753">
              <w:rPr>
                <w:b/>
              </w:rPr>
              <w:t>Diuretic use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</w:p>
        </w:tc>
        <w:tc>
          <w:tcPr>
            <w:tcW w:w="212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  <w:tc>
          <w:tcPr>
            <w:tcW w:w="198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  <w:tc>
          <w:tcPr>
            <w:tcW w:w="200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  <w:tc>
          <w:tcPr>
            <w:tcW w:w="212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</w:tr>
      <w:tr w:rsidR="003D379A" w:rsidRPr="008B7753" w:rsidTr="006E1C9B">
        <w:trPr>
          <w:trHeight w:val="363"/>
          <w:jc w:val="center"/>
        </w:trPr>
        <w:tc>
          <w:tcPr>
            <w:tcW w:w="4077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ind w:left="397"/>
            </w:pPr>
            <w:r w:rsidRPr="008B7753">
              <w:t>Person-years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41</w:t>
            </w:r>
          </w:p>
        </w:tc>
        <w:tc>
          <w:tcPr>
            <w:tcW w:w="212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420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499</w:t>
            </w:r>
          </w:p>
        </w:tc>
        <w:tc>
          <w:tcPr>
            <w:tcW w:w="200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102</w:t>
            </w:r>
          </w:p>
        </w:tc>
        <w:tc>
          <w:tcPr>
            <w:tcW w:w="212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33</w:t>
            </w:r>
          </w:p>
        </w:tc>
      </w:tr>
      <w:tr w:rsidR="003D379A" w:rsidRPr="008B7753" w:rsidTr="006E1C9B">
        <w:trPr>
          <w:trHeight w:val="363"/>
          <w:jc w:val="center"/>
        </w:trPr>
        <w:tc>
          <w:tcPr>
            <w:tcW w:w="4077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ind w:left="397"/>
            </w:pPr>
            <w:r w:rsidRPr="008B7753">
              <w:t>Number of events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5</w:t>
            </w:r>
          </w:p>
        </w:tc>
        <w:tc>
          <w:tcPr>
            <w:tcW w:w="212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20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29</w:t>
            </w:r>
          </w:p>
        </w:tc>
        <w:tc>
          <w:tcPr>
            <w:tcW w:w="200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12</w:t>
            </w:r>
          </w:p>
        </w:tc>
        <w:tc>
          <w:tcPr>
            <w:tcW w:w="212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3</w:t>
            </w:r>
          </w:p>
        </w:tc>
      </w:tr>
      <w:tr w:rsidR="003D379A" w:rsidRPr="008B7753" w:rsidTr="006E1C9B">
        <w:trPr>
          <w:trHeight w:val="363"/>
          <w:jc w:val="center"/>
        </w:trPr>
        <w:tc>
          <w:tcPr>
            <w:tcW w:w="4077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ind w:left="397"/>
            </w:pPr>
            <w:r w:rsidRPr="008B7753">
              <w:t>Rates*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1,220</w:t>
            </w:r>
          </w:p>
        </w:tc>
        <w:tc>
          <w:tcPr>
            <w:tcW w:w="212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476</w:t>
            </w:r>
          </w:p>
        </w:tc>
        <w:tc>
          <w:tcPr>
            <w:tcW w:w="198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581</w:t>
            </w:r>
          </w:p>
        </w:tc>
        <w:tc>
          <w:tcPr>
            <w:tcW w:w="200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1,177</w:t>
            </w:r>
          </w:p>
        </w:tc>
        <w:tc>
          <w:tcPr>
            <w:tcW w:w="2125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909</w:t>
            </w:r>
          </w:p>
        </w:tc>
      </w:tr>
      <w:tr w:rsidR="003D379A" w:rsidRPr="008B7753" w:rsidTr="006E1C9B">
        <w:trPr>
          <w:trHeight w:val="363"/>
          <w:jc w:val="center"/>
        </w:trPr>
        <w:tc>
          <w:tcPr>
            <w:tcW w:w="4077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ind w:left="397"/>
            </w:pPr>
            <w:r w:rsidRPr="008B7753">
              <w:t>Multivariable model†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4.32 (1.77-10.51)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1.40 (0.88-2.22)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1.89 (1.28-2.78)</w:t>
            </w: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3.78 (2.11-6.80)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4.79 (1.53-14.99)</w:t>
            </w:r>
          </w:p>
        </w:tc>
      </w:tr>
    </w:tbl>
    <w:p w:rsidR="003D379A" w:rsidRPr="008B7753" w:rsidRDefault="00E871C2" w:rsidP="003D379A">
      <w:pPr>
        <w:pStyle w:val="Normaalweb"/>
        <w:spacing w:before="0" w:beforeAutospacing="0" w:after="0" w:afterAutospacing="0" w:line="480" w:lineRule="auto"/>
      </w:pPr>
      <w:r>
        <w:t>Hazard ratios</w:t>
      </w:r>
      <w:r w:rsidR="003D379A" w:rsidRPr="008B7753">
        <w:t xml:space="preserve"> and 95% confidence intervals were derived from Cox proportional hazards regression models.</w:t>
      </w:r>
    </w:p>
    <w:p w:rsidR="003D379A" w:rsidRPr="008B7753" w:rsidRDefault="003D379A" w:rsidP="003D379A">
      <w:pPr>
        <w:spacing w:after="0" w:line="480" w:lineRule="auto"/>
        <w:rPr>
          <w:b/>
        </w:rPr>
      </w:pPr>
      <w:r w:rsidRPr="008B7753">
        <w:t>*</w:t>
      </w:r>
      <w:r w:rsidR="006E1C9B">
        <w:t xml:space="preserve"> </w:t>
      </w:r>
      <w:r w:rsidRPr="008B7753">
        <w:t>Number of events divided by time at risk standardized per 10,000 person-years.</w:t>
      </w:r>
    </w:p>
    <w:p w:rsidR="003D379A" w:rsidRPr="008B7753" w:rsidRDefault="003D379A" w:rsidP="003D379A">
      <w:pPr>
        <w:spacing w:after="0" w:line="480" w:lineRule="auto"/>
      </w:pPr>
      <w:r w:rsidRPr="008B7753">
        <w:lastRenderedPageBreak/>
        <w:t>† Multivariable model 1 is adjusted for age, sex, eGFR, height, weight, and urinary potassium excretion.</w:t>
      </w:r>
    </w:p>
    <w:p w:rsidR="003D379A" w:rsidRPr="008B7753" w:rsidRDefault="003D379A" w:rsidP="003D379A">
      <w:pPr>
        <w:pStyle w:val="Normaalweb"/>
        <w:spacing w:before="0" w:beforeAutospacing="0" w:after="0" w:afterAutospacing="0" w:line="480" w:lineRule="auto"/>
      </w:pPr>
      <w:r w:rsidRPr="008B7753">
        <w:t xml:space="preserve">Abbreviations: eGFR, estimated glomerular filtration rate; PREVEND, Prevention of Renal and Vascular End-Stage Disease. </w:t>
      </w:r>
    </w:p>
    <w:p w:rsidR="002806A3" w:rsidRDefault="002806A3"/>
    <w:sectPr w:rsidR="002806A3" w:rsidSect="003D37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6D0" w:rsidRDefault="00FD36D0" w:rsidP="003477C7">
      <w:pPr>
        <w:spacing w:after="0" w:line="240" w:lineRule="auto"/>
      </w:pPr>
      <w:r>
        <w:separator/>
      </w:r>
    </w:p>
  </w:endnote>
  <w:endnote w:type="continuationSeparator" w:id="0">
    <w:p w:rsidR="00FD36D0" w:rsidRDefault="00FD36D0" w:rsidP="00347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3662711"/>
      <w:docPartObj>
        <w:docPartGallery w:val="Page Numbers (Bottom of Page)"/>
        <w:docPartUnique/>
      </w:docPartObj>
    </w:sdtPr>
    <w:sdtEndPr/>
    <w:sdtContent>
      <w:p w:rsidR="00FD36D0" w:rsidRDefault="00FD36D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550" w:rsidRPr="00EF0550">
          <w:rPr>
            <w:noProof/>
            <w:lang w:val="nl-NL"/>
          </w:rPr>
          <w:t>2</w:t>
        </w:r>
        <w:r>
          <w:fldChar w:fldCharType="end"/>
        </w:r>
      </w:p>
    </w:sdtContent>
  </w:sdt>
  <w:p w:rsidR="00FD36D0" w:rsidRDefault="00FD36D0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6D0" w:rsidRDefault="00FD36D0" w:rsidP="003477C7">
      <w:pPr>
        <w:spacing w:after="0" w:line="240" w:lineRule="auto"/>
      </w:pPr>
      <w:r>
        <w:separator/>
      </w:r>
    </w:p>
  </w:footnote>
  <w:footnote w:type="continuationSeparator" w:id="0">
    <w:p w:rsidR="00FD36D0" w:rsidRDefault="00FD36D0" w:rsidP="00347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93059D">
    <w:pPr>
      <w:pStyle w:val="Koptekst"/>
    </w:pPr>
    <w:r>
      <w:t>Supporting</w:t>
    </w:r>
    <w:r w:rsidR="00FD36D0">
      <w:t xml:space="preserve"> Information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9A"/>
    <w:rsid w:val="00081FA2"/>
    <w:rsid w:val="00087F51"/>
    <w:rsid w:val="000B3E0D"/>
    <w:rsid w:val="00155A0F"/>
    <w:rsid w:val="001F4AB6"/>
    <w:rsid w:val="00202562"/>
    <w:rsid w:val="0023517E"/>
    <w:rsid w:val="002365A0"/>
    <w:rsid w:val="00260C38"/>
    <w:rsid w:val="002660C7"/>
    <w:rsid w:val="002806A3"/>
    <w:rsid w:val="002E4BB6"/>
    <w:rsid w:val="003405B9"/>
    <w:rsid w:val="003477C7"/>
    <w:rsid w:val="003B6D46"/>
    <w:rsid w:val="003B7D84"/>
    <w:rsid w:val="003C7A0F"/>
    <w:rsid w:val="003D379A"/>
    <w:rsid w:val="00407C32"/>
    <w:rsid w:val="00431CC9"/>
    <w:rsid w:val="004809CA"/>
    <w:rsid w:val="0048752D"/>
    <w:rsid w:val="00496E48"/>
    <w:rsid w:val="004C6B6B"/>
    <w:rsid w:val="004E3983"/>
    <w:rsid w:val="00523797"/>
    <w:rsid w:val="00540A65"/>
    <w:rsid w:val="005A4177"/>
    <w:rsid w:val="005B69A5"/>
    <w:rsid w:val="005C02E7"/>
    <w:rsid w:val="005D2835"/>
    <w:rsid w:val="005F1E46"/>
    <w:rsid w:val="00625C7E"/>
    <w:rsid w:val="00644677"/>
    <w:rsid w:val="00647A68"/>
    <w:rsid w:val="006B1848"/>
    <w:rsid w:val="006C3FF1"/>
    <w:rsid w:val="006E1C9B"/>
    <w:rsid w:val="006F46EB"/>
    <w:rsid w:val="006F6663"/>
    <w:rsid w:val="0070041E"/>
    <w:rsid w:val="00715D50"/>
    <w:rsid w:val="00763147"/>
    <w:rsid w:val="007739B6"/>
    <w:rsid w:val="007751CE"/>
    <w:rsid w:val="00792482"/>
    <w:rsid w:val="007D031C"/>
    <w:rsid w:val="0081701E"/>
    <w:rsid w:val="008C06CD"/>
    <w:rsid w:val="008C2ED9"/>
    <w:rsid w:val="008D3E3B"/>
    <w:rsid w:val="008E58C4"/>
    <w:rsid w:val="0093059D"/>
    <w:rsid w:val="00941F07"/>
    <w:rsid w:val="0095342A"/>
    <w:rsid w:val="00967D9A"/>
    <w:rsid w:val="00975EE5"/>
    <w:rsid w:val="00A07429"/>
    <w:rsid w:val="00A16D2A"/>
    <w:rsid w:val="00A221E7"/>
    <w:rsid w:val="00A22D1C"/>
    <w:rsid w:val="00A724DE"/>
    <w:rsid w:val="00A83B25"/>
    <w:rsid w:val="00A90D74"/>
    <w:rsid w:val="00A94E26"/>
    <w:rsid w:val="00A966F9"/>
    <w:rsid w:val="00AA1F6A"/>
    <w:rsid w:val="00AD1EC4"/>
    <w:rsid w:val="00AD661D"/>
    <w:rsid w:val="00B424A8"/>
    <w:rsid w:val="00B50072"/>
    <w:rsid w:val="00B7094A"/>
    <w:rsid w:val="00B716E6"/>
    <w:rsid w:val="00BC4499"/>
    <w:rsid w:val="00C27F19"/>
    <w:rsid w:val="00C33386"/>
    <w:rsid w:val="00C35AC4"/>
    <w:rsid w:val="00C43B36"/>
    <w:rsid w:val="00C82AA9"/>
    <w:rsid w:val="00C91809"/>
    <w:rsid w:val="00D16CE3"/>
    <w:rsid w:val="00D70668"/>
    <w:rsid w:val="00D820E7"/>
    <w:rsid w:val="00D82109"/>
    <w:rsid w:val="00D84212"/>
    <w:rsid w:val="00DC6A75"/>
    <w:rsid w:val="00DF69AC"/>
    <w:rsid w:val="00E120B4"/>
    <w:rsid w:val="00E246F0"/>
    <w:rsid w:val="00E362C5"/>
    <w:rsid w:val="00E43D07"/>
    <w:rsid w:val="00E62094"/>
    <w:rsid w:val="00E6273F"/>
    <w:rsid w:val="00E871C2"/>
    <w:rsid w:val="00E905F2"/>
    <w:rsid w:val="00E9620A"/>
    <w:rsid w:val="00EE4BF0"/>
    <w:rsid w:val="00EF0550"/>
    <w:rsid w:val="00EF056A"/>
    <w:rsid w:val="00EF5D77"/>
    <w:rsid w:val="00F20E27"/>
    <w:rsid w:val="00F36B0A"/>
    <w:rsid w:val="00F410D0"/>
    <w:rsid w:val="00F90B01"/>
    <w:rsid w:val="00FB004F"/>
    <w:rsid w:val="00FC1B6B"/>
    <w:rsid w:val="00FD1D19"/>
    <w:rsid w:val="00FD36D0"/>
    <w:rsid w:val="00FF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opmerking">
    <w:name w:val="annotation text"/>
    <w:basedOn w:val="Standaard"/>
    <w:link w:val="TekstopmerkingChar"/>
    <w:uiPriority w:val="99"/>
    <w:rsid w:val="003D379A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alweb">
    <w:name w:val="Normal (Web)"/>
    <w:basedOn w:val="Standaard"/>
    <w:uiPriority w:val="99"/>
    <w:rsid w:val="003D379A"/>
    <w:pPr>
      <w:spacing w:before="100" w:beforeAutospacing="1" w:after="100" w:afterAutospacing="1" w:line="240" w:lineRule="auto"/>
    </w:pPr>
    <w:rPr>
      <w:rFonts w:eastAsia="Times New Roman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52D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opmerking">
    <w:name w:val="annotation text"/>
    <w:basedOn w:val="Standaard"/>
    <w:link w:val="TekstopmerkingChar"/>
    <w:uiPriority w:val="99"/>
    <w:rsid w:val="003D379A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alweb">
    <w:name w:val="Normal (Web)"/>
    <w:basedOn w:val="Standaard"/>
    <w:uiPriority w:val="99"/>
    <w:rsid w:val="003D379A"/>
    <w:pPr>
      <w:spacing w:before="100" w:beforeAutospacing="1" w:after="100" w:afterAutospacing="1" w:line="240" w:lineRule="auto"/>
    </w:pPr>
    <w:rPr>
      <w:rFonts w:eastAsia="Times New Roman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52D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</vt:lpstr>
    </vt:vector>
  </TitlesOfParts>
  <Company>Universitair Medisch Centrum Groningen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Kieneker, LM (int)</dc:creator>
  <cp:lastModifiedBy>Kieneker, LM (int)</cp:lastModifiedBy>
  <cp:revision>2</cp:revision>
  <dcterms:created xsi:type="dcterms:W3CDTF">2017-03-16T09:56:00Z</dcterms:created>
  <dcterms:modified xsi:type="dcterms:W3CDTF">2017-03-16T09:56:00Z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CUserId">
    <vt:lpwstr>12902</vt:lpwstr>
  </property>
  <property fmtid="{D5CDD505-2E9C-101B-9397-08002B2CF9AE}" pid="3" name="WnCSubscriberId">
    <vt:lpwstr>5225</vt:lpwstr>
  </property>
  <property fmtid="{D5CDD505-2E9C-101B-9397-08002B2CF9AE}" pid="4" name="WnCOutputStyleId">
    <vt:lpwstr>571</vt:lpwstr>
  </property>
  <property fmtid="{D5CDD505-2E9C-101B-9397-08002B2CF9AE}" pid="5" name="RWProductId">
    <vt:lpwstr>WnC</vt:lpwstr>
  </property>
  <property fmtid="{D5CDD505-2E9C-101B-9397-08002B2CF9AE}" pid="6" name="WnC4Folder">
    <vt:lpwstr>Documents///Supplementary Material_plasma potassium, diuretics and risk of developing chronic kidney disease_13-10</vt:lpwstr>
  </property>
</Properties>
</file>