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CF" w:rsidRPr="00DB5E4A" w:rsidRDefault="00921ECF" w:rsidP="00921ECF">
      <w:pPr>
        <w:pStyle w:val="sup"/>
        <w:rPr>
          <w:color w:val="000000" w:themeColor="text1"/>
        </w:rPr>
      </w:pPr>
      <w:bookmarkStart w:id="0" w:name="_Toc297496137"/>
      <w:bookmarkStart w:id="1" w:name="_Toc298426573"/>
      <w:bookmarkStart w:id="2" w:name="_Toc300667019"/>
      <w:bookmarkStart w:id="3" w:name="_Toc301789988"/>
      <w:bookmarkStart w:id="4" w:name="_Toc307333230"/>
      <w:r w:rsidRPr="00DB5E4A">
        <w:rPr>
          <w:rFonts w:hint="eastAsia"/>
          <w:color w:val="000000" w:themeColor="text1"/>
        </w:rPr>
        <w:t xml:space="preserve">Supplemental Table S2 </w:t>
      </w:r>
      <w:r w:rsidRPr="00DB5E4A">
        <w:rPr>
          <w:color w:val="000000" w:themeColor="text1"/>
        </w:rPr>
        <w:t xml:space="preserve">–Hubs in the </w:t>
      </w:r>
      <w:proofErr w:type="spellStart"/>
      <w:r w:rsidRPr="00DB5E4A">
        <w:rPr>
          <w:color w:val="000000" w:themeColor="text1"/>
        </w:rPr>
        <w:t>zebrafish</w:t>
      </w:r>
      <w:proofErr w:type="spellEnd"/>
      <w:r w:rsidRPr="00DB5E4A">
        <w:rPr>
          <w:color w:val="000000" w:themeColor="text1"/>
        </w:rPr>
        <w:t xml:space="preserve"> stage 2 PPI network during infection</w:t>
      </w:r>
      <w:bookmarkEnd w:id="0"/>
      <w:bookmarkEnd w:id="1"/>
      <w:bookmarkEnd w:id="2"/>
      <w:bookmarkEnd w:id="3"/>
      <w:bookmarkEnd w:id="4"/>
    </w:p>
    <w:p w:rsidR="00921ECF" w:rsidRPr="00DB5E4A" w:rsidRDefault="00921ECF" w:rsidP="00921ECF">
      <w:pPr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DB5E4A">
        <w:rPr>
          <w:rFonts w:ascii="Times New Roman" w:hAnsi="Times New Roman" w:cs="Times New Roman"/>
          <w:color w:val="000000" w:themeColor="text1"/>
          <w:szCs w:val="24"/>
        </w:rPr>
        <w:t>Column 1 gives the names of the top 10 hub</w:t>
      </w:r>
      <w:r w:rsidRPr="00DB5E4A">
        <w:rPr>
          <w:rFonts w:ascii="Times New Roman" w:hAnsi="Times New Roman" w:cs="Times New Roman"/>
          <w:i/>
          <w:color w:val="000000" w:themeColor="text1"/>
          <w:szCs w:val="24"/>
        </w:rPr>
        <w:t xml:space="preserve"> 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proteins ranked by number of protein interactions in the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zebrafish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stage 2 PPI network. Columns 2 and 3 provide the GO terms of the proteins from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zebrafish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and </w:t>
      </w:r>
      <w:r w:rsidRPr="00DB5E4A">
        <w:rPr>
          <w:rFonts w:ascii="Times New Roman" w:hAnsi="Times New Roman" w:cs="Times New Roman"/>
          <w:i/>
          <w:color w:val="000000" w:themeColor="text1"/>
          <w:szCs w:val="24"/>
        </w:rPr>
        <w:t>Homo sapiens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, respectively. Column 4 indicates the number of </w:t>
      </w:r>
      <w:r w:rsidRPr="00DB5E4A">
        <w:rPr>
          <w:rFonts w:ascii="Times New Roman" w:hAnsi="Times New Roman" w:cs="Times New Roman"/>
          <w:color w:val="000000" w:themeColor="text1"/>
          <w:kern w:val="0"/>
          <w:szCs w:val="24"/>
        </w:rPr>
        <w:t>PPIs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of these hub proteins.</w:t>
      </w:r>
    </w:p>
    <w:p w:rsidR="00921ECF" w:rsidRPr="00DB5E4A" w:rsidRDefault="00921ECF" w:rsidP="00921ECF">
      <w:pPr>
        <w:rPr>
          <w:color w:val="000000" w:themeColor="text1"/>
        </w:rPr>
      </w:pPr>
    </w:p>
    <w:tbl>
      <w:tblPr>
        <w:tblW w:w="8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8"/>
        <w:gridCol w:w="3685"/>
        <w:gridCol w:w="2694"/>
        <w:gridCol w:w="1093"/>
      </w:tblGrid>
      <w:tr w:rsidR="00921ECF" w:rsidRPr="00DB5E4A" w:rsidTr="00104A71">
        <w:trPr>
          <w:trHeight w:val="495"/>
        </w:trPr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Zebrafish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protein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Zebrafish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GO term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i/>
                <w:iCs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Homo sapiens</w:t>
            </w: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GO term</w:t>
            </w:r>
          </w:p>
        </w:tc>
        <w:tc>
          <w:tcPr>
            <w:tcW w:w="1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Number of interactions</w:t>
            </w:r>
          </w:p>
        </w:tc>
      </w:tr>
      <w:tr w:rsidR="00921ECF" w:rsidRPr="00DB5E4A" w:rsidTr="00104A71">
        <w:trPr>
          <w:trHeight w:val="231"/>
        </w:trPr>
        <w:tc>
          <w:tcPr>
            <w:tcW w:w="8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Tp53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GO:0006915 : apoptosis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GO:0006915 : apoptosis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58</w:t>
            </w:r>
          </w:p>
        </w:tc>
      </w:tr>
      <w:tr w:rsidR="00921ECF" w:rsidRPr="00DB5E4A" w:rsidTr="00104A71">
        <w:trPr>
          <w:trHeight w:val="277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GO:0043065 : positive regulation of apoptosis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253"/>
        </w:trPr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Esr1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GO:0046872 : metal ion binding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GO:0042981 : regulation of apoptosis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33</w:t>
            </w:r>
          </w:p>
        </w:tc>
      </w:tr>
      <w:tr w:rsidR="00921ECF" w:rsidRPr="00DB5E4A" w:rsidTr="00104A71">
        <w:trPr>
          <w:trHeight w:val="264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GO:0008270 : zinc ion binding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Hsp90a.1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GO:0014866 : skeletal myofibril assembly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32</w:t>
            </w: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GO:0045429 : positive regulation of nitric oxide biosynthetic process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GO:0048769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sarcomerogenesis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GO:0030235 : nitric-oxide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synthase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regulator activity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495"/>
        </w:trPr>
        <w:tc>
          <w:tcPr>
            <w:tcW w:w="8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Traf6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GO:0016567 : protein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ubiquitination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GO:0006915 : apoptosis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31</w:t>
            </w:r>
          </w:p>
        </w:tc>
      </w:tr>
      <w:tr w:rsidR="00921ECF" w:rsidRPr="00DB5E4A" w:rsidTr="00104A71">
        <w:trPr>
          <w:trHeight w:val="495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GO:0042981 : regulation of apoptosis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GO:0045087 : innate immune response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495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GO:0009617 : response to bacterium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GO:0042088 : T-helper 1 type immune response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279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GO:0009615 : response to virus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15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GO:0046872 : metal ion binding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GO:0008270 : zinc ion binding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Ikbkg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GO:0007252 : I-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kappaB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phosphorylation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31</w:t>
            </w: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GO:0051092 : positive regulation of NF-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kappaB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transcription factor activity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GO:0006974 : response to DNA damage stimulus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495"/>
        </w:trPr>
        <w:tc>
          <w:tcPr>
            <w:tcW w:w="8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Jun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GO:0060070 : canonical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Wnt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receptor signaling pathway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GO:0045087 : innate immune response</w:t>
            </w:r>
          </w:p>
        </w:tc>
        <w:tc>
          <w:tcPr>
            <w:tcW w:w="1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921ECF" w:rsidRPr="00DB5E4A" w:rsidTr="00104A71">
        <w:trPr>
          <w:trHeight w:val="578"/>
        </w:trPr>
        <w:tc>
          <w:tcPr>
            <w:tcW w:w="8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GO:0006355 : regulation of transcription, DNA-dependent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GO:0043525 : positive regulation of neuron apoptosis </w:t>
            </w: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249"/>
        </w:trPr>
        <w:tc>
          <w:tcPr>
            <w:tcW w:w="8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GO:0046686 : response to cadmium ion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Ube2i 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GO:0007049 : cell cycle 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GO:0051301 : cell division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27</w:t>
            </w:r>
          </w:p>
        </w:tc>
      </w:tr>
      <w:tr w:rsidR="00921ECF" w:rsidRPr="00DB5E4A" w:rsidTr="00104A71">
        <w:trPr>
          <w:trHeight w:val="345"/>
        </w:trPr>
        <w:tc>
          <w:tcPr>
            <w:tcW w:w="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GO:0007088 : regulation of mitosis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GO:0016567 : protein </w:t>
            </w:r>
            <w:proofErr w:type="spellStart"/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>ubiquitination</w:t>
            </w:r>
            <w:proofErr w:type="spellEnd"/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281"/>
        </w:trPr>
        <w:tc>
          <w:tcPr>
            <w:tcW w:w="8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Ar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GO:0046872 : metal ion binding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GO:0008219 : cell death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26</w:t>
            </w:r>
          </w:p>
        </w:tc>
      </w:tr>
      <w:tr w:rsidR="00921ECF" w:rsidRPr="00DB5E4A" w:rsidTr="00104A71">
        <w:trPr>
          <w:trHeight w:val="271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GO:0008270 : zinc ion binding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GO:0008283 : cell proliferation 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495"/>
        </w:trPr>
        <w:tc>
          <w:tcPr>
            <w:tcW w:w="8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Myca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GO:0006355 : regulation of transcription, DNA-dependent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921ECF" w:rsidRPr="00DB5E4A" w:rsidTr="00104A71">
        <w:trPr>
          <w:trHeight w:val="303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GO:0006351 : transcription, DNA-dependent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921ECF" w:rsidRPr="00DB5E4A" w:rsidTr="00104A71">
        <w:trPr>
          <w:trHeight w:val="265"/>
        </w:trPr>
        <w:tc>
          <w:tcPr>
            <w:tcW w:w="8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Src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GO:0006468 : protein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phosphorylation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GO:0016337 : cell-cell adhesion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24</w:t>
            </w:r>
          </w:p>
        </w:tc>
      </w:tr>
      <w:tr w:rsidR="00921ECF" w:rsidRPr="00DB5E4A" w:rsidTr="00104A71">
        <w:trPr>
          <w:trHeight w:val="255"/>
        </w:trPr>
        <w:tc>
          <w:tcPr>
            <w:tcW w:w="8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GO:0005524 : ATP binding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新細明體" w:eastAsia="新細明體" w:hAnsi="新細明體" w:cs="新細明體"/>
                <w:color w:val="000000" w:themeColor="text1"/>
                <w:sz w:val="18"/>
                <w:szCs w:val="18"/>
              </w:rPr>
            </w:pPr>
            <w:r w:rsidRPr="00DB5E4A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1ECF" w:rsidRPr="00DB5E4A" w:rsidRDefault="00921ECF" w:rsidP="00104A71">
            <w:pPr>
              <w:spacing w:line="200" w:lineRule="exact"/>
              <w:rPr>
                <w:rFonts w:ascii="Calibri" w:eastAsia="新細明體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:rsidR="008B41B6" w:rsidRDefault="008B41B6"/>
    <w:sectPr w:rsidR="008B41B6" w:rsidSect="008B41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1ECF"/>
    <w:rsid w:val="00024F6E"/>
    <w:rsid w:val="0009467B"/>
    <w:rsid w:val="000F1046"/>
    <w:rsid w:val="00116C36"/>
    <w:rsid w:val="00141CD5"/>
    <w:rsid w:val="00163A89"/>
    <w:rsid w:val="0016611E"/>
    <w:rsid w:val="00166CCD"/>
    <w:rsid w:val="001A7FE5"/>
    <w:rsid w:val="001D6C0E"/>
    <w:rsid w:val="00242FBE"/>
    <w:rsid w:val="002D555B"/>
    <w:rsid w:val="002E3E1C"/>
    <w:rsid w:val="00400377"/>
    <w:rsid w:val="0043240F"/>
    <w:rsid w:val="004909D0"/>
    <w:rsid w:val="00491E66"/>
    <w:rsid w:val="00511523"/>
    <w:rsid w:val="00513061"/>
    <w:rsid w:val="005209D0"/>
    <w:rsid w:val="00524B68"/>
    <w:rsid w:val="00556A97"/>
    <w:rsid w:val="005C7FE9"/>
    <w:rsid w:val="005F0CCF"/>
    <w:rsid w:val="0062750E"/>
    <w:rsid w:val="006A18DA"/>
    <w:rsid w:val="006C5333"/>
    <w:rsid w:val="006E579A"/>
    <w:rsid w:val="00715F33"/>
    <w:rsid w:val="007264EE"/>
    <w:rsid w:val="0075265A"/>
    <w:rsid w:val="00786B0D"/>
    <w:rsid w:val="007D1EA1"/>
    <w:rsid w:val="007D6176"/>
    <w:rsid w:val="007D63E8"/>
    <w:rsid w:val="007E00E6"/>
    <w:rsid w:val="007F055D"/>
    <w:rsid w:val="00880BD5"/>
    <w:rsid w:val="008B41B6"/>
    <w:rsid w:val="00921ECF"/>
    <w:rsid w:val="00944450"/>
    <w:rsid w:val="009473FD"/>
    <w:rsid w:val="0095728D"/>
    <w:rsid w:val="009B07EB"/>
    <w:rsid w:val="009C11A7"/>
    <w:rsid w:val="00A15898"/>
    <w:rsid w:val="00AB2294"/>
    <w:rsid w:val="00AC28D9"/>
    <w:rsid w:val="00AE3D1E"/>
    <w:rsid w:val="00B01E6B"/>
    <w:rsid w:val="00B429E5"/>
    <w:rsid w:val="00B94904"/>
    <w:rsid w:val="00B94AE1"/>
    <w:rsid w:val="00BA0B15"/>
    <w:rsid w:val="00BA37AD"/>
    <w:rsid w:val="00BA7520"/>
    <w:rsid w:val="00BD3BC6"/>
    <w:rsid w:val="00BF6E11"/>
    <w:rsid w:val="00C05432"/>
    <w:rsid w:val="00C071DB"/>
    <w:rsid w:val="00C14DD4"/>
    <w:rsid w:val="00C52111"/>
    <w:rsid w:val="00C56F6D"/>
    <w:rsid w:val="00C63559"/>
    <w:rsid w:val="00C91728"/>
    <w:rsid w:val="00CA5FB7"/>
    <w:rsid w:val="00CF2F6C"/>
    <w:rsid w:val="00CF45D5"/>
    <w:rsid w:val="00D112CA"/>
    <w:rsid w:val="00DD12ED"/>
    <w:rsid w:val="00E21AE9"/>
    <w:rsid w:val="00E36C7C"/>
    <w:rsid w:val="00E41D5C"/>
    <w:rsid w:val="00E43BE8"/>
    <w:rsid w:val="00E94260"/>
    <w:rsid w:val="00EA6A04"/>
    <w:rsid w:val="00F01EFE"/>
    <w:rsid w:val="00F50DC5"/>
    <w:rsid w:val="00F743E0"/>
    <w:rsid w:val="00F81A01"/>
    <w:rsid w:val="00FC379C"/>
    <w:rsid w:val="00FF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p">
    <w:name w:val="表sup"/>
    <w:basedOn w:val="a"/>
    <w:link w:val="sup0"/>
    <w:qFormat/>
    <w:rsid w:val="00921ECF"/>
    <w:rPr>
      <w:rFonts w:ascii="Times New Roman" w:hAnsi="Times New Roman" w:cs="Times New Roman"/>
      <w:b/>
      <w:szCs w:val="24"/>
    </w:rPr>
  </w:style>
  <w:style w:type="character" w:customStyle="1" w:styleId="sup0">
    <w:name w:val="表sup 字元"/>
    <w:basedOn w:val="a0"/>
    <w:link w:val="sup"/>
    <w:rsid w:val="00921ECF"/>
    <w:rPr>
      <w:rFonts w:ascii="Times New Roman" w:hAnsi="Times New Roman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2013-01-22T16:58:00Z</dcterms:created>
  <dcterms:modified xsi:type="dcterms:W3CDTF">2013-01-22T16:58:00Z</dcterms:modified>
</cp:coreProperties>
</file>