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5C307" w14:textId="5DD4CDAA" w:rsidR="00C9394F" w:rsidRDefault="001E6E71" w:rsidP="00AA3E55">
      <w:pPr>
        <w:spacing w:line="480" w:lineRule="auto"/>
        <w:jc w:val="both"/>
        <w:rPr>
          <w:color w:val="000000"/>
        </w:rPr>
      </w:pPr>
      <w:r>
        <w:rPr>
          <w:b/>
          <w:color w:val="000000"/>
        </w:rPr>
        <w:t>SUPPLEMENTAL TABLE 1.</w:t>
      </w:r>
      <w:r w:rsidR="00AF51F5">
        <w:rPr>
          <w:color w:val="000000"/>
        </w:rPr>
        <w:t xml:space="preserve"> </w:t>
      </w:r>
      <w:r w:rsidR="00C9394F" w:rsidRPr="00C9394F">
        <w:rPr>
          <w:b/>
          <w:color w:val="000000"/>
        </w:rPr>
        <w:t>Relative t</w:t>
      </w:r>
      <w:r w:rsidR="00AF51F5" w:rsidRPr="00C9394F">
        <w:rPr>
          <w:b/>
          <w:color w:val="000000"/>
        </w:rPr>
        <w:t>idal volume</w:t>
      </w:r>
      <w:r w:rsidR="00D41B9F">
        <w:rPr>
          <w:b/>
          <w:color w:val="000000"/>
        </w:rPr>
        <w:t>s</w:t>
      </w:r>
      <w:r w:rsidR="00AF51F5" w:rsidRPr="00C9394F">
        <w:rPr>
          <w:b/>
          <w:color w:val="000000"/>
        </w:rPr>
        <w:t xml:space="preserve"> </w:t>
      </w:r>
      <w:r w:rsidR="00C9394F" w:rsidRPr="00C9394F">
        <w:rPr>
          <w:b/>
          <w:color w:val="000000"/>
        </w:rPr>
        <w:t>achieved at frequency 5, 10 and 15</w:t>
      </w:r>
      <w:r w:rsidR="00757CB3">
        <w:rPr>
          <w:b/>
          <w:color w:val="000000"/>
        </w:rPr>
        <w:t xml:space="preserve"> </w:t>
      </w:r>
      <w:r w:rsidR="00C9394F" w:rsidRPr="00C9394F">
        <w:rPr>
          <w:b/>
          <w:color w:val="000000"/>
        </w:rPr>
        <w:t>Hz.</w:t>
      </w:r>
      <w:r w:rsidR="00C9394F">
        <w:rPr>
          <w:color w:val="000000"/>
        </w:rPr>
        <w:t xml:space="preserve"> For the devices tested at an I:E ratio of 1:2, </w:t>
      </w:r>
      <w:r w:rsidR="00C9394F" w:rsidRPr="00C9394F">
        <w:rPr>
          <w:color w:val="000000"/>
        </w:rPr>
        <w:t>V</w:t>
      </w:r>
      <w:r w:rsidR="00C9394F" w:rsidRPr="00AA3E55">
        <w:rPr>
          <w:color w:val="000000"/>
          <w:vertAlign w:val="subscript"/>
        </w:rPr>
        <w:t>T</w:t>
      </w:r>
      <w:r w:rsidR="00C9394F">
        <w:rPr>
          <w:color w:val="000000"/>
        </w:rPr>
        <w:t xml:space="preserve"> </w:t>
      </w:r>
      <w:r w:rsidR="00D41B9F">
        <w:rPr>
          <w:color w:val="000000"/>
        </w:rPr>
        <w:t xml:space="preserve">for each device </w:t>
      </w:r>
      <w:r w:rsidR="00C9394F">
        <w:rPr>
          <w:color w:val="000000"/>
        </w:rPr>
        <w:t xml:space="preserve">is expressed relative to the </w:t>
      </w:r>
      <w:r w:rsidR="00C9394F" w:rsidRPr="00C9394F">
        <w:rPr>
          <w:color w:val="000000"/>
        </w:rPr>
        <w:t>V</w:t>
      </w:r>
      <w:r w:rsidR="00C9394F" w:rsidRPr="00AA3E55">
        <w:rPr>
          <w:color w:val="000000"/>
          <w:vertAlign w:val="subscript"/>
        </w:rPr>
        <w:t>T</w:t>
      </w:r>
      <w:r w:rsidR="00C9394F">
        <w:rPr>
          <w:color w:val="000000"/>
        </w:rPr>
        <w:t xml:space="preserve"> generated by the SM3100A at that frequency. For the SLE5000 (which only operates at I:E ratio 1:1), </w:t>
      </w:r>
      <w:r w:rsidR="00C9394F" w:rsidRPr="00C9394F">
        <w:rPr>
          <w:color w:val="000000"/>
        </w:rPr>
        <w:t>V</w:t>
      </w:r>
      <w:r w:rsidR="00C9394F" w:rsidRPr="00AA3E55">
        <w:rPr>
          <w:color w:val="000000"/>
          <w:vertAlign w:val="subscript"/>
        </w:rPr>
        <w:t>T</w:t>
      </w:r>
      <w:r w:rsidR="00C9394F">
        <w:rPr>
          <w:color w:val="000000"/>
        </w:rPr>
        <w:t xml:space="preserve"> is expressed relative to the SM3100B </w:t>
      </w:r>
      <w:r w:rsidR="00D41B9F">
        <w:rPr>
          <w:color w:val="000000"/>
        </w:rPr>
        <w:t xml:space="preserve">data </w:t>
      </w:r>
      <w:r w:rsidR="00C9394F">
        <w:rPr>
          <w:color w:val="000000"/>
        </w:rPr>
        <w:t xml:space="preserve">at 1:1 I:E ratio. </w:t>
      </w:r>
    </w:p>
    <w:p w14:paraId="07ADD42B" w14:textId="77777777" w:rsidR="00004B66" w:rsidRPr="00AF51F5" w:rsidRDefault="00004B66" w:rsidP="00AA3E55">
      <w:pPr>
        <w:spacing w:line="480" w:lineRule="auto"/>
        <w:jc w:val="both"/>
        <w:rPr>
          <w:color w:val="000000"/>
        </w:rPr>
      </w:pPr>
      <w:bookmarkStart w:id="0" w:name="_GoBack"/>
      <w:bookmarkEnd w:id="0"/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438"/>
        <w:gridCol w:w="1435"/>
        <w:gridCol w:w="1433"/>
        <w:gridCol w:w="1387"/>
        <w:gridCol w:w="1401"/>
        <w:gridCol w:w="1371"/>
        <w:gridCol w:w="1364"/>
        <w:gridCol w:w="1382"/>
        <w:gridCol w:w="1427"/>
        <w:gridCol w:w="1421"/>
        <w:gridCol w:w="6"/>
      </w:tblGrid>
      <w:tr w:rsidR="00A0766B" w14:paraId="73E07075" w14:textId="77777777" w:rsidTr="00A0766B">
        <w:tc>
          <w:tcPr>
            <w:tcW w:w="1438" w:type="dxa"/>
            <w:tcBorders>
              <w:bottom w:val="single" w:sz="4" w:space="0" w:color="auto"/>
              <w:right w:val="nil"/>
            </w:tcBorders>
          </w:tcPr>
          <w:p w14:paraId="7E7D9049" w14:textId="77777777" w:rsidR="00A0766B" w:rsidRDefault="00A0766B" w:rsidP="001E6E71">
            <w:pPr>
              <w:spacing w:line="480" w:lineRule="auto"/>
              <w:jc w:val="both"/>
              <w:rPr>
                <w:color w:val="000000"/>
              </w:rPr>
            </w:pPr>
          </w:p>
        </w:tc>
        <w:tc>
          <w:tcPr>
            <w:tcW w:w="9773" w:type="dxa"/>
            <w:gridSpan w:val="7"/>
            <w:tcBorders>
              <w:left w:val="nil"/>
              <w:right w:val="double" w:sz="4" w:space="0" w:color="auto"/>
            </w:tcBorders>
            <w:vAlign w:val="center"/>
          </w:tcPr>
          <w:p w14:paraId="1C599E4F" w14:textId="58299A27" w:rsidR="00A0766B" w:rsidRPr="00AF51F5" w:rsidRDefault="00A0766B" w:rsidP="00A0766B">
            <w:pPr>
              <w:spacing w:line="480" w:lineRule="auto"/>
              <w:jc w:val="center"/>
              <w:rPr>
                <w:b/>
                <w:color w:val="000000"/>
              </w:rPr>
            </w:pPr>
            <w:r w:rsidRPr="00AF51F5">
              <w:rPr>
                <w:b/>
                <w:color w:val="000000"/>
              </w:rPr>
              <w:t>1:2 I:E Ratio</w:t>
            </w:r>
          </w:p>
        </w:tc>
        <w:tc>
          <w:tcPr>
            <w:tcW w:w="2854" w:type="dxa"/>
            <w:gridSpan w:val="3"/>
            <w:vAlign w:val="center"/>
          </w:tcPr>
          <w:p w14:paraId="2D479A40" w14:textId="563D8701" w:rsidR="00A0766B" w:rsidRPr="00AF51F5" w:rsidRDefault="00A0766B" w:rsidP="00A0766B">
            <w:pPr>
              <w:spacing w:line="480" w:lineRule="auto"/>
              <w:jc w:val="center"/>
              <w:rPr>
                <w:b/>
                <w:color w:val="000000"/>
              </w:rPr>
            </w:pPr>
            <w:r w:rsidRPr="00AF51F5">
              <w:rPr>
                <w:b/>
                <w:color w:val="000000"/>
              </w:rPr>
              <w:t>1:1 I:E</w:t>
            </w:r>
            <w:r w:rsidR="00AA3E55">
              <w:rPr>
                <w:b/>
                <w:color w:val="000000"/>
              </w:rPr>
              <w:t xml:space="preserve"> Ratio</w:t>
            </w:r>
          </w:p>
        </w:tc>
      </w:tr>
      <w:tr w:rsidR="00A0766B" w14:paraId="15D31E27" w14:textId="77777777" w:rsidTr="00A0766B">
        <w:trPr>
          <w:gridAfter w:val="1"/>
          <w:wAfter w:w="6" w:type="dxa"/>
        </w:trPr>
        <w:tc>
          <w:tcPr>
            <w:tcW w:w="143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F179070" w14:textId="21828406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 xml:space="preserve">Frequency </w:t>
            </w:r>
          </w:p>
        </w:tc>
        <w:tc>
          <w:tcPr>
            <w:tcW w:w="143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60CE62B" w14:textId="142C2A14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SM3100A</w:t>
            </w:r>
          </w:p>
        </w:tc>
        <w:tc>
          <w:tcPr>
            <w:tcW w:w="1433" w:type="dxa"/>
            <w:tcBorders>
              <w:bottom w:val="single" w:sz="18" w:space="0" w:color="auto"/>
            </w:tcBorders>
            <w:vAlign w:val="center"/>
          </w:tcPr>
          <w:p w14:paraId="37E6AC0E" w14:textId="7D56FFC1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SM3100B</w:t>
            </w:r>
          </w:p>
        </w:tc>
        <w:tc>
          <w:tcPr>
            <w:tcW w:w="1387" w:type="dxa"/>
            <w:tcBorders>
              <w:bottom w:val="single" w:sz="18" w:space="0" w:color="auto"/>
            </w:tcBorders>
            <w:vAlign w:val="center"/>
          </w:tcPr>
          <w:p w14:paraId="276363EA" w14:textId="0D9E7BB0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VN500</w:t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14:paraId="2AFCBEC8" w14:textId="5BFDB350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BL8000</w:t>
            </w:r>
          </w:p>
        </w:tc>
        <w:tc>
          <w:tcPr>
            <w:tcW w:w="1371" w:type="dxa"/>
            <w:tcBorders>
              <w:bottom w:val="single" w:sz="18" w:space="0" w:color="auto"/>
            </w:tcBorders>
            <w:vAlign w:val="center"/>
          </w:tcPr>
          <w:p w14:paraId="3D2FD007" w14:textId="2705316A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fabian</w:t>
            </w:r>
          </w:p>
        </w:tc>
        <w:tc>
          <w:tcPr>
            <w:tcW w:w="1364" w:type="dxa"/>
            <w:tcBorders>
              <w:bottom w:val="single" w:sz="18" w:space="0" w:color="auto"/>
            </w:tcBorders>
            <w:vAlign w:val="center"/>
          </w:tcPr>
          <w:p w14:paraId="6E4C806B" w14:textId="2ED4F0B6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Leoni Plus</w:t>
            </w:r>
          </w:p>
        </w:tc>
        <w:tc>
          <w:tcPr>
            <w:tcW w:w="1382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07E78DF3" w14:textId="3A233821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Sophie</w:t>
            </w:r>
          </w:p>
        </w:tc>
        <w:tc>
          <w:tcPr>
            <w:tcW w:w="1427" w:type="dxa"/>
            <w:tcBorders>
              <w:bottom w:val="single" w:sz="18" w:space="0" w:color="auto"/>
              <w:right w:val="single" w:sz="4" w:space="0" w:color="auto"/>
            </w:tcBorders>
          </w:tcPr>
          <w:p w14:paraId="42377F9F" w14:textId="59E03097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SM3100B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593D472B" w14:textId="59B3D8B2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SLE5000</w:t>
            </w:r>
          </w:p>
        </w:tc>
      </w:tr>
      <w:tr w:rsidR="00A0766B" w14:paraId="2307159C" w14:textId="77777777" w:rsidTr="00A0766B">
        <w:trPr>
          <w:gridAfter w:val="1"/>
          <w:wAfter w:w="6" w:type="dxa"/>
        </w:trPr>
        <w:tc>
          <w:tcPr>
            <w:tcW w:w="143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F388B31" w14:textId="270FA329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5 Hz</w:t>
            </w:r>
          </w:p>
        </w:tc>
        <w:tc>
          <w:tcPr>
            <w:tcW w:w="1435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1740CC84" w14:textId="69C03AE4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100.0%</w:t>
            </w:r>
          </w:p>
        </w:tc>
        <w:tc>
          <w:tcPr>
            <w:tcW w:w="1433" w:type="dxa"/>
            <w:tcBorders>
              <w:top w:val="single" w:sz="18" w:space="0" w:color="auto"/>
            </w:tcBorders>
            <w:vAlign w:val="bottom"/>
          </w:tcPr>
          <w:p w14:paraId="2BF2A524" w14:textId="0EA02342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75.0%</w:t>
            </w:r>
          </w:p>
        </w:tc>
        <w:tc>
          <w:tcPr>
            <w:tcW w:w="1387" w:type="dxa"/>
            <w:tcBorders>
              <w:top w:val="single" w:sz="18" w:space="0" w:color="auto"/>
            </w:tcBorders>
            <w:vAlign w:val="bottom"/>
          </w:tcPr>
          <w:p w14:paraId="16B630F8" w14:textId="30755A11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100.5%</w:t>
            </w:r>
          </w:p>
        </w:tc>
        <w:tc>
          <w:tcPr>
            <w:tcW w:w="1401" w:type="dxa"/>
            <w:tcBorders>
              <w:top w:val="single" w:sz="18" w:space="0" w:color="auto"/>
            </w:tcBorders>
            <w:vAlign w:val="bottom"/>
          </w:tcPr>
          <w:p w14:paraId="66815A3B" w14:textId="210D15C5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61.9%</w:t>
            </w:r>
          </w:p>
        </w:tc>
        <w:tc>
          <w:tcPr>
            <w:tcW w:w="1371" w:type="dxa"/>
            <w:tcBorders>
              <w:top w:val="single" w:sz="18" w:space="0" w:color="auto"/>
            </w:tcBorders>
            <w:vAlign w:val="bottom"/>
          </w:tcPr>
          <w:p w14:paraId="0B6F75DC" w14:textId="0E08E702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103.2%</w:t>
            </w:r>
          </w:p>
        </w:tc>
        <w:tc>
          <w:tcPr>
            <w:tcW w:w="1364" w:type="dxa"/>
            <w:tcBorders>
              <w:top w:val="single" w:sz="18" w:space="0" w:color="auto"/>
            </w:tcBorders>
            <w:vAlign w:val="bottom"/>
          </w:tcPr>
          <w:p w14:paraId="4E092607" w14:textId="0692F34C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88.0%</w:t>
            </w:r>
          </w:p>
        </w:tc>
        <w:tc>
          <w:tcPr>
            <w:tcW w:w="1382" w:type="dxa"/>
            <w:tcBorders>
              <w:top w:val="single" w:sz="18" w:space="0" w:color="auto"/>
              <w:right w:val="double" w:sz="4" w:space="0" w:color="auto"/>
            </w:tcBorders>
            <w:vAlign w:val="bottom"/>
          </w:tcPr>
          <w:p w14:paraId="5004C1B8" w14:textId="4E8C6D98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91.5%</w:t>
            </w:r>
          </w:p>
        </w:tc>
        <w:tc>
          <w:tcPr>
            <w:tcW w:w="1427" w:type="dxa"/>
            <w:tcBorders>
              <w:top w:val="single" w:sz="18" w:space="0" w:color="auto"/>
              <w:right w:val="single" w:sz="4" w:space="0" w:color="auto"/>
            </w:tcBorders>
            <w:vAlign w:val="bottom"/>
          </w:tcPr>
          <w:p w14:paraId="1DE8333C" w14:textId="47968F6A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100.0%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4" w:space="0" w:color="auto"/>
            </w:tcBorders>
            <w:vAlign w:val="bottom"/>
          </w:tcPr>
          <w:p w14:paraId="61888E40" w14:textId="6627BF71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121.4%</w:t>
            </w:r>
          </w:p>
        </w:tc>
      </w:tr>
      <w:tr w:rsidR="00A0766B" w14:paraId="5DE11340" w14:textId="77777777" w:rsidTr="00A0766B">
        <w:trPr>
          <w:gridAfter w:val="1"/>
          <w:wAfter w:w="6" w:type="dxa"/>
        </w:trPr>
        <w:tc>
          <w:tcPr>
            <w:tcW w:w="1438" w:type="dxa"/>
            <w:tcBorders>
              <w:right w:val="single" w:sz="18" w:space="0" w:color="auto"/>
            </w:tcBorders>
            <w:vAlign w:val="center"/>
          </w:tcPr>
          <w:p w14:paraId="61D4C063" w14:textId="1DF33297" w:rsidR="00A0766B" w:rsidRPr="001E6E71" w:rsidRDefault="00A0766B" w:rsidP="001E6E71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10 Hz</w:t>
            </w:r>
          </w:p>
        </w:tc>
        <w:tc>
          <w:tcPr>
            <w:tcW w:w="1435" w:type="dxa"/>
            <w:tcBorders>
              <w:left w:val="single" w:sz="18" w:space="0" w:color="auto"/>
            </w:tcBorders>
            <w:vAlign w:val="bottom"/>
          </w:tcPr>
          <w:p w14:paraId="39E57114" w14:textId="6EDA4983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100.0%</w:t>
            </w:r>
          </w:p>
        </w:tc>
        <w:tc>
          <w:tcPr>
            <w:tcW w:w="1433" w:type="dxa"/>
            <w:vAlign w:val="bottom"/>
          </w:tcPr>
          <w:p w14:paraId="322FE14F" w14:textId="47431C01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85.8%</w:t>
            </w:r>
          </w:p>
        </w:tc>
        <w:tc>
          <w:tcPr>
            <w:tcW w:w="1387" w:type="dxa"/>
            <w:vAlign w:val="bottom"/>
          </w:tcPr>
          <w:p w14:paraId="71E373C1" w14:textId="74961E1D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83.2%</w:t>
            </w:r>
          </w:p>
        </w:tc>
        <w:tc>
          <w:tcPr>
            <w:tcW w:w="1401" w:type="dxa"/>
            <w:vAlign w:val="bottom"/>
          </w:tcPr>
          <w:p w14:paraId="3DDCAE12" w14:textId="3E0E30E0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49.7%</w:t>
            </w:r>
          </w:p>
        </w:tc>
        <w:tc>
          <w:tcPr>
            <w:tcW w:w="1371" w:type="dxa"/>
            <w:vAlign w:val="bottom"/>
          </w:tcPr>
          <w:p w14:paraId="560EC539" w14:textId="4175E268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93.0%</w:t>
            </w:r>
          </w:p>
        </w:tc>
        <w:tc>
          <w:tcPr>
            <w:tcW w:w="1364" w:type="dxa"/>
            <w:vAlign w:val="bottom"/>
          </w:tcPr>
          <w:p w14:paraId="0FB11000" w14:textId="627B923C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79.6%</w:t>
            </w:r>
          </w:p>
        </w:tc>
        <w:tc>
          <w:tcPr>
            <w:tcW w:w="1382" w:type="dxa"/>
            <w:tcBorders>
              <w:right w:val="double" w:sz="4" w:space="0" w:color="auto"/>
            </w:tcBorders>
            <w:vAlign w:val="bottom"/>
          </w:tcPr>
          <w:p w14:paraId="16BF7FE2" w14:textId="39A5FB90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83.1%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vAlign w:val="bottom"/>
          </w:tcPr>
          <w:p w14:paraId="2396E02D" w14:textId="7608ABE6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100.0%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bottom"/>
          </w:tcPr>
          <w:p w14:paraId="4B99B733" w14:textId="70024ED3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111.5%</w:t>
            </w:r>
          </w:p>
        </w:tc>
      </w:tr>
      <w:tr w:rsidR="00A0766B" w14:paraId="579C358B" w14:textId="77777777" w:rsidTr="00A0766B">
        <w:trPr>
          <w:gridAfter w:val="1"/>
          <w:wAfter w:w="6" w:type="dxa"/>
        </w:trPr>
        <w:tc>
          <w:tcPr>
            <w:tcW w:w="1438" w:type="dxa"/>
            <w:tcBorders>
              <w:right w:val="single" w:sz="18" w:space="0" w:color="auto"/>
            </w:tcBorders>
            <w:vAlign w:val="center"/>
          </w:tcPr>
          <w:p w14:paraId="1EAC5997" w14:textId="339AEED7" w:rsidR="00A0766B" w:rsidRPr="001E6E71" w:rsidRDefault="00A0766B" w:rsidP="003A0529">
            <w:pPr>
              <w:spacing w:line="480" w:lineRule="auto"/>
              <w:rPr>
                <w:b/>
                <w:color w:val="000000"/>
              </w:rPr>
            </w:pPr>
            <w:r w:rsidRPr="001E6E71">
              <w:rPr>
                <w:b/>
                <w:color w:val="000000"/>
              </w:rPr>
              <w:t>15 H</w:t>
            </w:r>
            <w:r w:rsidR="003A0529">
              <w:rPr>
                <w:b/>
                <w:color w:val="000000"/>
              </w:rPr>
              <w:t>z</w:t>
            </w:r>
          </w:p>
        </w:tc>
        <w:tc>
          <w:tcPr>
            <w:tcW w:w="1435" w:type="dxa"/>
            <w:tcBorders>
              <w:left w:val="single" w:sz="18" w:space="0" w:color="auto"/>
            </w:tcBorders>
            <w:vAlign w:val="bottom"/>
          </w:tcPr>
          <w:p w14:paraId="54F5B971" w14:textId="23702B07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100.0%</w:t>
            </w:r>
          </w:p>
        </w:tc>
        <w:tc>
          <w:tcPr>
            <w:tcW w:w="1433" w:type="dxa"/>
            <w:vAlign w:val="bottom"/>
          </w:tcPr>
          <w:p w14:paraId="71D7F7BE" w14:textId="212F61F1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91.0%</w:t>
            </w:r>
          </w:p>
        </w:tc>
        <w:tc>
          <w:tcPr>
            <w:tcW w:w="1387" w:type="dxa"/>
            <w:vAlign w:val="bottom"/>
          </w:tcPr>
          <w:p w14:paraId="0548301C" w14:textId="31CD2F72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67.7%</w:t>
            </w:r>
          </w:p>
        </w:tc>
        <w:tc>
          <w:tcPr>
            <w:tcW w:w="1401" w:type="dxa"/>
            <w:vAlign w:val="bottom"/>
          </w:tcPr>
          <w:p w14:paraId="3D6A4DDB" w14:textId="27A1FA8A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45.4%</w:t>
            </w:r>
          </w:p>
        </w:tc>
        <w:tc>
          <w:tcPr>
            <w:tcW w:w="1371" w:type="dxa"/>
            <w:vAlign w:val="bottom"/>
          </w:tcPr>
          <w:p w14:paraId="3239A06D" w14:textId="0C15369C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96.2%</w:t>
            </w:r>
          </w:p>
        </w:tc>
        <w:tc>
          <w:tcPr>
            <w:tcW w:w="1364" w:type="dxa"/>
            <w:vAlign w:val="bottom"/>
          </w:tcPr>
          <w:p w14:paraId="67CC5594" w14:textId="24DCB42C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78.5%</w:t>
            </w:r>
          </w:p>
        </w:tc>
        <w:tc>
          <w:tcPr>
            <w:tcW w:w="1382" w:type="dxa"/>
            <w:tcBorders>
              <w:right w:val="double" w:sz="4" w:space="0" w:color="auto"/>
            </w:tcBorders>
            <w:vAlign w:val="bottom"/>
          </w:tcPr>
          <w:p w14:paraId="24FC02C2" w14:textId="41F8C9FC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88.6%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vAlign w:val="bottom"/>
          </w:tcPr>
          <w:p w14:paraId="4C9E31DF" w14:textId="45B780F4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100.0%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bottom"/>
          </w:tcPr>
          <w:p w14:paraId="730286D8" w14:textId="6E22EAFF" w:rsidR="00A0766B" w:rsidRPr="00AF51F5" w:rsidRDefault="00A0766B" w:rsidP="001E6E71">
            <w:pPr>
              <w:spacing w:line="480" w:lineRule="auto"/>
              <w:rPr>
                <w:color w:val="000000"/>
              </w:rPr>
            </w:pPr>
            <w:r w:rsidRPr="00AF51F5">
              <w:rPr>
                <w:color w:val="000000"/>
              </w:rPr>
              <w:t>145.1%</w:t>
            </w:r>
          </w:p>
        </w:tc>
      </w:tr>
    </w:tbl>
    <w:p w14:paraId="2631873B" w14:textId="77777777" w:rsidR="001E6E71" w:rsidRDefault="001E6E71" w:rsidP="005E3788">
      <w:pPr>
        <w:spacing w:line="480" w:lineRule="auto"/>
        <w:ind w:left="720" w:hanging="720"/>
        <w:jc w:val="both"/>
        <w:rPr>
          <w:color w:val="000000"/>
        </w:rPr>
      </w:pPr>
    </w:p>
    <w:sectPr w:rsidR="001E6E71" w:rsidSect="00EB03B1">
      <w:footerReference w:type="even" r:id="rId9"/>
      <w:footerReference w:type="default" r:id="rId10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4EA00" w14:textId="77777777" w:rsidR="00C9394F" w:rsidRDefault="00C9394F" w:rsidP="00B31598">
      <w:pPr>
        <w:spacing w:line="240" w:lineRule="auto"/>
      </w:pPr>
      <w:r>
        <w:separator/>
      </w:r>
    </w:p>
  </w:endnote>
  <w:endnote w:type="continuationSeparator" w:id="0">
    <w:p w14:paraId="7BAC6C2C" w14:textId="77777777" w:rsidR="00C9394F" w:rsidRDefault="00C9394F" w:rsidP="00B315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48075" w14:textId="77777777" w:rsidR="00C9394F" w:rsidRDefault="00C9394F" w:rsidP="00CF56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470F8C0" w14:textId="77777777" w:rsidR="00C9394F" w:rsidRDefault="00C9394F" w:rsidP="00B31598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6E947" w14:textId="77777777" w:rsidR="00C9394F" w:rsidRDefault="00C9394F" w:rsidP="00CF56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04B66">
      <w:rPr>
        <w:rStyle w:val="Seitenzahl"/>
        <w:noProof/>
      </w:rPr>
      <w:t>1</w:t>
    </w:r>
    <w:r>
      <w:rPr>
        <w:rStyle w:val="Seitenzahl"/>
      </w:rPr>
      <w:fldChar w:fldCharType="end"/>
    </w:r>
  </w:p>
  <w:p w14:paraId="75E013F1" w14:textId="77777777" w:rsidR="00C9394F" w:rsidRDefault="00C9394F" w:rsidP="00B31598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56D42" w14:textId="77777777" w:rsidR="00C9394F" w:rsidRDefault="00C9394F" w:rsidP="00B31598">
      <w:pPr>
        <w:spacing w:line="240" w:lineRule="auto"/>
      </w:pPr>
      <w:r>
        <w:separator/>
      </w:r>
    </w:p>
  </w:footnote>
  <w:footnote w:type="continuationSeparator" w:id="0">
    <w:p w14:paraId="0A33B9FA" w14:textId="77777777" w:rsidR="00C9394F" w:rsidRDefault="00C9394F" w:rsidP="00B315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4908D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00"/>
    <w:rsid w:val="0000305A"/>
    <w:rsid w:val="00004B66"/>
    <w:rsid w:val="000173FE"/>
    <w:rsid w:val="00027C94"/>
    <w:rsid w:val="000400D2"/>
    <w:rsid w:val="00062DE7"/>
    <w:rsid w:val="000B3857"/>
    <w:rsid w:val="00100500"/>
    <w:rsid w:val="0016175F"/>
    <w:rsid w:val="00186F99"/>
    <w:rsid w:val="001870A2"/>
    <w:rsid w:val="00190830"/>
    <w:rsid w:val="00194165"/>
    <w:rsid w:val="001976C9"/>
    <w:rsid w:val="001D1E29"/>
    <w:rsid w:val="001E6E71"/>
    <w:rsid w:val="00226EE2"/>
    <w:rsid w:val="00260906"/>
    <w:rsid w:val="00320853"/>
    <w:rsid w:val="0033493D"/>
    <w:rsid w:val="00344C4B"/>
    <w:rsid w:val="00356948"/>
    <w:rsid w:val="00381001"/>
    <w:rsid w:val="0038347A"/>
    <w:rsid w:val="003A0529"/>
    <w:rsid w:val="003F0A4E"/>
    <w:rsid w:val="0040023E"/>
    <w:rsid w:val="00430056"/>
    <w:rsid w:val="00456BF6"/>
    <w:rsid w:val="004A3697"/>
    <w:rsid w:val="00503CCF"/>
    <w:rsid w:val="00515C4B"/>
    <w:rsid w:val="005538C4"/>
    <w:rsid w:val="00595165"/>
    <w:rsid w:val="005D446B"/>
    <w:rsid w:val="005E3788"/>
    <w:rsid w:val="006109EF"/>
    <w:rsid w:val="00631868"/>
    <w:rsid w:val="00685F8F"/>
    <w:rsid w:val="00714A7D"/>
    <w:rsid w:val="00725149"/>
    <w:rsid w:val="00757CB3"/>
    <w:rsid w:val="007D059E"/>
    <w:rsid w:val="007D6F54"/>
    <w:rsid w:val="008A707A"/>
    <w:rsid w:val="008B2216"/>
    <w:rsid w:val="00907E65"/>
    <w:rsid w:val="00A0766B"/>
    <w:rsid w:val="00A1401C"/>
    <w:rsid w:val="00A15EDA"/>
    <w:rsid w:val="00A1708C"/>
    <w:rsid w:val="00A32E2A"/>
    <w:rsid w:val="00A665DC"/>
    <w:rsid w:val="00A672CE"/>
    <w:rsid w:val="00AA3E55"/>
    <w:rsid w:val="00AF51F5"/>
    <w:rsid w:val="00B1443D"/>
    <w:rsid w:val="00B31598"/>
    <w:rsid w:val="00C34B97"/>
    <w:rsid w:val="00C81CCD"/>
    <w:rsid w:val="00C9131A"/>
    <w:rsid w:val="00C91793"/>
    <w:rsid w:val="00C9394F"/>
    <w:rsid w:val="00CA79A0"/>
    <w:rsid w:val="00CB503E"/>
    <w:rsid w:val="00CD386E"/>
    <w:rsid w:val="00CE3D20"/>
    <w:rsid w:val="00CF562A"/>
    <w:rsid w:val="00D37024"/>
    <w:rsid w:val="00D41B9F"/>
    <w:rsid w:val="00D8309B"/>
    <w:rsid w:val="00DA04AC"/>
    <w:rsid w:val="00DC2BE6"/>
    <w:rsid w:val="00DC6886"/>
    <w:rsid w:val="00E22E61"/>
    <w:rsid w:val="00E77C46"/>
    <w:rsid w:val="00EA6820"/>
    <w:rsid w:val="00EB03B1"/>
    <w:rsid w:val="00F45D6B"/>
    <w:rsid w:val="00F603DE"/>
    <w:rsid w:val="00F8164D"/>
    <w:rsid w:val="00F8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E7B2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0500"/>
    <w:pPr>
      <w:spacing w:line="276" w:lineRule="auto"/>
    </w:pPr>
    <w:rPr>
      <w:rFonts w:eastAsia="Times New Roman"/>
      <w:sz w:val="24"/>
      <w:szCs w:val="24"/>
      <w:lang w:eastAsia="zh-TW"/>
    </w:rPr>
  </w:style>
  <w:style w:type="paragraph" w:styleId="berschrift5">
    <w:name w:val="heading 5"/>
    <w:basedOn w:val="Standard"/>
    <w:next w:val="Standard"/>
    <w:link w:val="berschrift5Zchn"/>
    <w:uiPriority w:val="99"/>
    <w:unhideWhenUsed/>
    <w:qFormat/>
    <w:rsid w:val="00100500"/>
    <w:pPr>
      <w:spacing w:line="266" w:lineRule="auto"/>
      <w:outlineLvl w:val="4"/>
    </w:pPr>
    <w:rPr>
      <w:rFonts w:ascii="Cambria" w:hAnsi="Cambria" w:cs="PMingLiU"/>
      <w:i/>
      <w:iCs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uiPriority w:val="99"/>
    <w:rsid w:val="00100500"/>
    <w:rPr>
      <w:rFonts w:ascii="Cambria" w:eastAsia="Times New Roman" w:hAnsi="Cambria" w:cs="PMingLiU"/>
      <w:i/>
      <w:iCs/>
      <w:sz w:val="24"/>
      <w:szCs w:val="24"/>
      <w:lang w:val="x-none" w:eastAsia="x-none"/>
    </w:rPr>
  </w:style>
  <w:style w:type="paragraph" w:styleId="Sprechblasentext">
    <w:name w:val="Balloon Text"/>
    <w:basedOn w:val="Standard"/>
    <w:link w:val="SprechblasentextZchn"/>
    <w:rsid w:val="00100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00500"/>
    <w:rPr>
      <w:rFonts w:ascii="Tahoma" w:eastAsia="Times New Roman" w:hAnsi="Tahoma" w:cs="Tahoma"/>
      <w:sz w:val="16"/>
      <w:szCs w:val="16"/>
      <w:lang w:eastAsia="zh-TW"/>
    </w:rPr>
  </w:style>
  <w:style w:type="paragraph" w:styleId="Fuzeile">
    <w:name w:val="footer"/>
    <w:basedOn w:val="Standard"/>
    <w:link w:val="FuzeileZchn"/>
    <w:rsid w:val="00B31598"/>
    <w:pPr>
      <w:tabs>
        <w:tab w:val="center" w:pos="4320"/>
        <w:tab w:val="right" w:pos="864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B31598"/>
    <w:rPr>
      <w:rFonts w:eastAsia="Times New Roman"/>
      <w:sz w:val="24"/>
      <w:szCs w:val="24"/>
      <w:lang w:eastAsia="zh-TW"/>
    </w:rPr>
  </w:style>
  <w:style w:type="character" w:styleId="Seitenzahl">
    <w:name w:val="page number"/>
    <w:basedOn w:val="Absatz-Standardschriftart"/>
    <w:rsid w:val="00B31598"/>
  </w:style>
  <w:style w:type="table" w:styleId="Tabellenraster">
    <w:name w:val="Table Grid"/>
    <w:basedOn w:val="NormaleTabelle"/>
    <w:rsid w:val="001E6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0500"/>
    <w:pPr>
      <w:spacing w:line="276" w:lineRule="auto"/>
    </w:pPr>
    <w:rPr>
      <w:rFonts w:eastAsia="Times New Roman"/>
      <w:sz w:val="24"/>
      <w:szCs w:val="24"/>
      <w:lang w:eastAsia="zh-TW"/>
    </w:rPr>
  </w:style>
  <w:style w:type="paragraph" w:styleId="berschrift5">
    <w:name w:val="heading 5"/>
    <w:basedOn w:val="Standard"/>
    <w:next w:val="Standard"/>
    <w:link w:val="berschrift5Zchn"/>
    <w:uiPriority w:val="99"/>
    <w:unhideWhenUsed/>
    <w:qFormat/>
    <w:rsid w:val="00100500"/>
    <w:pPr>
      <w:spacing w:line="266" w:lineRule="auto"/>
      <w:outlineLvl w:val="4"/>
    </w:pPr>
    <w:rPr>
      <w:rFonts w:ascii="Cambria" w:hAnsi="Cambria" w:cs="PMingLiU"/>
      <w:i/>
      <w:iCs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uiPriority w:val="99"/>
    <w:rsid w:val="00100500"/>
    <w:rPr>
      <w:rFonts w:ascii="Cambria" w:eastAsia="Times New Roman" w:hAnsi="Cambria" w:cs="PMingLiU"/>
      <w:i/>
      <w:iCs/>
      <w:sz w:val="24"/>
      <w:szCs w:val="24"/>
      <w:lang w:val="x-none" w:eastAsia="x-none"/>
    </w:rPr>
  </w:style>
  <w:style w:type="paragraph" w:styleId="Sprechblasentext">
    <w:name w:val="Balloon Text"/>
    <w:basedOn w:val="Standard"/>
    <w:link w:val="SprechblasentextZchn"/>
    <w:rsid w:val="00100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00500"/>
    <w:rPr>
      <w:rFonts w:ascii="Tahoma" w:eastAsia="Times New Roman" w:hAnsi="Tahoma" w:cs="Tahoma"/>
      <w:sz w:val="16"/>
      <w:szCs w:val="16"/>
      <w:lang w:eastAsia="zh-TW"/>
    </w:rPr>
  </w:style>
  <w:style w:type="paragraph" w:styleId="Fuzeile">
    <w:name w:val="footer"/>
    <w:basedOn w:val="Standard"/>
    <w:link w:val="FuzeileZchn"/>
    <w:rsid w:val="00B31598"/>
    <w:pPr>
      <w:tabs>
        <w:tab w:val="center" w:pos="4320"/>
        <w:tab w:val="right" w:pos="864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B31598"/>
    <w:rPr>
      <w:rFonts w:eastAsia="Times New Roman"/>
      <w:sz w:val="24"/>
      <w:szCs w:val="24"/>
      <w:lang w:eastAsia="zh-TW"/>
    </w:rPr>
  </w:style>
  <w:style w:type="character" w:styleId="Seitenzahl">
    <w:name w:val="page number"/>
    <w:basedOn w:val="Absatz-Standardschriftart"/>
    <w:rsid w:val="00B31598"/>
  </w:style>
  <w:style w:type="table" w:styleId="Tabellenraster">
    <w:name w:val="Table Grid"/>
    <w:basedOn w:val="NormaleTabelle"/>
    <w:rsid w:val="001E6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344412-6F1F-4789-A5A1-707E244E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DHHS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pdargaville</dc:creator>
  <cp:lastModifiedBy>saettlej</cp:lastModifiedBy>
  <cp:revision>4</cp:revision>
  <dcterms:created xsi:type="dcterms:W3CDTF">2015-05-11T16:17:00Z</dcterms:created>
  <dcterms:modified xsi:type="dcterms:W3CDTF">2015-05-11T16:19:00Z</dcterms:modified>
</cp:coreProperties>
</file>