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8F" w:rsidRPr="00826459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26459">
        <w:rPr>
          <w:rFonts w:asciiTheme="majorBidi" w:hAnsiTheme="majorBidi" w:cstheme="majorBidi"/>
          <w:sz w:val="24"/>
          <w:szCs w:val="24"/>
        </w:rPr>
        <w:t xml:space="preserve">Table </w:t>
      </w:r>
      <w:r w:rsidR="001043F3">
        <w:rPr>
          <w:rFonts w:asciiTheme="majorBidi" w:hAnsiTheme="majorBidi" w:cstheme="majorBidi"/>
          <w:sz w:val="24"/>
          <w:szCs w:val="24"/>
        </w:rPr>
        <w:t>A</w:t>
      </w:r>
      <w:r w:rsidRPr="00826459">
        <w:rPr>
          <w:rFonts w:asciiTheme="majorBidi" w:hAnsiTheme="majorBidi" w:cstheme="majorBidi"/>
          <w:sz w:val="24"/>
          <w:szCs w:val="24"/>
        </w:rPr>
        <w:t>: Catheter Related Bacteraemia Results Unit A</w:t>
      </w:r>
      <w:r>
        <w:rPr>
          <w:rFonts w:asciiTheme="majorBidi" w:hAnsiTheme="majorBidi" w:cstheme="majorBidi"/>
          <w:sz w:val="24"/>
          <w:szCs w:val="24"/>
        </w:rPr>
        <w:t xml:space="preserve">. HDCRBSI rate and exit site infection rate are expressed per 1000 catheter days calculated over 12 months pre-intervention and 12 month during the intervention. Absolute number of infections, hospitalisations, </w:t>
      </w:r>
      <w:proofErr w:type="gramStart"/>
      <w:r>
        <w:rPr>
          <w:rFonts w:asciiTheme="majorBidi" w:hAnsiTheme="majorBidi" w:cstheme="majorBidi"/>
          <w:sz w:val="24"/>
          <w:szCs w:val="24"/>
        </w:rPr>
        <w:t>days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in hospital due to CRBSI and deaths are quoted, as well as days in hospital per 1000 catheter days</w:t>
      </w:r>
    </w:p>
    <w:tbl>
      <w:tblPr>
        <w:tblW w:w="9214" w:type="dxa"/>
        <w:tblInd w:w="-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6"/>
        <w:gridCol w:w="1276"/>
        <w:gridCol w:w="1276"/>
        <w:gridCol w:w="992"/>
        <w:gridCol w:w="1276"/>
        <w:gridCol w:w="1276"/>
        <w:gridCol w:w="992"/>
      </w:tblGrid>
      <w:tr w:rsidR="00C15C8F" w:rsidRPr="006864EF">
        <w:trPr>
          <w:trHeight w:val="557"/>
        </w:trPr>
        <w:tc>
          <w:tcPr>
            <w:tcW w:w="2126" w:type="dxa"/>
            <w:shd w:val="clear" w:color="auto" w:fill="auto"/>
          </w:tcPr>
          <w:p w:rsidR="00C15C8F" w:rsidRPr="006864EF" w:rsidRDefault="00C15C8F" w:rsidP="005F758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C15C8F" w:rsidRPr="006864EF" w:rsidRDefault="00C15C8F" w:rsidP="005F758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64EF">
              <w:rPr>
                <w:rFonts w:ascii="Times New Roman" w:hAnsi="Times New Roman"/>
                <w:b/>
                <w:sz w:val="20"/>
                <w:szCs w:val="20"/>
              </w:rPr>
              <w:t>Haemodialysis Unit A</w:t>
            </w:r>
          </w:p>
        </w:tc>
        <w:tc>
          <w:tcPr>
            <w:tcW w:w="3544" w:type="dxa"/>
            <w:gridSpan w:val="3"/>
          </w:tcPr>
          <w:p w:rsidR="00C15C8F" w:rsidRPr="006864EF" w:rsidRDefault="00C15C8F" w:rsidP="005F758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64EF">
              <w:rPr>
                <w:rFonts w:ascii="Times New Roman" w:hAnsi="Times New Roman"/>
                <w:b/>
                <w:sz w:val="20"/>
                <w:szCs w:val="20"/>
              </w:rPr>
              <w:t>Non-intervention unit</w:t>
            </w:r>
          </w:p>
          <w:p w:rsidR="00C15C8F" w:rsidRPr="006864EF" w:rsidRDefault="00C15C8F" w:rsidP="005F758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5C8F" w:rsidRPr="001B0587">
        <w:trPr>
          <w:trHeight w:val="429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year </w:t>
            </w:r>
            <w:r w:rsidRPr="001B0587">
              <w:rPr>
                <w:rFonts w:ascii="Times New Roman" w:hAnsi="Times New Roman"/>
                <w:sz w:val="20"/>
                <w:szCs w:val="20"/>
              </w:rPr>
              <w:t>Pre-intervention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year </w:t>
            </w:r>
            <w:r w:rsidRPr="001B0587">
              <w:rPr>
                <w:rFonts w:ascii="Times New Roman" w:hAnsi="Times New Roman"/>
                <w:sz w:val="20"/>
                <w:szCs w:val="20"/>
              </w:rPr>
              <w:t>Post-intervention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 value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year </w:t>
            </w:r>
            <w:r w:rsidRPr="001B0587">
              <w:rPr>
                <w:rFonts w:ascii="Times New Roman" w:hAnsi="Times New Roman"/>
                <w:sz w:val="20"/>
                <w:szCs w:val="20"/>
              </w:rPr>
              <w:t>Pre-intervention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year </w:t>
            </w:r>
            <w:r w:rsidRPr="001B0587">
              <w:rPr>
                <w:rFonts w:ascii="Times New Roman" w:hAnsi="Times New Roman"/>
                <w:sz w:val="20"/>
                <w:szCs w:val="20"/>
              </w:rPr>
              <w:t>Post-intervention</w:t>
            </w:r>
          </w:p>
        </w:tc>
        <w:tc>
          <w:tcPr>
            <w:tcW w:w="992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 value</w:t>
            </w:r>
          </w:p>
        </w:tc>
      </w:tr>
      <w:tr w:rsidR="00C15C8F" w:rsidRPr="001B0587">
        <w:trPr>
          <w:trHeight w:val="429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Number of patients (n)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5C8F" w:rsidRPr="001B0587">
        <w:trPr>
          <w:trHeight w:val="429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Catheter prevalence (%)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14.1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13.4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0.961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23.9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24.9</w:t>
            </w:r>
          </w:p>
        </w:tc>
        <w:tc>
          <w:tcPr>
            <w:tcW w:w="992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0.957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Total infections in one year (n)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5C8F" w:rsidRPr="001B0587">
        <w:trPr>
          <w:trHeight w:val="595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Catheter-related bacteraemia rate (per 1000 catheter days)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2.65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1.36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992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0.74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Exit site infection rate (per 1000 catheter days)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4.65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3.24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3.35</w:t>
            </w:r>
          </w:p>
        </w:tc>
        <w:tc>
          <w:tcPr>
            <w:tcW w:w="992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0.9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5C8F" w:rsidRPr="006864EF">
        <w:trPr>
          <w:trHeight w:val="520"/>
        </w:trPr>
        <w:tc>
          <w:tcPr>
            <w:tcW w:w="4678" w:type="dxa"/>
            <w:gridSpan w:val="3"/>
            <w:shd w:val="clear" w:color="auto" w:fill="auto"/>
          </w:tcPr>
          <w:p w:rsidR="00C15C8F" w:rsidRPr="006864EF" w:rsidRDefault="00C15C8F" w:rsidP="005F758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864EF">
              <w:rPr>
                <w:rFonts w:ascii="Times New Roman" w:hAnsi="Times New Roman"/>
                <w:b/>
                <w:bCs/>
                <w:sz w:val="20"/>
                <w:szCs w:val="20"/>
              </w:rPr>
              <w:t>Outcomes</w:t>
            </w:r>
          </w:p>
        </w:tc>
        <w:tc>
          <w:tcPr>
            <w:tcW w:w="992" w:type="dxa"/>
          </w:tcPr>
          <w:p w:rsidR="00C15C8F" w:rsidRPr="006864EF" w:rsidRDefault="00C15C8F" w:rsidP="005F758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864EF">
              <w:rPr>
                <w:rFonts w:ascii="Times New Roman" w:hAnsi="Times New Roman"/>
                <w:b/>
                <w:sz w:val="20"/>
                <w:szCs w:val="20"/>
              </w:rPr>
              <w:t>% Change</w:t>
            </w:r>
          </w:p>
        </w:tc>
        <w:tc>
          <w:tcPr>
            <w:tcW w:w="2552" w:type="dxa"/>
            <w:gridSpan w:val="2"/>
          </w:tcPr>
          <w:p w:rsidR="00C15C8F" w:rsidRPr="006864EF" w:rsidRDefault="00C15C8F" w:rsidP="005F758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15C8F" w:rsidRPr="006864EF" w:rsidRDefault="00C15C8F" w:rsidP="005F758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864EF">
              <w:rPr>
                <w:rFonts w:ascii="Times New Roman" w:hAnsi="Times New Roman"/>
                <w:b/>
                <w:sz w:val="20"/>
                <w:szCs w:val="20"/>
              </w:rPr>
              <w:t>% Change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1B0587"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Death (n)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B05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Number of catheters removed in one year</w:t>
            </w:r>
            <w:r w:rsidRPr="001B0587"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 xml:space="preserve"> (n)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B0587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-33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Number of h</w:t>
            </w:r>
            <w:r w:rsidRPr="001B0587"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ospitalisation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s in one year</w:t>
            </w:r>
            <w:r w:rsidRPr="001B0587"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 xml:space="preserve"> (n)</w:t>
            </w:r>
          </w:p>
          <w:p w:rsidR="00C15C8F" w:rsidRPr="001B0587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15C8F" w:rsidRPr="00166955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-75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Total days in hospital in one year</w:t>
            </w:r>
            <w:r w:rsidRPr="001B0587"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 xml:space="preserve"> (days)</w:t>
            </w:r>
          </w:p>
        </w:tc>
        <w:tc>
          <w:tcPr>
            <w:tcW w:w="1276" w:type="dxa"/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-75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276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992" w:type="dxa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</w:t>
            </w:r>
          </w:p>
        </w:tc>
      </w:tr>
      <w:tr w:rsidR="00C15C8F" w:rsidRPr="001B0587">
        <w:trPr>
          <w:trHeight w:val="52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>Days in hospital per 1000 catheter days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1B0587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+15</w:t>
            </w:r>
          </w:p>
        </w:tc>
      </w:tr>
    </w:tbl>
    <w:p w:rsidR="00C15C8F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C15C8F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C15C8F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C15C8F" w:rsidRDefault="00C15C8F" w:rsidP="00C15C8F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C15C8F" w:rsidRPr="00826459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26459">
        <w:rPr>
          <w:rFonts w:asciiTheme="majorBidi" w:hAnsiTheme="majorBidi" w:cstheme="majorBidi"/>
          <w:sz w:val="24"/>
          <w:szCs w:val="24"/>
        </w:rPr>
        <w:t xml:space="preserve">Table </w:t>
      </w:r>
      <w:r w:rsidR="001043F3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</w:rPr>
        <w:t>:</w:t>
      </w:r>
      <w:r w:rsidRPr="00826459">
        <w:rPr>
          <w:rFonts w:asciiTheme="majorBidi" w:hAnsiTheme="majorBidi" w:cstheme="majorBidi"/>
          <w:sz w:val="24"/>
          <w:szCs w:val="24"/>
        </w:rPr>
        <w:t xml:space="preserve"> Pre</w:t>
      </w:r>
      <w:r>
        <w:rPr>
          <w:rFonts w:asciiTheme="majorBidi" w:hAnsiTheme="majorBidi" w:cstheme="majorBidi"/>
          <w:sz w:val="24"/>
          <w:szCs w:val="24"/>
        </w:rPr>
        <w:t>-</w:t>
      </w:r>
      <w:r w:rsidRPr="00826459">
        <w:rPr>
          <w:rFonts w:asciiTheme="majorBidi" w:hAnsiTheme="majorBidi" w:cstheme="majorBidi"/>
          <w:sz w:val="24"/>
          <w:szCs w:val="24"/>
        </w:rPr>
        <w:t xml:space="preserve">dialysis Blood Pressure Results Unit B </w:t>
      </w:r>
    </w:p>
    <w:tbl>
      <w:tblPr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8"/>
        <w:gridCol w:w="1237"/>
        <w:gridCol w:w="1236"/>
        <w:gridCol w:w="819"/>
        <w:gridCol w:w="1236"/>
        <w:gridCol w:w="1236"/>
        <w:gridCol w:w="764"/>
      </w:tblGrid>
      <w:tr w:rsidR="00C15C8F" w:rsidRPr="00826459">
        <w:trPr>
          <w:trHeight w:val="293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after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Haemodialysis Unit B</w:t>
            </w:r>
          </w:p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Non-intervention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 Unit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</w:p>
        </w:tc>
      </w:tr>
      <w:tr w:rsidR="00C15C8F" w:rsidRPr="00826459">
        <w:tblPrEx>
          <w:tblLook w:val="01E0"/>
        </w:tblPrEx>
        <w:trPr>
          <w:trHeight w:val="549"/>
        </w:trPr>
        <w:tc>
          <w:tcPr>
            <w:tcW w:w="173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Pre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intervention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Post-intervention</w:t>
            </w:r>
          </w:p>
        </w:tc>
        <w:tc>
          <w:tcPr>
            <w:tcW w:w="819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B0587">
              <w:rPr>
                <w:rFonts w:ascii="Times New Roman" w:hAnsi="Times New Roman"/>
                <w:sz w:val="20"/>
                <w:szCs w:val="20"/>
              </w:rPr>
              <w:t>P value</w:t>
            </w:r>
          </w:p>
        </w:tc>
        <w:tc>
          <w:tcPr>
            <w:tcW w:w="123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Pre-intervention</w:t>
            </w:r>
          </w:p>
        </w:tc>
        <w:tc>
          <w:tcPr>
            <w:tcW w:w="123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Post-intervention</w:t>
            </w:r>
          </w:p>
        </w:tc>
        <w:tc>
          <w:tcPr>
            <w:tcW w:w="764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C15C8F" w:rsidRPr="00826459">
        <w:tblPrEx>
          <w:tblLook w:val="01E0"/>
        </w:tblPrEx>
        <w:trPr>
          <w:trHeight w:val="549"/>
        </w:trPr>
        <w:tc>
          <w:tcPr>
            <w:tcW w:w="173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ean pre-dialysis systolic blood pressure 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SD)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 (mmHg)</w:t>
            </w:r>
          </w:p>
        </w:tc>
        <w:tc>
          <w:tcPr>
            <w:tcW w:w="123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151.9 (±26.4)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130.1 (±23.5)</w:t>
            </w:r>
          </w:p>
        </w:tc>
        <w:tc>
          <w:tcPr>
            <w:tcW w:w="819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0.001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148.7 (± 25.2)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145.5 (±23.6)</w:t>
            </w:r>
          </w:p>
        </w:tc>
        <w:tc>
          <w:tcPr>
            <w:tcW w:w="764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0.43</w:t>
            </w:r>
          </w:p>
        </w:tc>
      </w:tr>
      <w:tr w:rsidR="00C15C8F" w:rsidRPr="00826459">
        <w:tblPrEx>
          <w:tblLook w:val="01E0"/>
        </w:tblPrEx>
        <w:trPr>
          <w:trHeight w:val="297"/>
        </w:trPr>
        <w:tc>
          <w:tcPr>
            <w:tcW w:w="173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ean pre-dialysis diastolic blood pressure (mmHg)</w:t>
            </w:r>
          </w:p>
        </w:tc>
        <w:tc>
          <w:tcPr>
            <w:tcW w:w="123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82.1 (±17.4)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73.4 (±15.4)</w:t>
            </w:r>
          </w:p>
        </w:tc>
        <w:tc>
          <w:tcPr>
            <w:tcW w:w="819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0.003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77.6 (±17.5)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77.2 (±13.6)</w:t>
            </w:r>
          </w:p>
        </w:tc>
        <w:tc>
          <w:tcPr>
            <w:tcW w:w="764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0.9</w:t>
            </w:r>
          </w:p>
        </w:tc>
      </w:tr>
      <w:tr w:rsidR="00C15C8F" w:rsidRPr="00826459">
        <w:tblPrEx>
          <w:tblLook w:val="01E0"/>
        </w:tblPrEx>
        <w:trPr>
          <w:trHeight w:val="534"/>
        </w:trPr>
        <w:tc>
          <w:tcPr>
            <w:tcW w:w="173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Percentage of patients achieving clinical standard of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140/90 mmHg </w:t>
            </w:r>
          </w:p>
        </w:tc>
        <w:tc>
          <w:tcPr>
            <w:tcW w:w="1237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37.5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.2</w:t>
            </w:r>
          </w:p>
        </w:tc>
        <w:tc>
          <w:tcPr>
            <w:tcW w:w="819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0.001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42.3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43.7</w:t>
            </w:r>
          </w:p>
        </w:tc>
        <w:tc>
          <w:tcPr>
            <w:tcW w:w="764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1.0</w:t>
            </w:r>
          </w:p>
        </w:tc>
      </w:tr>
      <w:tr w:rsidR="00C15C8F" w:rsidRPr="00826459">
        <w:tblPrEx>
          <w:tblLook w:val="01E0"/>
        </w:tblPrEx>
        <w:trPr>
          <w:gridAfter w:val="3"/>
          <w:wAfter w:w="3236" w:type="dxa"/>
          <w:trHeight w:val="534"/>
        </w:trPr>
        <w:tc>
          <w:tcPr>
            <w:tcW w:w="173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Hypotensive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episodes</w:t>
            </w:r>
          </w:p>
        </w:tc>
        <w:tc>
          <w:tcPr>
            <w:tcW w:w="1237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5.2 (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±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1.4)</w:t>
            </w:r>
          </w:p>
        </w:tc>
        <w:tc>
          <w:tcPr>
            <w:tcW w:w="123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5.3(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±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1.8)</w:t>
            </w:r>
          </w:p>
        </w:tc>
        <w:tc>
          <w:tcPr>
            <w:tcW w:w="819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0.55</w:t>
            </w:r>
          </w:p>
        </w:tc>
      </w:tr>
    </w:tbl>
    <w:p w:rsidR="00C15C8F" w:rsidRPr="00826459" w:rsidRDefault="00C15C8F" w:rsidP="00C15C8F">
      <w:pPr>
        <w:jc w:val="both"/>
        <w:rPr>
          <w:rFonts w:asciiTheme="majorBidi" w:hAnsiTheme="majorBidi" w:cstheme="majorBidi"/>
          <w:sz w:val="24"/>
          <w:szCs w:val="24"/>
        </w:rPr>
      </w:pPr>
    </w:p>
    <w:p w:rsidR="00C15C8F" w:rsidRDefault="00C15C8F" w:rsidP="00C15C8F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C15C8F" w:rsidRPr="00826459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26459">
        <w:rPr>
          <w:rFonts w:asciiTheme="majorBidi" w:hAnsiTheme="majorBidi" w:cstheme="majorBidi"/>
          <w:sz w:val="24"/>
          <w:szCs w:val="24"/>
        </w:rPr>
        <w:t xml:space="preserve">Table </w:t>
      </w:r>
      <w:r w:rsidR="001043F3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>:</w:t>
      </w:r>
      <w:r w:rsidRPr="00826459">
        <w:rPr>
          <w:rFonts w:asciiTheme="majorBidi" w:hAnsiTheme="majorBidi" w:cstheme="majorBidi"/>
          <w:sz w:val="24"/>
          <w:szCs w:val="24"/>
        </w:rPr>
        <w:t xml:space="preserve"> Dialysis Dose: Unit C</w:t>
      </w:r>
    </w:p>
    <w:tbl>
      <w:tblPr>
        <w:tblW w:w="8930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5"/>
        <w:gridCol w:w="1277"/>
        <w:gridCol w:w="1276"/>
        <w:gridCol w:w="850"/>
        <w:gridCol w:w="1276"/>
        <w:gridCol w:w="1276"/>
        <w:gridCol w:w="850"/>
      </w:tblGrid>
      <w:tr w:rsidR="00C15C8F" w:rsidRPr="00826459">
        <w:trPr>
          <w:trHeight w:val="297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after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Haemodialysis Unit C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Non-intervention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 Unit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</w:p>
        </w:tc>
      </w:tr>
      <w:tr w:rsidR="00C15C8F" w:rsidRPr="00826459">
        <w:trPr>
          <w:trHeight w:val="549"/>
        </w:trPr>
        <w:tc>
          <w:tcPr>
            <w:tcW w:w="2125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Pre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intervention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Post-intervention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Pre-intervention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Post-intervention</w:t>
            </w:r>
          </w:p>
        </w:tc>
        <w:tc>
          <w:tcPr>
            <w:tcW w:w="850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C15C8F" w:rsidRPr="00826459">
        <w:trPr>
          <w:trHeight w:val="549"/>
        </w:trPr>
        <w:tc>
          <w:tcPr>
            <w:tcW w:w="2125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Number of patients (n)</w:t>
            </w:r>
          </w:p>
        </w:tc>
        <w:tc>
          <w:tcPr>
            <w:tcW w:w="127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58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71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74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15C8F" w:rsidRPr="00826459">
        <w:trPr>
          <w:trHeight w:val="549"/>
        </w:trPr>
        <w:tc>
          <w:tcPr>
            <w:tcW w:w="2125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Fistula/Graft prevalence (%)</w:t>
            </w:r>
          </w:p>
        </w:tc>
        <w:tc>
          <w:tcPr>
            <w:tcW w:w="127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82.8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89.1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0.316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76.1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75.1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0.957</w:t>
            </w:r>
          </w:p>
        </w:tc>
      </w:tr>
      <w:tr w:rsidR="00C15C8F" w:rsidRPr="00826459">
        <w:trPr>
          <w:trHeight w:val="549"/>
        </w:trPr>
        <w:tc>
          <w:tcPr>
            <w:tcW w:w="2125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Mean blood flow rate (SD) </w:t>
            </w:r>
          </w:p>
        </w:tc>
        <w:tc>
          <w:tcPr>
            <w:tcW w:w="1277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340 (45)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337 (54)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&gt;0.99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266 (29)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283 (31)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0.91</w:t>
            </w:r>
          </w:p>
        </w:tc>
      </w:tr>
      <w:tr w:rsidR="00C15C8F" w:rsidRPr="00826459">
        <w:trPr>
          <w:trHeight w:val="549"/>
        </w:trPr>
        <w:tc>
          <w:tcPr>
            <w:tcW w:w="2125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ean urea reduction ratio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(SD)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 (%)</w:t>
            </w:r>
          </w:p>
        </w:tc>
        <w:tc>
          <w:tcPr>
            <w:tcW w:w="1277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70.4 (±8.3)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74.5 (±5.5)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0.00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68.7 (±8.5)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69.6 (±7.4)</w:t>
            </w:r>
          </w:p>
        </w:tc>
        <w:tc>
          <w:tcPr>
            <w:tcW w:w="850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0.47</w:t>
            </w:r>
          </w:p>
        </w:tc>
      </w:tr>
      <w:tr w:rsidR="00C15C8F" w:rsidRPr="00826459">
        <w:trPr>
          <w:trHeight w:val="297"/>
        </w:trPr>
        <w:tc>
          <w:tcPr>
            <w:tcW w:w="2125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Percentage of patients achieving clinical standard of urea reduction ratio &gt;65%</w:t>
            </w:r>
          </w:p>
        </w:tc>
        <w:tc>
          <w:tcPr>
            <w:tcW w:w="1277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75.8</w:t>
            </w:r>
          </w:p>
        </w:tc>
        <w:tc>
          <w:tcPr>
            <w:tcW w:w="127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91.4</w:t>
            </w:r>
          </w:p>
        </w:tc>
        <w:tc>
          <w:tcPr>
            <w:tcW w:w="850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69.0</w:t>
            </w:r>
          </w:p>
        </w:tc>
        <w:tc>
          <w:tcPr>
            <w:tcW w:w="1276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69.0</w:t>
            </w:r>
          </w:p>
        </w:tc>
        <w:tc>
          <w:tcPr>
            <w:tcW w:w="850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0.58</w:t>
            </w:r>
          </w:p>
        </w:tc>
      </w:tr>
    </w:tbl>
    <w:p w:rsidR="00C15C8F" w:rsidRPr="00826459" w:rsidRDefault="00C15C8F" w:rsidP="00C15C8F">
      <w:pPr>
        <w:jc w:val="both"/>
        <w:rPr>
          <w:rFonts w:asciiTheme="majorBidi" w:hAnsiTheme="majorBidi" w:cstheme="majorBidi"/>
          <w:sz w:val="24"/>
          <w:szCs w:val="24"/>
        </w:rPr>
      </w:pPr>
    </w:p>
    <w:p w:rsidR="00C15C8F" w:rsidRDefault="00C15C8F" w:rsidP="00C15C8F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C15C8F" w:rsidRPr="00826459" w:rsidRDefault="00C15C8F" w:rsidP="00C15C8F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26459">
        <w:rPr>
          <w:rFonts w:asciiTheme="majorBidi" w:hAnsiTheme="majorBidi" w:cstheme="majorBidi"/>
          <w:sz w:val="24"/>
          <w:szCs w:val="24"/>
        </w:rPr>
        <w:t xml:space="preserve">Table </w:t>
      </w:r>
      <w:r w:rsidR="001043F3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826459">
        <w:rPr>
          <w:rFonts w:asciiTheme="majorBidi" w:hAnsiTheme="majorBidi" w:cstheme="majorBidi"/>
          <w:sz w:val="24"/>
          <w:szCs w:val="24"/>
        </w:rPr>
        <w:t xml:space="preserve">Anaemia: Community </w:t>
      </w:r>
      <w:r w:rsidRPr="008C1AEE">
        <w:rPr>
          <w:rFonts w:ascii="Times New Roman (Theme Headings" w:hAnsi="Times New Roman (Theme Headings" w:cstheme="majorBidi"/>
          <w:sz w:val="24"/>
          <w:szCs w:val="24"/>
        </w:rPr>
        <w:t>PD</w:t>
      </w:r>
      <w:r w:rsidRPr="00826459">
        <w:rPr>
          <w:rFonts w:asciiTheme="majorBidi" w:hAnsiTheme="majorBidi" w:cstheme="majorBidi"/>
          <w:sz w:val="24"/>
          <w:szCs w:val="24"/>
        </w:rPr>
        <w:t xml:space="preserve"> Unit D</w:t>
      </w:r>
    </w:p>
    <w:tbl>
      <w:tblPr>
        <w:tblW w:w="8930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18"/>
        <w:gridCol w:w="1188"/>
        <w:gridCol w:w="1188"/>
        <w:gridCol w:w="1994"/>
        <w:gridCol w:w="1188"/>
        <w:gridCol w:w="1188"/>
        <w:gridCol w:w="666"/>
      </w:tblGrid>
      <w:tr w:rsidR="00C15C8F" w:rsidRPr="00826459">
        <w:trPr>
          <w:trHeight w:val="69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before="240" w:after="0"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before="240"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Peritoneal Dialysis Unit D</w:t>
            </w:r>
          </w:p>
        </w:tc>
        <w:tc>
          <w:tcPr>
            <w:tcW w:w="3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before="240" w:after="0"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Non-intervention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 Unit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</w:p>
        </w:tc>
      </w:tr>
      <w:tr w:rsidR="00C15C8F" w:rsidRPr="00826459">
        <w:trPr>
          <w:trHeight w:val="549"/>
        </w:trPr>
        <w:tc>
          <w:tcPr>
            <w:tcW w:w="151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Pre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intervention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Post-intervention</w:t>
            </w:r>
          </w:p>
        </w:tc>
        <w:tc>
          <w:tcPr>
            <w:tcW w:w="1994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  <w:tc>
          <w:tcPr>
            <w:tcW w:w="1188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Pre-intervention</w:t>
            </w:r>
          </w:p>
        </w:tc>
        <w:tc>
          <w:tcPr>
            <w:tcW w:w="1188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Post-intervention</w:t>
            </w:r>
          </w:p>
        </w:tc>
        <w:tc>
          <w:tcPr>
            <w:tcW w:w="66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 value</w:t>
            </w:r>
          </w:p>
        </w:tc>
      </w:tr>
      <w:tr w:rsidR="00C15C8F" w:rsidRPr="00826459">
        <w:trPr>
          <w:trHeight w:val="549"/>
        </w:trPr>
        <w:tc>
          <w:tcPr>
            <w:tcW w:w="151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ean haemoglobin 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SD) (g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/dl)</w:t>
            </w:r>
          </w:p>
        </w:tc>
        <w:tc>
          <w:tcPr>
            <w:tcW w:w="118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10.6 (±1.4)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11.2(±1.5)</w:t>
            </w:r>
          </w:p>
        </w:tc>
        <w:tc>
          <w:tcPr>
            <w:tcW w:w="1994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.002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10.9 (±1.8)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11.2 (±1.6)</w:t>
            </w:r>
          </w:p>
        </w:tc>
        <w:tc>
          <w:tcPr>
            <w:tcW w:w="66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0.36</w:t>
            </w:r>
          </w:p>
        </w:tc>
      </w:tr>
      <w:tr w:rsidR="00C15C8F" w:rsidRPr="00826459">
        <w:trPr>
          <w:trHeight w:val="297"/>
        </w:trPr>
        <w:tc>
          <w:tcPr>
            <w:tcW w:w="151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Percentage of patients achieving haemoglobin between 10.5 – 12.5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/dl</w:t>
            </w:r>
          </w:p>
        </w:tc>
        <w:tc>
          <w:tcPr>
            <w:tcW w:w="1188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45.5</w:t>
            </w:r>
          </w:p>
        </w:tc>
        <w:tc>
          <w:tcPr>
            <w:tcW w:w="1188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62.7</w:t>
            </w:r>
          </w:p>
        </w:tc>
        <w:tc>
          <w:tcPr>
            <w:tcW w:w="1994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57.7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53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>.5</w:t>
            </w:r>
          </w:p>
        </w:tc>
        <w:tc>
          <w:tcPr>
            <w:tcW w:w="66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0.74</w:t>
            </w:r>
          </w:p>
        </w:tc>
      </w:tr>
      <w:tr w:rsidR="00C15C8F" w:rsidRPr="00826459">
        <w:trPr>
          <w:trHeight w:val="29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ean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(SD) </w:t>
            </w:r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dose of </w:t>
            </w:r>
            <w:proofErr w:type="spellStart"/>
            <w:r w:rsidRPr="00826459">
              <w:rPr>
                <w:rFonts w:asciiTheme="majorBidi" w:hAnsiTheme="majorBidi" w:cstheme="majorBidi"/>
                <w:sz w:val="20"/>
                <w:szCs w:val="20"/>
              </w:rPr>
              <w:t>darbepoietin</w:t>
            </w:r>
            <w:proofErr w:type="spellEnd"/>
            <w:r w:rsidRPr="00826459">
              <w:rPr>
                <w:rFonts w:asciiTheme="majorBidi" w:hAnsiTheme="majorBidi" w:cstheme="majorBidi"/>
                <w:sz w:val="20"/>
                <w:szCs w:val="20"/>
              </w:rPr>
              <w:t xml:space="preserve"> (µg/week)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41.5 (±32.8)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45.6 (±40.9)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0.35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62.3 (±44.6)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6459">
              <w:rPr>
                <w:rFonts w:asciiTheme="majorBidi" w:hAnsiTheme="majorBidi" w:cstheme="majorBidi"/>
                <w:sz w:val="20"/>
                <w:szCs w:val="20"/>
              </w:rPr>
              <w:t>67.4(±48.5)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0.51</w:t>
            </w:r>
          </w:p>
        </w:tc>
      </w:tr>
      <w:tr w:rsidR="00C15C8F" w:rsidRPr="00826459">
        <w:trPr>
          <w:trHeight w:val="534"/>
        </w:trPr>
        <w:tc>
          <w:tcPr>
            <w:tcW w:w="1518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Percentage of patients with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ferritin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200-800mcg/l</w:t>
            </w:r>
          </w:p>
        </w:tc>
        <w:tc>
          <w:tcPr>
            <w:tcW w:w="118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74%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75%</w:t>
            </w:r>
          </w:p>
        </w:tc>
        <w:tc>
          <w:tcPr>
            <w:tcW w:w="1994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0.561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59%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68%</w:t>
            </w:r>
          </w:p>
        </w:tc>
        <w:tc>
          <w:tcPr>
            <w:tcW w:w="66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</w:tr>
      <w:tr w:rsidR="00C15C8F" w:rsidRPr="00826459">
        <w:trPr>
          <w:trHeight w:val="534"/>
        </w:trPr>
        <w:tc>
          <w:tcPr>
            <w:tcW w:w="1518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Percentage of patients with iron saturation&gt;20%</w:t>
            </w:r>
          </w:p>
        </w:tc>
        <w:tc>
          <w:tcPr>
            <w:tcW w:w="118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83%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88%</w:t>
            </w:r>
          </w:p>
        </w:tc>
        <w:tc>
          <w:tcPr>
            <w:tcW w:w="1994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0.433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66%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75%</w:t>
            </w:r>
          </w:p>
        </w:tc>
        <w:tc>
          <w:tcPr>
            <w:tcW w:w="66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0.125</w:t>
            </w:r>
          </w:p>
        </w:tc>
      </w:tr>
      <w:tr w:rsidR="00C15C8F" w:rsidRPr="00826459">
        <w:trPr>
          <w:trHeight w:val="534"/>
        </w:trPr>
        <w:tc>
          <w:tcPr>
            <w:tcW w:w="1518" w:type="dxa"/>
            <w:shd w:val="clear" w:color="auto" w:fill="auto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Mean CRP (mg/l)</w:t>
            </w:r>
          </w:p>
        </w:tc>
        <w:tc>
          <w:tcPr>
            <w:tcW w:w="1188" w:type="dxa"/>
            <w:shd w:val="clear" w:color="auto" w:fill="auto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35</w:t>
            </w:r>
          </w:p>
        </w:tc>
        <w:tc>
          <w:tcPr>
            <w:tcW w:w="1994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0.175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38</w:t>
            </w:r>
          </w:p>
        </w:tc>
        <w:tc>
          <w:tcPr>
            <w:tcW w:w="1188" w:type="dxa"/>
          </w:tcPr>
          <w:p w:rsidR="00C15C8F" w:rsidRPr="00826459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</w:t>
            </w:r>
          </w:p>
        </w:tc>
        <w:tc>
          <w:tcPr>
            <w:tcW w:w="666" w:type="dxa"/>
          </w:tcPr>
          <w:p w:rsidR="00C15C8F" w:rsidRDefault="00C15C8F" w:rsidP="005F758B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0.094</w:t>
            </w:r>
          </w:p>
        </w:tc>
      </w:tr>
    </w:tbl>
    <w:p w:rsidR="00A0756D" w:rsidRDefault="00A0756D" w:rsidP="00C15C8F"/>
    <w:p w:rsidR="00A0756D" w:rsidRPr="00C415D3" w:rsidRDefault="00A0756D" w:rsidP="00A0756D">
      <w:pPr>
        <w:spacing w:after="0"/>
        <w:rPr>
          <w:rFonts w:asciiTheme="majorBidi" w:hAnsiTheme="majorBidi" w:cstheme="majorBidi"/>
          <w:sz w:val="24"/>
          <w:szCs w:val="24"/>
        </w:rPr>
      </w:pPr>
      <w:r>
        <w:br w:type="page"/>
      </w:r>
      <w:r w:rsidRPr="00C415D3">
        <w:rPr>
          <w:rFonts w:asciiTheme="majorBidi" w:hAnsiTheme="majorBidi" w:cstheme="majorBidi"/>
          <w:sz w:val="24"/>
          <w:szCs w:val="24"/>
        </w:rPr>
        <w:t xml:space="preserve">Table </w:t>
      </w:r>
      <w:r w:rsidR="001043F3">
        <w:rPr>
          <w:rFonts w:asciiTheme="majorBidi" w:hAnsiTheme="majorBidi" w:cstheme="majorBidi"/>
          <w:sz w:val="24"/>
          <w:szCs w:val="24"/>
        </w:rPr>
        <w:t>E</w:t>
      </w:r>
      <w:r w:rsidRPr="00C415D3">
        <w:rPr>
          <w:rFonts w:asciiTheme="majorBidi" w:hAnsiTheme="majorBidi" w:cstheme="majorBidi"/>
          <w:sz w:val="24"/>
          <w:szCs w:val="24"/>
        </w:rPr>
        <w:t>. Results of AHRQ Survey</w:t>
      </w:r>
    </w:p>
    <w:tbl>
      <w:tblPr>
        <w:tblStyle w:val="TableGrid"/>
        <w:tblW w:w="0" w:type="auto"/>
        <w:tblLook w:val="04A0"/>
      </w:tblPr>
      <w:tblGrid>
        <w:gridCol w:w="1552"/>
        <w:gridCol w:w="1257"/>
        <w:gridCol w:w="1257"/>
        <w:gridCol w:w="968"/>
        <w:gridCol w:w="1257"/>
        <w:gridCol w:w="1257"/>
        <w:gridCol w:w="968"/>
      </w:tblGrid>
      <w:tr w:rsidR="00A0756D" w:rsidRPr="00C415D3">
        <w:tc>
          <w:tcPr>
            <w:tcW w:w="1667" w:type="dxa"/>
          </w:tcPr>
          <w:p w:rsidR="00A0756D" w:rsidRPr="00C415D3" w:rsidRDefault="00A0756D"/>
        </w:tc>
        <w:tc>
          <w:tcPr>
            <w:tcW w:w="3710" w:type="dxa"/>
            <w:gridSpan w:val="3"/>
          </w:tcPr>
          <w:p w:rsidR="00A0756D" w:rsidRPr="00C415D3" w:rsidRDefault="00A0756D" w:rsidP="005003DA">
            <w:r w:rsidRPr="00C415D3">
              <w:t>Intervention Units</w:t>
            </w:r>
          </w:p>
        </w:tc>
        <w:tc>
          <w:tcPr>
            <w:tcW w:w="3756" w:type="dxa"/>
            <w:gridSpan w:val="3"/>
          </w:tcPr>
          <w:p w:rsidR="00A0756D" w:rsidRPr="00C415D3" w:rsidRDefault="00A0756D" w:rsidP="005003DA">
            <w:r w:rsidRPr="00C415D3">
              <w:t>Non-intervention unit</w:t>
            </w:r>
          </w:p>
        </w:tc>
      </w:tr>
      <w:tr w:rsidR="00A0756D" w:rsidRPr="00C415D3">
        <w:tc>
          <w:tcPr>
            <w:tcW w:w="1667" w:type="dxa"/>
          </w:tcPr>
          <w:p w:rsidR="00A0756D" w:rsidRPr="00C415D3" w:rsidRDefault="00A0756D"/>
        </w:tc>
        <w:tc>
          <w:tcPr>
            <w:tcW w:w="1323" w:type="dxa"/>
          </w:tcPr>
          <w:p w:rsidR="00A0756D" w:rsidRPr="00C415D3" w:rsidRDefault="00A0756D">
            <w:r w:rsidRPr="00C415D3">
              <w:t>Pre-intervention (Year 0)</w:t>
            </w:r>
          </w:p>
        </w:tc>
        <w:tc>
          <w:tcPr>
            <w:tcW w:w="1371" w:type="dxa"/>
          </w:tcPr>
          <w:p w:rsidR="00A0756D" w:rsidRPr="00C415D3" w:rsidRDefault="00A0756D" w:rsidP="005003DA">
            <w:r w:rsidRPr="00C415D3">
              <w:t>Post intervention (Year 1)</w:t>
            </w:r>
          </w:p>
        </w:tc>
        <w:tc>
          <w:tcPr>
            <w:tcW w:w="1016" w:type="dxa"/>
          </w:tcPr>
          <w:p w:rsidR="00A0756D" w:rsidRPr="00C415D3" w:rsidRDefault="00A0756D" w:rsidP="005003DA">
            <w:r w:rsidRPr="00C415D3">
              <w:t>%</w:t>
            </w:r>
            <w:proofErr w:type="gramStart"/>
            <w:r w:rsidRPr="00C415D3">
              <w:t>change</w:t>
            </w:r>
            <w:proofErr w:type="gramEnd"/>
          </w:p>
        </w:tc>
        <w:tc>
          <w:tcPr>
            <w:tcW w:w="1323" w:type="dxa"/>
          </w:tcPr>
          <w:p w:rsidR="00A0756D" w:rsidRPr="00C415D3" w:rsidRDefault="00A0756D" w:rsidP="005003DA">
            <w:r w:rsidRPr="00C415D3">
              <w:t>Pre-intervention (Year 0)</w:t>
            </w:r>
          </w:p>
        </w:tc>
        <w:tc>
          <w:tcPr>
            <w:tcW w:w="1323" w:type="dxa"/>
          </w:tcPr>
          <w:p w:rsidR="00A0756D" w:rsidRPr="00C415D3" w:rsidRDefault="00A0756D" w:rsidP="005003DA">
            <w:r w:rsidRPr="00C415D3">
              <w:t>Post intervention (Year 1)</w:t>
            </w:r>
          </w:p>
        </w:tc>
        <w:tc>
          <w:tcPr>
            <w:tcW w:w="1110" w:type="dxa"/>
          </w:tcPr>
          <w:p w:rsidR="00A0756D" w:rsidRPr="00C415D3" w:rsidRDefault="00A0756D" w:rsidP="005003DA">
            <w:r w:rsidRPr="00C415D3">
              <w:t>%</w:t>
            </w:r>
            <w:proofErr w:type="gramStart"/>
            <w:r w:rsidRPr="00C415D3">
              <w:t>change</w:t>
            </w:r>
            <w:proofErr w:type="gramEnd"/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Teamwork across unit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50%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59%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+18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40%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52%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+30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 xml:space="preserve">Organisational Learning &amp; </w:t>
            </w:r>
            <w:proofErr w:type="spellStart"/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Continous</w:t>
            </w:r>
            <w:proofErr w:type="spellEnd"/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 xml:space="preserve"> improvement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74%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85%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+15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73%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68%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-7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Feedback &amp; Communication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59%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84%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+42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50%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52%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+4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Communication openness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57%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69%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+21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44%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42%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-5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Overall perception of safety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57%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74%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+30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43%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39%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-9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Frequency of Event Reporting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58%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91%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+57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85%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70%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-18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Staffing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37%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52%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+41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34%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30%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-13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Handoff &amp; transition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40%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52%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+30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40%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36%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-10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Manager expectation &amp; actions promoting safety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71%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77%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+8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69%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50%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-28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Management support for patient safety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71%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78%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+10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76%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67%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-12</w:t>
            </w:r>
          </w:p>
        </w:tc>
      </w:tr>
      <w:tr w:rsidR="00A0756D" w:rsidRPr="00C415D3">
        <w:trPr>
          <w:trHeight w:val="300"/>
        </w:trPr>
        <w:tc>
          <w:tcPr>
            <w:tcW w:w="1667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bCs/>
                <w:color w:val="000000"/>
                <w:u w:val="single"/>
                <w:lang w:eastAsia="en-GB"/>
              </w:rPr>
            </w:pPr>
            <w:r w:rsidRPr="00C415D3">
              <w:rPr>
                <w:rFonts w:eastAsia="Times New Roman"/>
                <w:bCs/>
                <w:color w:val="000000"/>
                <w:u w:val="single"/>
                <w:lang w:eastAsia="en-GB"/>
              </w:rPr>
              <w:t>Non-punitive response to error</w:t>
            </w:r>
          </w:p>
        </w:tc>
        <w:tc>
          <w:tcPr>
            <w:tcW w:w="1323" w:type="dxa"/>
            <w:noWrap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46%</w:t>
            </w:r>
          </w:p>
        </w:tc>
        <w:tc>
          <w:tcPr>
            <w:tcW w:w="1371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52%</w:t>
            </w:r>
          </w:p>
        </w:tc>
        <w:tc>
          <w:tcPr>
            <w:tcW w:w="1016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+13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35%</w:t>
            </w:r>
          </w:p>
        </w:tc>
        <w:tc>
          <w:tcPr>
            <w:tcW w:w="1323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39%</w:t>
            </w:r>
          </w:p>
        </w:tc>
        <w:tc>
          <w:tcPr>
            <w:tcW w:w="1110" w:type="dxa"/>
          </w:tcPr>
          <w:p w:rsidR="00A0756D" w:rsidRPr="00C415D3" w:rsidRDefault="00A0756D" w:rsidP="005003DA">
            <w:pPr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C415D3">
              <w:rPr>
                <w:rFonts w:eastAsia="Times New Roman"/>
                <w:color w:val="000000"/>
                <w:lang w:eastAsia="en-GB"/>
              </w:rPr>
              <w:t>+11</w:t>
            </w:r>
          </w:p>
        </w:tc>
      </w:tr>
    </w:tbl>
    <w:p w:rsidR="00A0756D" w:rsidRDefault="00A0756D" w:rsidP="00A0756D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A6D0C" w:rsidRDefault="001043F3" w:rsidP="00C15C8F"/>
    <w:sectPr w:rsidR="001A6D0C" w:rsidSect="00EB47B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 (Theme Heading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C3FF6"/>
    <w:multiLevelType w:val="hybridMultilevel"/>
    <w:tmpl w:val="42CA9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81531"/>
    <w:multiLevelType w:val="multilevel"/>
    <w:tmpl w:val="7296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082AE2"/>
    <w:multiLevelType w:val="hybridMultilevel"/>
    <w:tmpl w:val="949EE0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E3C85"/>
    <w:multiLevelType w:val="hybridMultilevel"/>
    <w:tmpl w:val="A6326960"/>
    <w:lvl w:ilvl="0" w:tplc="CAD4DA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85918"/>
    <w:multiLevelType w:val="hybridMultilevel"/>
    <w:tmpl w:val="64069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21162"/>
    <w:multiLevelType w:val="multilevel"/>
    <w:tmpl w:val="01D6B920"/>
    <w:lvl w:ilvl="0"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)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5C8F"/>
    <w:rsid w:val="001043F3"/>
    <w:rsid w:val="00305CCC"/>
    <w:rsid w:val="00A0756D"/>
    <w:rsid w:val="00C15C8F"/>
    <w:rsid w:val="00C64DB9"/>
    <w:rsid w:val="00F55B04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0" w:unhideWhenUsed="0"/>
    <w:lsdException w:name="Medium List 1 Accent 1" w:semiHidden="0" w:uiPriority="61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8F"/>
    <w:pPr>
      <w:spacing w:after="200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unhideWhenUsed/>
    <w:rsid w:val="00C15C8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rsid w:val="00C15C8F"/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59"/>
    <w:rsid w:val="00C15C8F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rsid w:val="00C15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15C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C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15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5C8F"/>
    <w:rPr>
      <w:b/>
      <w:bCs/>
    </w:rPr>
  </w:style>
  <w:style w:type="paragraph" w:styleId="BalloonText">
    <w:name w:val="Balloon Text"/>
    <w:basedOn w:val="Normal"/>
    <w:link w:val="BalloonTextChar"/>
    <w:semiHidden/>
    <w:rsid w:val="00C15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5C8F"/>
    <w:rPr>
      <w:rFonts w:ascii="Tahoma" w:eastAsia="Calibri" w:hAnsi="Tahoma" w:cs="Tahoma"/>
      <w:sz w:val="16"/>
      <w:szCs w:val="16"/>
    </w:rPr>
  </w:style>
  <w:style w:type="character" w:styleId="Hyperlink">
    <w:name w:val="Hyperlink"/>
    <w:rsid w:val="00C15C8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15C8F"/>
  </w:style>
  <w:style w:type="character" w:styleId="FollowedHyperlink">
    <w:name w:val="FollowedHyperlink"/>
    <w:rsid w:val="00C15C8F"/>
    <w:rPr>
      <w:color w:val="800080"/>
      <w:u w:val="single"/>
    </w:rPr>
  </w:style>
  <w:style w:type="paragraph" w:styleId="NormalWeb">
    <w:name w:val="Normal (Web)"/>
    <w:basedOn w:val="Normal"/>
    <w:uiPriority w:val="99"/>
    <w:rsid w:val="00C15C8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5">
    <w:name w:val="A5"/>
    <w:rsid w:val="00C15C8F"/>
    <w:rPr>
      <w:rFonts w:cs="Myriad Pro"/>
      <w:color w:val="000000"/>
      <w:sz w:val="10"/>
      <w:szCs w:val="10"/>
    </w:rPr>
  </w:style>
  <w:style w:type="table" w:styleId="MediumShading2-Accent1">
    <w:name w:val="Medium Shading 2 Accent 1"/>
    <w:basedOn w:val="TableNormal"/>
    <w:uiPriority w:val="60"/>
    <w:rsid w:val="00C15C8F"/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1"/>
    <w:rsid w:val="00C15C8F"/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BookTitle1">
    <w:name w:val="Book Title1"/>
    <w:basedOn w:val="TableNormal"/>
    <w:uiPriority w:val="60"/>
    <w:qFormat/>
    <w:rsid w:val="00C15C8F"/>
    <w:rPr>
      <w:rFonts w:ascii="Calibri" w:eastAsia="Calibri" w:hAnsi="Calibri" w:cs="Times New Roman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MediumList2-Accent21">
    <w:name w:val="Medium List 2 - Accent 21"/>
    <w:hidden/>
    <w:uiPriority w:val="99"/>
    <w:semiHidden/>
    <w:rsid w:val="00C15C8F"/>
    <w:rPr>
      <w:rFonts w:ascii="Calibri" w:eastAsia="Calibri" w:hAnsi="Calibri" w:cs="Times New Roman"/>
      <w:sz w:val="22"/>
      <w:szCs w:val="22"/>
    </w:rPr>
  </w:style>
  <w:style w:type="paragraph" w:customStyle="1" w:styleId="MediumGrid1-Accent21">
    <w:name w:val="Medium Grid 1 - Accent 21"/>
    <w:basedOn w:val="Normal"/>
    <w:uiPriority w:val="34"/>
    <w:qFormat/>
    <w:rsid w:val="00C15C8F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C15C8F"/>
    <w:pPr>
      <w:spacing w:after="0"/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C15C8F"/>
    <w:rPr>
      <w:lang w:val="en-US"/>
    </w:rPr>
  </w:style>
  <w:style w:type="paragraph" w:customStyle="1" w:styleId="ColorfulShading-Accent11">
    <w:name w:val="Colorful Shading - Accent 11"/>
    <w:hidden/>
    <w:rsid w:val="00C15C8F"/>
    <w:rPr>
      <w:rFonts w:ascii="Calibri" w:eastAsia="Calibri" w:hAnsi="Calibri" w:cs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15C8F"/>
    <w:pPr>
      <w:spacing w:line="276" w:lineRule="auto"/>
      <w:ind w:left="720"/>
      <w:contextualSpacing/>
      <w:jc w:val="both"/>
    </w:pPr>
    <w:rPr>
      <w:rFonts w:eastAsia="Times New Roman"/>
      <w:lang w:eastAsia="en-GB"/>
    </w:rPr>
  </w:style>
  <w:style w:type="paragraph" w:styleId="Revision">
    <w:name w:val="Revision"/>
    <w:hidden/>
    <w:rsid w:val="00C15C8F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rsid w:val="00C15C8F"/>
    <w:pPr>
      <w:ind w:left="720"/>
      <w:contextualSpacing/>
    </w:pPr>
  </w:style>
  <w:style w:type="paragraph" w:styleId="Footer">
    <w:name w:val="footer"/>
    <w:basedOn w:val="Normal"/>
    <w:link w:val="FooterChar"/>
    <w:rsid w:val="00C15C8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15C8F"/>
    <w:rPr>
      <w:rFonts w:ascii="Calibri" w:eastAsia="Calibri" w:hAnsi="Calibri" w:cs="Times New Roman"/>
      <w:sz w:val="22"/>
      <w:szCs w:val="22"/>
    </w:rPr>
  </w:style>
  <w:style w:type="character" w:styleId="PageNumber">
    <w:name w:val="page number"/>
    <w:basedOn w:val="DefaultParagraphFont"/>
    <w:rsid w:val="00C15C8F"/>
  </w:style>
  <w:style w:type="paragraph" w:customStyle="1" w:styleId="Default">
    <w:name w:val="Default"/>
    <w:rsid w:val="00C15C8F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540</Words>
  <Characters>3079</Characters>
  <Application>Microsoft Macintosh Word</Application>
  <DocSecurity>0</DocSecurity>
  <Lines>25</Lines>
  <Paragraphs>6</Paragraphs>
  <ScaleCrop>false</ScaleCrop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Sajeda</dc:creator>
  <cp:keywords/>
  <cp:lastModifiedBy>Sajeda</cp:lastModifiedBy>
  <cp:revision>4</cp:revision>
  <dcterms:created xsi:type="dcterms:W3CDTF">2016-09-13T08:26:00Z</dcterms:created>
  <dcterms:modified xsi:type="dcterms:W3CDTF">2016-09-13T09:31:00Z</dcterms:modified>
</cp:coreProperties>
</file>