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E2F" w:rsidRPr="00BF3C64" w:rsidRDefault="00F40E2F" w:rsidP="00F40E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40E2F">
        <w:rPr>
          <w:rFonts w:ascii="Times New Roman" w:hAnsi="Times New Roman" w:cs="Times New Roman"/>
          <w:b/>
        </w:rPr>
        <w:t>Appendix S1</w:t>
      </w:r>
      <w:r>
        <w:t xml:space="preserve">: </w:t>
      </w:r>
      <w:bookmarkStart w:id="0" w:name="_GoBack"/>
      <w:bookmarkEnd w:id="0"/>
      <w:r w:rsidRPr="00BF3C64">
        <w:rPr>
          <w:rFonts w:ascii="Times New Roman" w:hAnsi="Times New Roman" w:cs="Times New Roman"/>
          <w:b/>
        </w:rPr>
        <w:t>Differences in study centres with respect to sociodemographic and clinical variables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23"/>
        <w:gridCol w:w="1265"/>
        <w:gridCol w:w="1265"/>
        <w:gridCol w:w="1266"/>
        <w:gridCol w:w="1268"/>
        <w:gridCol w:w="1268"/>
        <w:gridCol w:w="861"/>
      </w:tblGrid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Variable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(Prevalence category)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A (n=43)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(Low Prev.)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B (n=73)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(High Prev.)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C (n=61)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(Low Prev.)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D (n=65)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(Med. Prev.)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E (n=64)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(Med. Prev.)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p-value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Group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In-centre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Home HD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39 (90.7%)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(9.3%)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38 (52.1%)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35 (47.9%)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50 (82.0%)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(18.0%)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43 (66.2%)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22 (33.8%)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43 (67.2%)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21 (32.8%)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Age</w:t>
            </w: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 – Mean (SD)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57.84 (15.71)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50.45 (13.32)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55.72 (12.63)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55.49 (13.68)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56.53 (14.59)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0.033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Ethnicity</w:t>
            </w: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 – Non-white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3/42 (7.1%)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(23.3%)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(4.9%)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(16.9%)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(4.7%)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0.002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Gender</w:t>
            </w: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 – Female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(39.5%)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24 (32.9%)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23 (37.7%)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16 (24.6%)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18 (28.1%)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0.39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Education 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Post-high school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12/42 (28.6%)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33/69 (47.8%)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1/54 (1.9%)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13/64 (20.3%)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18 (28.1%)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Employment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Retired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Unemployed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Salaried/self-employed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22 (51.2%)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(32.6%)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(16.3%)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 (36.6%)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25 (35.2%)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20 (28.2%)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19 (31.1%)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 (21.3%)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29 (47.5%)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 (40.6%)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28 (43.8%)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(15.6%)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35 (54.7%)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(26.6%)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(18.8%)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IMD rank 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Median (IQR)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18253 (7612-25548)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11062 (3233-23682)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19228 (9379-25517)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10630 (4161-18346)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11344 (5397-22670)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0.004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IMD – quintile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 (least deprived)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(most deprived)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(20.9%)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(27.9%)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(14.0%)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8 (18.6%)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8 (18.6%)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(19.2%)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(12.3%)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(13.7%)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(19.2%)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 (35.6%)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 (21.3%)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(27.9%)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(23.0%)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8 (13.1%)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(14.8%)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(9.2%)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(10.8%)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(21.5%)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16 (24.6%)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22 (33.8%)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(17.2%)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(14.1%)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(15.6%)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(21.9%)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20 (31.3%)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0.057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CCI 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Median (IQR)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5.0 (3.0-6.0)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4.0 (3.0-5.0)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4.0 (2.0-5.3)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4.0 (3.0-6.0)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4.0 (3.0-6.0)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0.49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Training centre dist.</w:t>
            </w: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 Median (IQR)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4.2 (3.6-13.4)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9.6 (6.4-13.1)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15.1 (7.5-26.0)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12.3 (7.6-15.6)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7.0 (4.9-15.1)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Partner employment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Retired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Unemployed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Salaried/self-employed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(63.2%)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 (5.3%)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(31.6%)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(29.8%)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(21.3%)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23 (48.9%)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15 (45.5%)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(9.1%)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15 (45.5%)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(51.5%)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(12.1%)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(36.4%)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21 (56.8%)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(13.5%)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(29.7%)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0.19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BMI  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Median (IQR)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24.9 (21.7-32.3)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26.1 (24.1-30.4)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26.8 (22.2-33.2)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26.6 (22.7-30.9)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27.0 (24.5-32.3)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0.72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F40E2F" w:rsidRPr="008C2AE9" w:rsidTr="009A0D8B">
        <w:trPr>
          <w:cantSplit/>
        </w:trPr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Accommodation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Home owner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Living with parents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Rental/friend/Res. home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29 (67.4%)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(9.3%)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(23.3%)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n=72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42 (58.3%)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8 (11.1%)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22 (30.6%)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n=58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50 (86.2%)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 (0%)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8 (13.8%)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36 (55.4%)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(9.2%)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23 (35.4%)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33 (51.6%)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(7.8%)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 (40.6%)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Marital status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Married or partner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Divorced or separated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Widowed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22 (51.2%)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(32.6%)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(7.0%)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(9.3%)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48 (65.8%)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(23.3%)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(5.5%)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(5.5%)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40 (65.6%)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 (21.3%)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(9.8%)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 (3.3%)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34 (52.3%)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(26.2%)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(13.8%)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(7.7%)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37 (57.8%)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(18.8%)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(15.6%)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(7.8%)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0.31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Childcare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&gt;18 </w:t>
            </w:r>
            <w:proofErr w:type="spellStart"/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yrs</w:t>
            </w:r>
            <w:proofErr w:type="spellEnd"/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; independent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&lt;18 / &gt;18yrs(dependent)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No children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 (61.9%)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(9.5%)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(28.6%)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28 (39.4%)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(19.7%)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29 (40.8%)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21 (38.2%)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(10.9%)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28 (50.9%)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30 (52.6%)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(21.1%)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15 (26.3%)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36 (58.1%)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(17.7%)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15 (24.2%)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0.027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Smoking status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Never smoked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Ex-smoker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Current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40 (93.0%)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 (2.3%)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 (4.7%)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43 (59.7%)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18 (25.0%)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(15.3%)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33 (57.9%)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19 (33.3%)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(8.8%)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28 (43.8%)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 (40.6%)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(15.6%)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31 (48.4%)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21 (32.8%)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(18.8%)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Mobility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Independent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Walking Aid/Limited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Wheelchair Bound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 (79.1%)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(16.3%)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 (4.7%)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65 (89.0%)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(6.8%)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(4.1%)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 (83.6%)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(9.8%)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(6.6%)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 (72.3%)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 (20.0%)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(7.7%)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 (65.6%)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16 (25.0%)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(9.4%)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0.010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Cause of ESRD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Hypertension 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Diabetic Nephropathy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Glomerulonephritis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Polycystic Kidneys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Renovascular Disease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Chronic Pyelonephritis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Unknown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(16.7%)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8 (19.0%)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(9.5%)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(21.4%)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 (2.4%)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(9.5%)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 (4.8%)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(16.7%)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(8.2%)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(16.4%)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(16.4%)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(19.2%)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 (0%)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(8.2%)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19 (26.0%)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(5.5%)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(8.2%)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(27.9%)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(27.9%)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(6.6%)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 (1.6%)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 (1.6%)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(14.8%)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(11.5%)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(9.2%)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(13.8%)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(6.2%)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(9.2%)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 (3.1%)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(10.8%)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13 (20.0%)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18 (27.7%)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 (0%)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(17.2%)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(18.8%)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 (14.1%)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(7.8%)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(4.7%)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(18.8%)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12 (18.8%)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HD vintage (in years)</w:t>
            </w: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 Median (IQR)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2.28 (0.96-4.03)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2.35 (0.97-5.10)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1.62 (0.52-4.58)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1.62 (0.84-4.45)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3.43 (1.94-5.69)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0.025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Previous PD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(23.3%)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24 (32.9%)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 (27.9%)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15 (23.1%)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26 (40.6%)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Previous Transplant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9/42 (21.4%)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19 (26.0%)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23 (37.7%)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(21.5%)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19 (29.7%)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0.25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Vision 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Blind or poor vision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11/42 (26.2%)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(8.2%)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(18.0%)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10/64 (15.6%)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9/63 (14.3%)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0.14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Diabetes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11/42 (26.2%)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18 (24.7%)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16 (26.2%)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18/63 (28.6%)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 (21.9%)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0.94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Heart failure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 (4.7%)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5 (6.8%)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 (0%)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(4.6%)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(6.3%)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N/A***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Solid organ malignancy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4 (9.3%)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(13.7%)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(4.9%)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11 (16.9%)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(10.9%)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Intra cranial events </w:t>
            </w:r>
          </w:p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(stroke, TIA or bleed)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7 (16.3%)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6 (8.2%)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 (3.3%)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 (15.4%)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3 (4.7%)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0.044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F40E2F" w:rsidRPr="008C2AE9" w:rsidTr="009A0D8B">
        <w:tc>
          <w:tcPr>
            <w:tcW w:w="1018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b/>
                <w:sz w:val="18"/>
                <w:szCs w:val="18"/>
              </w:rPr>
              <w:t>Caregiver –</w:t>
            </w: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 xml:space="preserve"> alone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14/42 (33.3%)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16 (21.9%)</w:t>
            </w:r>
          </w:p>
        </w:tc>
        <w:tc>
          <w:tcPr>
            <w:tcW w:w="709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17/56 (30.4%)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10/60 (16.7%)</w:t>
            </w:r>
          </w:p>
        </w:tc>
        <w:tc>
          <w:tcPr>
            <w:tcW w:w="710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23 (35.9%)</w:t>
            </w:r>
          </w:p>
        </w:tc>
        <w:tc>
          <w:tcPr>
            <w:tcW w:w="436" w:type="pct"/>
            <w:vAlign w:val="center"/>
          </w:tcPr>
          <w:p w:rsidR="00F40E2F" w:rsidRPr="008C2AE9" w:rsidRDefault="00F40E2F" w:rsidP="009A0D8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AE9">
              <w:rPr>
                <w:rFonts w:ascii="Times New Roman" w:hAnsi="Times New Roman" w:cs="Times New Roman"/>
                <w:sz w:val="18"/>
                <w:szCs w:val="18"/>
              </w:rPr>
              <w:t>0.093</w:t>
            </w:r>
            <w:r w:rsidRPr="008C2AE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</w:tbl>
    <w:p w:rsidR="00F40E2F" w:rsidRPr="008C2AE9" w:rsidRDefault="00F40E2F" w:rsidP="00F40E2F">
      <w:pPr>
        <w:tabs>
          <w:tab w:val="left" w:pos="1232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8C2AE9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8C2AE9">
        <w:rPr>
          <w:rFonts w:ascii="Times New Roman" w:hAnsi="Times New Roman" w:cs="Times New Roman"/>
          <w:sz w:val="18"/>
          <w:szCs w:val="18"/>
        </w:rPr>
        <w:t>Chi-squared test</w:t>
      </w:r>
      <w:r w:rsidRPr="008C2AE9">
        <w:rPr>
          <w:rFonts w:ascii="Times New Roman" w:hAnsi="Times New Roman" w:cs="Times New Roman"/>
          <w:sz w:val="18"/>
          <w:szCs w:val="18"/>
        </w:rPr>
        <w:tab/>
      </w:r>
      <w:r w:rsidRPr="008C2AE9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8C2AE9">
        <w:rPr>
          <w:rFonts w:ascii="Times New Roman" w:hAnsi="Times New Roman" w:cs="Times New Roman"/>
          <w:sz w:val="18"/>
          <w:szCs w:val="18"/>
        </w:rPr>
        <w:t>One-way ANOVA</w:t>
      </w:r>
      <w:r w:rsidRPr="008C2AE9">
        <w:rPr>
          <w:rFonts w:ascii="Times New Roman" w:hAnsi="Times New Roman" w:cs="Times New Roman"/>
          <w:sz w:val="18"/>
          <w:szCs w:val="18"/>
        </w:rPr>
        <w:tab/>
      </w:r>
      <w:r w:rsidRPr="008C2AE9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8C2AE9">
        <w:rPr>
          <w:rFonts w:ascii="Times New Roman" w:hAnsi="Times New Roman" w:cs="Times New Roman"/>
          <w:sz w:val="18"/>
          <w:szCs w:val="18"/>
        </w:rPr>
        <w:t>Kruskal-Wallis test</w:t>
      </w:r>
    </w:p>
    <w:p w:rsidR="00F40E2F" w:rsidRPr="008C2AE9" w:rsidRDefault="00F40E2F" w:rsidP="00F40E2F">
      <w:pPr>
        <w:tabs>
          <w:tab w:val="left" w:pos="1232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8C2AE9">
        <w:rPr>
          <w:rFonts w:ascii="Times New Roman" w:hAnsi="Times New Roman" w:cs="Times New Roman"/>
          <w:sz w:val="18"/>
          <w:szCs w:val="18"/>
        </w:rPr>
        <w:t>*As married or partner vs other three groups due to small expected frequencies</w:t>
      </w:r>
    </w:p>
    <w:p w:rsidR="00F40E2F" w:rsidRPr="008C2AE9" w:rsidRDefault="00F40E2F" w:rsidP="00F40E2F">
      <w:pPr>
        <w:tabs>
          <w:tab w:val="left" w:pos="1232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8C2AE9">
        <w:rPr>
          <w:rFonts w:ascii="Times New Roman" w:hAnsi="Times New Roman" w:cs="Times New Roman"/>
          <w:sz w:val="18"/>
          <w:szCs w:val="18"/>
        </w:rPr>
        <w:t>**As independent vs other two groups due to small expected frequencies</w:t>
      </w:r>
    </w:p>
    <w:p w:rsidR="00F40E2F" w:rsidRPr="008C2AE9" w:rsidRDefault="00F40E2F" w:rsidP="00F40E2F">
      <w:pPr>
        <w:tabs>
          <w:tab w:val="left" w:pos="1232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8C2AE9">
        <w:rPr>
          <w:rFonts w:ascii="Times New Roman" w:hAnsi="Times New Roman" w:cs="Times New Roman"/>
          <w:sz w:val="18"/>
          <w:szCs w:val="18"/>
        </w:rPr>
        <w:t>***Too few numbers to assess formally (p&gt;0.05 from chi-squared test where assumptions about expected frequencies are broken)</w:t>
      </w:r>
    </w:p>
    <w:p w:rsidR="00F40E2F" w:rsidRPr="00BF3C64" w:rsidRDefault="00F40E2F" w:rsidP="00F40E2F">
      <w:pPr>
        <w:tabs>
          <w:tab w:val="left" w:pos="1232"/>
        </w:tabs>
        <w:spacing w:line="360" w:lineRule="auto"/>
        <w:rPr>
          <w:rFonts w:ascii="Times New Roman" w:hAnsi="Times New Roman" w:cs="Times New Roman"/>
        </w:rPr>
      </w:pPr>
    </w:p>
    <w:p w:rsidR="00DE61EA" w:rsidRDefault="00F40E2F"/>
    <w:sectPr w:rsidR="00DE61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E2F"/>
    <w:rsid w:val="008E33E2"/>
    <w:rsid w:val="00D31540"/>
    <w:rsid w:val="00F4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A0D8C"/>
  <w15:chartTrackingRefBased/>
  <w15:docId w15:val="{5226196D-C9BD-4DF3-B051-2869E361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40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731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Anuradha Jayanti</dc:creator>
  <cp:keywords/>
  <dc:description/>
  <cp:lastModifiedBy>Anuradha Jayanti</cp:lastModifiedBy>
  <cp:revision>1</cp:revision>
  <dcterms:created xsi:type="dcterms:W3CDTF">2016-06-04T15:54:00Z</dcterms:created>
  <dcterms:modified xsi:type="dcterms:W3CDTF">2016-06-04T15:55:00Z</dcterms:modified>
</cp:coreProperties>
</file>