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F1" w:rsidRDefault="00D607F1" w:rsidP="00D607F1">
      <w:pPr>
        <w:ind w:right="-23"/>
        <w:rPr>
          <w:rFonts w:asciiTheme="majorHAnsi" w:hAnsiTheme="majorHAnsi"/>
          <w:color w:val="auto"/>
          <w:sz w:val="24"/>
          <w:szCs w:val="24"/>
        </w:rPr>
      </w:pPr>
      <w:proofErr w:type="gramStart"/>
      <w:r>
        <w:rPr>
          <w:rFonts w:asciiTheme="majorHAnsi" w:hAnsiTheme="majorHAnsi"/>
          <w:b/>
          <w:color w:val="auto"/>
          <w:sz w:val="24"/>
          <w:szCs w:val="24"/>
        </w:rPr>
        <w:t xml:space="preserve">S2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Table.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Distant Matrix calculated based on Kimura-2-Parameter,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spellStart"/>
      <w:r w:rsidRPr="005945C2">
        <w:rPr>
          <w:rFonts w:asciiTheme="majorHAnsi" w:hAnsiTheme="majorHAnsi"/>
          <w:color w:val="auto"/>
          <w:sz w:val="24"/>
          <w:szCs w:val="24"/>
        </w:rPr>
        <w:t>Fd</w:t>
      </w:r>
      <w:proofErr w:type="spellEnd"/>
      <w:r w:rsidRPr="005945C2">
        <w:rPr>
          <w:rFonts w:asciiTheme="majorHAnsi" w:hAnsiTheme="majorHAnsi"/>
          <w:color w:val="auto"/>
          <w:sz w:val="24"/>
          <w:szCs w:val="24"/>
        </w:rPr>
        <w:t xml:space="preserve">_ KF408292,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2.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Fd_KF680944,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3.</w:t>
      </w:r>
      <w:proofErr w:type="gramEnd"/>
      <w:r w:rsidRPr="005945C2">
        <w:rPr>
          <w:rFonts w:asciiTheme="majorHAnsi" w:hAnsiTheme="majorHAnsi"/>
          <w:b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Fd_KF408293,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4.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Fd_KF408291,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5.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Fd_HM628904,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6.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Ft_ GQ285125,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7.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Ft_KF680943,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8.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Ft_ FTPI481672,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 xml:space="preserve"> 9.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Ft_KF286897,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10.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Ft_ KF286898,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11.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Ft_ KF286899,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12.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Ft_KF386900,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13.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Ft_KF286896,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14.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Ft_KF286895,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15.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Fe_KC792586,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16.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Fe_KC792587,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17.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Fe_KC792585,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18.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Fe_KC792583,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19.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Fe_KC792584.</w:t>
      </w:r>
    </w:p>
    <w:p w:rsidR="00D607F1" w:rsidRDefault="00D607F1" w:rsidP="00D607F1">
      <w:pPr>
        <w:ind w:left="-1134" w:right="-23"/>
        <w:rPr>
          <w:rFonts w:asciiTheme="majorHAnsi" w:hAnsiTheme="majorHAnsi"/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center" w:tblpY="201"/>
        <w:tblW w:w="11712" w:type="dxa"/>
        <w:tblLook w:val="04A0" w:firstRow="1" w:lastRow="0" w:firstColumn="1" w:lastColumn="0" w:noHBand="0" w:noVBand="1"/>
      </w:tblPr>
      <w:tblGrid>
        <w:gridCol w:w="477"/>
        <w:gridCol w:w="615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E541EF" w:rsidRPr="00C6149A" w:rsidTr="00D607F1">
        <w:trPr>
          <w:trHeight w:val="264"/>
        </w:trPr>
        <w:tc>
          <w:tcPr>
            <w:tcW w:w="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19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0.02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0.16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0.00</w:t>
            </w:r>
          </w:p>
        </w:tc>
      </w:tr>
      <w:tr w:rsidR="00E541EF" w:rsidRPr="00C6149A" w:rsidTr="00D607F1">
        <w:trPr>
          <w:trHeight w:val="264"/>
        </w:trPr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0.16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0.16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0.16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0.16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jc w:val="right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  <w:r w:rsidRPr="005945C2"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  <w:t>0.01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1EF" w:rsidRPr="005945C2" w:rsidRDefault="00E541EF" w:rsidP="00A11CEE">
            <w:pPr>
              <w:spacing w:after="0" w:line="240" w:lineRule="auto"/>
              <w:rPr>
                <w:rFonts w:asciiTheme="majorHAnsi" w:eastAsia="Times New Roman" w:hAnsiTheme="majorHAnsi"/>
                <w:color w:val="auto"/>
                <w:sz w:val="20"/>
                <w:szCs w:val="20"/>
                <w:lang w:eastAsia="en-GB"/>
              </w:rPr>
            </w:pPr>
          </w:p>
        </w:tc>
      </w:tr>
    </w:tbl>
    <w:p w:rsidR="00E541EF" w:rsidRPr="005945C2" w:rsidRDefault="00E541EF" w:rsidP="00E541EF">
      <w:pPr>
        <w:jc w:val="both"/>
        <w:rPr>
          <w:rFonts w:asciiTheme="majorHAnsi" w:hAnsiTheme="majorHAnsi"/>
          <w:color w:val="auto"/>
          <w:sz w:val="24"/>
          <w:szCs w:val="24"/>
        </w:rPr>
      </w:pPr>
      <w:bookmarkStart w:id="0" w:name="_GoBack"/>
      <w:bookmarkEnd w:id="0"/>
    </w:p>
    <w:sectPr w:rsidR="00E541EF" w:rsidRPr="005945C2" w:rsidSect="005945C2">
      <w:headerReference w:type="default" r:id="rId8"/>
      <w:pgSz w:w="12240" w:h="15840"/>
      <w:pgMar w:top="1440" w:right="1608" w:bottom="1440" w:left="1440" w:header="0" w:footer="0" w:gutter="0"/>
      <w:lnNumType w:countBy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28" w:rsidRDefault="007B4028">
      <w:pPr>
        <w:spacing w:after="0" w:line="240" w:lineRule="auto"/>
      </w:pPr>
      <w:r>
        <w:separator/>
      </w:r>
    </w:p>
  </w:endnote>
  <w:endnote w:type="continuationSeparator" w:id="0">
    <w:p w:rsidR="007B4028" w:rsidRDefault="007B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28" w:rsidRDefault="007B4028">
      <w:pPr>
        <w:spacing w:after="0" w:line="240" w:lineRule="auto"/>
      </w:pPr>
      <w:r>
        <w:separator/>
      </w:r>
    </w:p>
  </w:footnote>
  <w:footnote w:type="continuationSeparator" w:id="0">
    <w:p w:rsidR="007B4028" w:rsidRDefault="007B4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D0" w:rsidRDefault="007B4028">
    <w:pPr>
      <w:pStyle w:val="Header"/>
    </w:pPr>
  </w:p>
  <w:p w:rsidR="00423DD0" w:rsidRDefault="007B40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362A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8C6842"/>
    <w:multiLevelType w:val="hybridMultilevel"/>
    <w:tmpl w:val="DD743EB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181B13"/>
    <w:multiLevelType w:val="hybridMultilevel"/>
    <w:tmpl w:val="C958EE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F1140"/>
    <w:multiLevelType w:val="multilevel"/>
    <w:tmpl w:val="D3808F86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2C914A8"/>
    <w:multiLevelType w:val="hybridMultilevel"/>
    <w:tmpl w:val="6430F2FE"/>
    <w:lvl w:ilvl="0" w:tplc="833888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725E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4AA0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D8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B24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CAD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1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87F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B88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C83B5C"/>
    <w:multiLevelType w:val="multilevel"/>
    <w:tmpl w:val="031CC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18222D"/>
    <w:multiLevelType w:val="hybridMultilevel"/>
    <w:tmpl w:val="9142082C"/>
    <w:lvl w:ilvl="0" w:tplc="DB98DB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1C9E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44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2C3B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4049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60E6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BA0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422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4A5D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C35F91"/>
    <w:multiLevelType w:val="hybridMultilevel"/>
    <w:tmpl w:val="EAFC8E52"/>
    <w:lvl w:ilvl="0" w:tplc="7C36C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06B1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1E36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70DE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6B4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0CAD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80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872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AA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104B3F"/>
    <w:multiLevelType w:val="hybridMultilevel"/>
    <w:tmpl w:val="07165594"/>
    <w:lvl w:ilvl="0" w:tplc="8E72152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4E2B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87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246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DC1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4C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5C5A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10C3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46B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A27754"/>
    <w:multiLevelType w:val="multilevel"/>
    <w:tmpl w:val="59463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8729BA"/>
    <w:multiLevelType w:val="multilevel"/>
    <w:tmpl w:val="F8C6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9E2F4F"/>
    <w:multiLevelType w:val="multilevel"/>
    <w:tmpl w:val="FAE6F16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F1F2B"/>
    <w:multiLevelType w:val="hybridMultilevel"/>
    <w:tmpl w:val="6A76AB06"/>
    <w:lvl w:ilvl="0" w:tplc="A29E31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82B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C6EC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6B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52C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10D8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3CC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A0A8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A298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59784A"/>
    <w:multiLevelType w:val="hybridMultilevel"/>
    <w:tmpl w:val="F17CD4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10"/>
  </w:num>
  <w:num w:numId="10">
    <w:abstractNumId w:val="13"/>
  </w:num>
  <w:num w:numId="11">
    <w:abstractNumId w:val="4"/>
  </w:num>
  <w:num w:numId="12">
    <w:abstractNumId w:val="6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EF"/>
    <w:rsid w:val="0021644B"/>
    <w:rsid w:val="00296FF4"/>
    <w:rsid w:val="004423F7"/>
    <w:rsid w:val="0060413D"/>
    <w:rsid w:val="00641AAF"/>
    <w:rsid w:val="007B4028"/>
    <w:rsid w:val="00A700C2"/>
    <w:rsid w:val="00AE1F9C"/>
    <w:rsid w:val="00B00CF9"/>
    <w:rsid w:val="00BA13BC"/>
    <w:rsid w:val="00BC7A8D"/>
    <w:rsid w:val="00BC7D7F"/>
    <w:rsid w:val="00CE79E4"/>
    <w:rsid w:val="00D50BE6"/>
    <w:rsid w:val="00D607F1"/>
    <w:rsid w:val="00E541EF"/>
    <w:rsid w:val="00F25407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Vikram, Prashant (CIMMYT)</dc:creator>
  <cp:lastModifiedBy>Vikram, Prashant (CIMMYT)</cp:lastModifiedBy>
  <cp:revision>2</cp:revision>
  <dcterms:created xsi:type="dcterms:W3CDTF">2015-11-29T00:12:00Z</dcterms:created>
  <dcterms:modified xsi:type="dcterms:W3CDTF">2015-11-29T00:20:00Z</dcterms:modified>
</cp:coreProperties>
</file>