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53B" w:rsidRPr="00DA4F96" w:rsidRDefault="0027553B" w:rsidP="00A1566E">
      <w:pPr>
        <w:spacing w:after="120" w:line="240" w:lineRule="auto"/>
        <w:outlineLvl w:val="0"/>
        <w:rPr>
          <w:rFonts w:eastAsia="Calibri"/>
          <w:b/>
          <w:lang w:val="en-US"/>
        </w:rPr>
      </w:pPr>
      <w:bookmarkStart w:id="0" w:name="_GoBack"/>
      <w:bookmarkEnd w:id="0"/>
      <w:r w:rsidRPr="00DA4F96">
        <w:rPr>
          <w:rFonts w:eastAsia="Calibri"/>
          <w:b/>
          <w:lang w:val="en-US"/>
        </w:rPr>
        <w:t xml:space="preserve">Supplemental Information – Genotoxicity </w:t>
      </w:r>
      <w:r w:rsidR="00405BB4">
        <w:rPr>
          <w:rFonts w:eastAsia="Calibri"/>
          <w:b/>
          <w:lang w:val="en-US"/>
        </w:rPr>
        <w:t xml:space="preserve">Expert </w:t>
      </w:r>
      <w:r w:rsidRPr="00DA4F96">
        <w:rPr>
          <w:rFonts w:eastAsia="Calibri"/>
          <w:b/>
          <w:lang w:val="en-US"/>
        </w:rPr>
        <w:t>Panel Review</w:t>
      </w:r>
    </w:p>
    <w:p w:rsidR="0027553B" w:rsidRPr="00DA4F96" w:rsidRDefault="0027553B" w:rsidP="00A1566E">
      <w:pPr>
        <w:spacing w:after="120" w:line="240" w:lineRule="auto"/>
        <w:outlineLvl w:val="0"/>
        <w:rPr>
          <w:rFonts w:eastAsia="Calibri"/>
          <w:b/>
          <w:lang w:val="en-US"/>
        </w:rPr>
      </w:pPr>
      <w:r w:rsidRPr="00DA4F96">
        <w:rPr>
          <w:rFonts w:eastAsia="Calibri"/>
          <w:b/>
          <w:lang w:val="en-US"/>
        </w:rPr>
        <w:t>Appendix A</w:t>
      </w:r>
    </w:p>
    <w:p w:rsidR="0027553B" w:rsidRPr="00DA4F96" w:rsidRDefault="0027553B" w:rsidP="00A1566E">
      <w:pPr>
        <w:spacing w:after="120" w:line="240" w:lineRule="auto"/>
        <w:outlineLvl w:val="0"/>
        <w:rPr>
          <w:rFonts w:eastAsia="Calibri"/>
          <w:b/>
          <w:lang w:val="en-US"/>
        </w:rPr>
      </w:pPr>
      <w:r w:rsidRPr="00DA4F96">
        <w:rPr>
          <w:rFonts w:eastAsia="Calibri"/>
          <w:b/>
          <w:lang w:val="en-US"/>
        </w:rPr>
        <w:t xml:space="preserve">Summary </w:t>
      </w:r>
      <w:r w:rsidR="00A1566E" w:rsidRPr="00DA4F96">
        <w:rPr>
          <w:rFonts w:eastAsia="Calibri"/>
          <w:b/>
          <w:lang w:val="en-US"/>
        </w:rPr>
        <w:t>tables of studies included</w:t>
      </w:r>
      <w:r w:rsidRPr="00DA4F96">
        <w:rPr>
          <w:rFonts w:eastAsia="Calibri"/>
          <w:b/>
          <w:lang w:val="en-US"/>
        </w:rPr>
        <w:t xml:space="preserve"> in Williams et al. (2000) or Kier and Kirkland (2013) </w:t>
      </w:r>
      <w:r w:rsidR="00A1566E" w:rsidRPr="00DA4F96">
        <w:rPr>
          <w:rFonts w:eastAsia="Calibri"/>
          <w:b/>
          <w:lang w:val="en-US"/>
        </w:rPr>
        <w:t xml:space="preserve">but not included </w:t>
      </w:r>
      <w:r w:rsidRPr="00DA4F96">
        <w:rPr>
          <w:rFonts w:eastAsia="Calibri"/>
          <w:b/>
          <w:lang w:val="en-US"/>
        </w:rPr>
        <w:t xml:space="preserve">in </w:t>
      </w:r>
      <w:r w:rsidR="005E54DC" w:rsidRPr="00DA4F96">
        <w:rPr>
          <w:rFonts w:eastAsia="Calibri"/>
          <w:b/>
          <w:lang w:val="en-US"/>
        </w:rPr>
        <w:t xml:space="preserve">the </w:t>
      </w:r>
      <w:r w:rsidRPr="00DA4F96">
        <w:rPr>
          <w:rFonts w:eastAsia="Calibri"/>
          <w:b/>
          <w:lang w:val="en-US"/>
        </w:rPr>
        <w:t>IARC Monograph</w:t>
      </w:r>
    </w:p>
    <w:p w:rsidR="0027553B" w:rsidRPr="00DA4F96" w:rsidRDefault="0027553B" w:rsidP="00A1566E">
      <w:pPr>
        <w:spacing w:after="120" w:afterAutospacing="0" w:line="240" w:lineRule="auto"/>
        <w:outlineLvl w:val="0"/>
        <w:rPr>
          <w:rFonts w:eastAsia="Calibri"/>
          <w:sz w:val="20"/>
          <w:lang w:val="en-US"/>
        </w:rPr>
      </w:pPr>
      <w:bookmarkStart w:id="1" w:name="_Toc437976022"/>
      <w:bookmarkStart w:id="2" w:name="_Toc438064018"/>
      <w:r w:rsidRPr="00DA4F96">
        <w:rPr>
          <w:rFonts w:eastAsia="Calibri"/>
          <w:sz w:val="20"/>
          <w:lang w:val="en-US"/>
        </w:rPr>
        <w:t>Table 1.</w:t>
      </w:r>
      <w:bookmarkEnd w:id="1"/>
      <w:bookmarkEnd w:id="2"/>
      <w:r w:rsidRPr="00DA4F96">
        <w:rPr>
          <w:rFonts w:eastAsia="Calibri"/>
          <w:sz w:val="20"/>
          <w:lang w:val="en-US"/>
        </w:rPr>
        <w:t xml:space="preserve">  Bacterial </w:t>
      </w:r>
      <w:r w:rsidR="00A1566E" w:rsidRPr="00DA4F96">
        <w:rPr>
          <w:rFonts w:eastAsia="Calibri"/>
          <w:sz w:val="20"/>
          <w:lang w:val="en-US"/>
        </w:rPr>
        <w:t>r</w:t>
      </w:r>
      <w:r w:rsidRPr="00DA4F96">
        <w:rPr>
          <w:rFonts w:eastAsia="Calibri"/>
          <w:sz w:val="20"/>
          <w:lang w:val="en-US"/>
        </w:rPr>
        <w:t xml:space="preserve">everse </w:t>
      </w:r>
      <w:r w:rsidR="00A1566E" w:rsidRPr="00DA4F96">
        <w:rPr>
          <w:rFonts w:eastAsia="Calibri"/>
          <w:sz w:val="20"/>
          <w:lang w:val="en-US"/>
        </w:rPr>
        <w:t>m</w:t>
      </w:r>
      <w:r w:rsidRPr="00DA4F96">
        <w:rPr>
          <w:rFonts w:eastAsia="Calibri"/>
          <w:sz w:val="20"/>
          <w:lang w:val="en-US"/>
        </w:rPr>
        <w:t>utation</w:t>
      </w:r>
    </w:p>
    <w:tbl>
      <w:tblPr>
        <w:tblStyle w:val="TableGrid411"/>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9"/>
        <w:gridCol w:w="1416"/>
        <w:gridCol w:w="808"/>
        <w:gridCol w:w="788"/>
        <w:gridCol w:w="988"/>
        <w:gridCol w:w="3031"/>
      </w:tblGrid>
      <w:tr w:rsidR="00C275D9" w:rsidRPr="00DA4F96" w:rsidTr="006A6A90">
        <w:trPr>
          <w:cantSplit/>
          <w:tblHeader/>
        </w:trPr>
        <w:tc>
          <w:tcPr>
            <w:tcW w:w="2559" w:type="dxa"/>
            <w:tcBorders>
              <w:bottom w:val="nil"/>
            </w:tcBorders>
            <w:tcMar>
              <w:top w:w="43" w:type="dxa"/>
              <w:left w:w="115" w:type="dxa"/>
              <w:bottom w:w="43" w:type="dxa"/>
              <w:right w:w="115" w:type="dxa"/>
            </w:tcMar>
          </w:tcPr>
          <w:p w:rsidR="00C275D9" w:rsidRPr="00DA4F96" w:rsidRDefault="00C275D9" w:rsidP="006A6A90">
            <w:pPr>
              <w:spacing w:after="0" w:afterAutospacing="0" w:line="240" w:lineRule="auto"/>
              <w:rPr>
                <w:rFonts w:cs="Arial"/>
                <w:sz w:val="18"/>
                <w:szCs w:val="18"/>
                <w:lang w:val="en-US"/>
              </w:rPr>
            </w:pPr>
            <w:r w:rsidRPr="00DA4F96">
              <w:rPr>
                <w:rFonts w:cs="Arial"/>
                <w:sz w:val="18"/>
                <w:szCs w:val="18"/>
                <w:lang w:val="en-US"/>
              </w:rPr>
              <w:t xml:space="preserve">Test </w:t>
            </w:r>
            <w:r w:rsidR="006A6A90" w:rsidRPr="00DA4F96">
              <w:rPr>
                <w:rFonts w:cs="Arial"/>
                <w:sz w:val="18"/>
                <w:szCs w:val="18"/>
                <w:lang w:val="en-US"/>
              </w:rPr>
              <w:t>s</w:t>
            </w:r>
            <w:r w:rsidRPr="00DA4F96">
              <w:rPr>
                <w:rFonts w:cs="Arial"/>
                <w:sz w:val="18"/>
                <w:szCs w:val="18"/>
                <w:lang w:val="en-US"/>
              </w:rPr>
              <w:t>ystem</w:t>
            </w:r>
            <w:r w:rsidRPr="00DA4F96">
              <w:rPr>
                <w:rFonts w:cs="Arial"/>
                <w:sz w:val="18"/>
                <w:szCs w:val="18"/>
                <w:vertAlign w:val="superscript"/>
                <w:lang w:val="en-US"/>
              </w:rPr>
              <w:t>a</w:t>
            </w:r>
          </w:p>
        </w:tc>
        <w:tc>
          <w:tcPr>
            <w:tcW w:w="1416" w:type="dxa"/>
            <w:tcBorders>
              <w:bottom w:val="nil"/>
            </w:tcBorders>
            <w:tcMar>
              <w:top w:w="43" w:type="dxa"/>
              <w:left w:w="115" w:type="dxa"/>
              <w:bottom w:w="43" w:type="dxa"/>
              <w:right w:w="115" w:type="dxa"/>
            </w:tcMar>
          </w:tcPr>
          <w:p w:rsidR="00C275D9" w:rsidRPr="00DA4F96" w:rsidRDefault="00C275D9" w:rsidP="006A6A90">
            <w:pPr>
              <w:spacing w:after="0" w:afterAutospacing="0" w:line="240" w:lineRule="auto"/>
              <w:rPr>
                <w:rFonts w:cs="Arial"/>
                <w:sz w:val="18"/>
                <w:szCs w:val="18"/>
                <w:lang w:val="en-US"/>
              </w:rPr>
            </w:pPr>
            <w:r w:rsidRPr="00DA4F96">
              <w:rPr>
                <w:rFonts w:cs="Arial"/>
                <w:sz w:val="18"/>
                <w:szCs w:val="18"/>
                <w:lang w:val="en-US"/>
              </w:rPr>
              <w:t xml:space="preserve">High </w:t>
            </w:r>
            <w:r w:rsidR="006A6A90" w:rsidRPr="00DA4F96">
              <w:rPr>
                <w:rFonts w:cs="Arial"/>
                <w:sz w:val="18"/>
                <w:szCs w:val="18"/>
                <w:lang w:val="en-US"/>
              </w:rPr>
              <w:t>d</w:t>
            </w:r>
            <w:r w:rsidRPr="00DA4F96">
              <w:rPr>
                <w:rFonts w:cs="Arial"/>
                <w:sz w:val="18"/>
                <w:szCs w:val="18"/>
                <w:lang w:val="en-US"/>
              </w:rPr>
              <w:t>ose</w:t>
            </w:r>
            <w:r w:rsidRPr="00DA4F96">
              <w:rPr>
                <w:rFonts w:cs="Arial"/>
                <w:sz w:val="18"/>
                <w:szCs w:val="18"/>
                <w:vertAlign w:val="superscript"/>
                <w:lang w:val="en-US"/>
              </w:rPr>
              <w:t>b</w:t>
            </w:r>
            <w:r w:rsidR="00A1566E" w:rsidRPr="00DA4F96">
              <w:rPr>
                <w:rFonts w:cs="Arial"/>
                <w:sz w:val="18"/>
                <w:szCs w:val="18"/>
                <w:vertAlign w:val="superscript"/>
                <w:lang w:val="en-US"/>
              </w:rPr>
              <w:t xml:space="preserve"> </w:t>
            </w:r>
            <w:r w:rsidR="00A1566E" w:rsidRPr="00DA4F96">
              <w:rPr>
                <w:rFonts w:cs="Arial"/>
                <w:sz w:val="18"/>
                <w:szCs w:val="18"/>
                <w:lang w:val="en-US"/>
              </w:rPr>
              <w:t>(µg/plate)</w:t>
            </w:r>
          </w:p>
        </w:tc>
        <w:tc>
          <w:tcPr>
            <w:tcW w:w="808" w:type="dxa"/>
            <w:tcBorders>
              <w:bottom w:val="nil"/>
            </w:tcBorders>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Max</w:t>
            </w:r>
            <w:r w:rsidRPr="00DA4F96">
              <w:rPr>
                <w:rFonts w:cs="Arial"/>
                <w:sz w:val="18"/>
                <w:szCs w:val="18"/>
                <w:vertAlign w:val="superscript"/>
                <w:lang w:val="en-US"/>
              </w:rPr>
              <w:t>c</w:t>
            </w:r>
          </w:p>
        </w:tc>
        <w:tc>
          <w:tcPr>
            <w:tcW w:w="788" w:type="dxa"/>
            <w:tcBorders>
              <w:bottom w:val="nil"/>
            </w:tcBorders>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Stat</w:t>
            </w:r>
            <w:r w:rsidRPr="00DA4F96">
              <w:rPr>
                <w:rFonts w:cs="Arial"/>
                <w:sz w:val="18"/>
                <w:szCs w:val="18"/>
                <w:vertAlign w:val="superscript"/>
                <w:lang w:val="en-US"/>
              </w:rPr>
              <w:t>d</w:t>
            </w:r>
          </w:p>
        </w:tc>
        <w:tc>
          <w:tcPr>
            <w:tcW w:w="988" w:type="dxa"/>
            <w:tcBorders>
              <w:bottom w:val="nil"/>
            </w:tcBorders>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Result</w:t>
            </w:r>
            <w:r w:rsidRPr="00DA4F96">
              <w:rPr>
                <w:rFonts w:cs="Arial"/>
                <w:sz w:val="18"/>
                <w:szCs w:val="18"/>
                <w:vertAlign w:val="superscript"/>
                <w:lang w:val="en-US"/>
              </w:rPr>
              <w:t>e</w:t>
            </w:r>
          </w:p>
        </w:tc>
        <w:tc>
          <w:tcPr>
            <w:tcW w:w="3031" w:type="dxa"/>
            <w:tcBorders>
              <w:bottom w:val="nil"/>
            </w:tcBorders>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Ref</w:t>
            </w:r>
            <w:r w:rsidRPr="00DA4F96">
              <w:rPr>
                <w:rFonts w:cs="Arial"/>
                <w:sz w:val="18"/>
                <w:szCs w:val="18"/>
                <w:vertAlign w:val="superscript"/>
                <w:lang w:val="en-US"/>
              </w:rPr>
              <w:t>f</w:t>
            </w:r>
          </w:p>
        </w:tc>
      </w:tr>
      <w:tr w:rsidR="00C275D9" w:rsidRPr="00DA4F96" w:rsidTr="00A1566E">
        <w:trPr>
          <w:cantSplit/>
        </w:trPr>
        <w:tc>
          <w:tcPr>
            <w:tcW w:w="2559" w:type="dxa"/>
            <w:tcBorders>
              <w:top w:val="single" w:sz="4" w:space="0" w:color="auto"/>
            </w:tcBorders>
            <w:tcMar>
              <w:top w:w="43" w:type="dxa"/>
              <w:left w:w="115" w:type="dxa"/>
              <w:bottom w:w="43" w:type="dxa"/>
              <w:right w:w="115" w:type="dxa"/>
            </w:tcMar>
          </w:tcPr>
          <w:p w:rsidR="00C275D9" w:rsidRPr="00DA4F96" w:rsidRDefault="00C275D9" w:rsidP="00A1566E">
            <w:pPr>
              <w:spacing w:after="0" w:afterAutospacing="0" w:line="240" w:lineRule="auto"/>
              <w:rPr>
                <w:rFonts w:cs="Arial"/>
                <w:b/>
                <w:sz w:val="18"/>
                <w:szCs w:val="18"/>
                <w:lang w:val="en-US"/>
              </w:rPr>
            </w:pPr>
            <w:r w:rsidRPr="00DA4F96">
              <w:rPr>
                <w:rFonts w:cs="Arial"/>
                <w:b/>
                <w:sz w:val="18"/>
                <w:szCs w:val="18"/>
                <w:lang w:val="en-US"/>
              </w:rPr>
              <w:t>Glyphosate and Salts</w:t>
            </w:r>
          </w:p>
        </w:tc>
        <w:tc>
          <w:tcPr>
            <w:tcW w:w="1416" w:type="dxa"/>
            <w:tcBorders>
              <w:top w:val="single" w:sz="4" w:space="0" w:color="auto"/>
            </w:tcBorders>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808" w:type="dxa"/>
            <w:tcBorders>
              <w:top w:val="single" w:sz="4" w:space="0" w:color="auto"/>
            </w:tcBorders>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788" w:type="dxa"/>
            <w:tcBorders>
              <w:top w:val="single" w:sz="4" w:space="0" w:color="auto"/>
            </w:tcBorders>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988" w:type="dxa"/>
            <w:tcBorders>
              <w:top w:val="single" w:sz="4" w:space="0" w:color="auto"/>
            </w:tcBorders>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3031" w:type="dxa"/>
            <w:tcBorders>
              <w:top w:val="single" w:sz="4" w:space="0" w:color="auto"/>
            </w:tcBorders>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i/>
                <w:sz w:val="18"/>
                <w:szCs w:val="18"/>
                <w:lang w:val="en-US"/>
              </w:rPr>
            </w:pPr>
            <w:r w:rsidRPr="00DA4F96">
              <w:rPr>
                <w:rFonts w:cs="Arial"/>
                <w:i/>
                <w:sz w:val="18"/>
                <w:szCs w:val="18"/>
                <w:lang w:val="en-US"/>
              </w:rPr>
              <w:t>Regulatory Studies</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 xml:space="preserve">2500-5000 </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S</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Jensen (1991a)</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0,9,5,7,8</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1000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F2109D">
            <w:pPr>
              <w:spacing w:after="0" w:afterAutospacing="0" w:line="240" w:lineRule="auto"/>
              <w:rPr>
                <w:rFonts w:cs="Arial"/>
                <w:sz w:val="18"/>
                <w:szCs w:val="18"/>
                <w:lang w:val="en-US"/>
              </w:rPr>
            </w:pPr>
            <w:r w:rsidRPr="00DA4F96">
              <w:rPr>
                <w:rFonts w:cs="Arial"/>
                <w:sz w:val="18"/>
                <w:szCs w:val="18"/>
                <w:lang w:val="en-US"/>
              </w:rPr>
              <w:t>neg</w:t>
            </w:r>
            <w:r w:rsidRPr="00DA4F96">
              <w:rPr>
                <w:rFonts w:cs="Arial"/>
                <w:sz w:val="18"/>
                <w:szCs w:val="18"/>
                <w:vertAlign w:val="superscript"/>
                <w:lang w:val="en-US"/>
              </w:rPr>
              <w:t>ea</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Suresh (1993a)</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0,9,5,7,PU</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5000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L, 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CD715D">
            <w:pPr>
              <w:spacing w:after="0" w:afterAutospacing="0" w:line="240" w:lineRule="auto"/>
              <w:rPr>
                <w:rFonts w:cs="Arial"/>
                <w:sz w:val="18"/>
                <w:szCs w:val="18"/>
                <w:lang w:val="en-US"/>
              </w:rPr>
            </w:pPr>
            <w:r w:rsidRPr="00DA4F96">
              <w:rPr>
                <w:rFonts w:cs="Arial"/>
                <w:sz w:val="18"/>
                <w:szCs w:val="18"/>
                <w:lang w:val="en-US"/>
              </w:rPr>
              <w:t>Akanuma (1995)</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0,9,5,7,PK,PUK</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5000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L, 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S</w:t>
            </w:r>
          </w:p>
        </w:tc>
        <w:tc>
          <w:tcPr>
            <w:tcW w:w="988" w:type="dxa"/>
            <w:tcMar>
              <w:top w:w="43" w:type="dxa"/>
              <w:left w:w="115" w:type="dxa"/>
              <w:bottom w:w="43" w:type="dxa"/>
              <w:right w:w="115" w:type="dxa"/>
            </w:tcMar>
          </w:tcPr>
          <w:p w:rsidR="00C275D9" w:rsidRPr="00DA4F96" w:rsidRDefault="00C275D9" w:rsidP="00F2109D">
            <w:pPr>
              <w:spacing w:after="0" w:afterAutospacing="0" w:line="240" w:lineRule="auto"/>
              <w:rPr>
                <w:rFonts w:cs="Arial"/>
                <w:sz w:val="18"/>
                <w:szCs w:val="18"/>
                <w:lang w:val="en-US"/>
              </w:rPr>
            </w:pPr>
            <w:r w:rsidRPr="00DA4F96">
              <w:rPr>
                <w:rFonts w:cs="Arial"/>
                <w:sz w:val="18"/>
                <w:szCs w:val="18"/>
                <w:lang w:val="en-US"/>
              </w:rPr>
              <w:t>neg</w:t>
            </w:r>
            <w:r w:rsidRPr="00DA4F96">
              <w:rPr>
                <w:rFonts w:cs="Arial"/>
                <w:sz w:val="18"/>
                <w:szCs w:val="18"/>
                <w:vertAlign w:val="superscript"/>
                <w:lang w:val="en-US"/>
              </w:rPr>
              <w:t>ea</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Callander (1996)</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0,9,5,7,PU</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5000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L, 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Thompson (1996)</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0,9,5,7,PK,PUK</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5000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L, 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S</w:t>
            </w:r>
          </w:p>
        </w:tc>
        <w:tc>
          <w:tcPr>
            <w:tcW w:w="988" w:type="dxa"/>
            <w:tcMar>
              <w:top w:w="43" w:type="dxa"/>
              <w:left w:w="115" w:type="dxa"/>
              <w:bottom w:w="43" w:type="dxa"/>
              <w:right w:w="115" w:type="dxa"/>
            </w:tcMar>
          </w:tcPr>
          <w:p w:rsidR="00C275D9" w:rsidRPr="00DA4F96" w:rsidRDefault="00C275D9" w:rsidP="00F2109D">
            <w:pPr>
              <w:spacing w:after="0" w:afterAutospacing="0" w:line="240" w:lineRule="auto"/>
              <w:rPr>
                <w:rFonts w:cs="Arial"/>
                <w:sz w:val="18"/>
                <w:szCs w:val="18"/>
                <w:lang w:val="en-US"/>
              </w:rPr>
            </w:pPr>
            <w:r w:rsidRPr="00DA4F96">
              <w:rPr>
                <w:rFonts w:cs="Arial"/>
                <w:sz w:val="18"/>
                <w:szCs w:val="18"/>
                <w:lang w:val="en-US"/>
              </w:rPr>
              <w:t>neg</w:t>
            </w:r>
            <w:r w:rsidRPr="00DA4F96">
              <w:rPr>
                <w:rFonts w:cs="Arial"/>
                <w:sz w:val="18"/>
                <w:szCs w:val="18"/>
                <w:vertAlign w:val="superscript"/>
                <w:lang w:val="en-US"/>
              </w:rPr>
              <w:t>ea</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Callander (1999)</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0,9,5,7a</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5000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L, 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S</w:t>
            </w:r>
          </w:p>
        </w:tc>
        <w:tc>
          <w:tcPr>
            <w:tcW w:w="988" w:type="dxa"/>
            <w:tcMar>
              <w:top w:w="43" w:type="dxa"/>
              <w:left w:w="115" w:type="dxa"/>
              <w:bottom w:w="43" w:type="dxa"/>
              <w:right w:w="115" w:type="dxa"/>
            </w:tcMar>
          </w:tcPr>
          <w:p w:rsidR="00C275D9" w:rsidRPr="00DA4F96" w:rsidRDefault="00C275D9" w:rsidP="00F2109D">
            <w:pPr>
              <w:spacing w:after="0" w:afterAutospacing="0" w:line="240" w:lineRule="auto"/>
              <w:rPr>
                <w:rFonts w:cs="Arial"/>
                <w:sz w:val="18"/>
                <w:szCs w:val="18"/>
                <w:lang w:val="en-US"/>
              </w:rPr>
            </w:pPr>
            <w:r w:rsidRPr="00DA4F96">
              <w:rPr>
                <w:rFonts w:cs="Arial"/>
                <w:sz w:val="18"/>
                <w:szCs w:val="18"/>
                <w:lang w:val="en-US"/>
              </w:rPr>
              <w:t>neg</w:t>
            </w:r>
            <w:r w:rsidRPr="00DA4F96">
              <w:rPr>
                <w:rFonts w:cs="Arial"/>
                <w:sz w:val="18"/>
                <w:szCs w:val="18"/>
                <w:vertAlign w:val="superscript"/>
                <w:lang w:val="en-US"/>
              </w:rPr>
              <w:t>ea</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Ranzani (2000)</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0,9,5,7,PU</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5000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L, 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Sokolowski (2007a)</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0,9,5,7,PU</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5000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L, 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Sokolowski (2007b)</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0,9,5,7,PU</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5000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L, 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Sokolowski (2007c)</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0,9,5,7,2</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5000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L</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S</w:t>
            </w:r>
          </w:p>
        </w:tc>
        <w:tc>
          <w:tcPr>
            <w:tcW w:w="988" w:type="dxa"/>
            <w:tcMar>
              <w:top w:w="43" w:type="dxa"/>
              <w:left w:w="115" w:type="dxa"/>
              <w:bottom w:w="43" w:type="dxa"/>
              <w:right w:w="115" w:type="dxa"/>
            </w:tcMar>
          </w:tcPr>
          <w:p w:rsidR="00C275D9" w:rsidRPr="00DA4F96" w:rsidRDefault="00C275D9" w:rsidP="00F2109D">
            <w:pPr>
              <w:spacing w:after="0" w:afterAutospacing="0" w:line="240" w:lineRule="auto"/>
              <w:rPr>
                <w:rFonts w:cs="Arial"/>
                <w:sz w:val="18"/>
                <w:szCs w:val="18"/>
                <w:lang w:val="en-US"/>
              </w:rPr>
            </w:pPr>
            <w:r w:rsidRPr="00DA4F96">
              <w:rPr>
                <w:rFonts w:cs="Arial"/>
                <w:sz w:val="18"/>
                <w:szCs w:val="18"/>
                <w:lang w:val="en-US"/>
              </w:rPr>
              <w:t>neg</w:t>
            </w:r>
            <w:r w:rsidRPr="00DA4F96">
              <w:rPr>
                <w:rFonts w:cs="Arial"/>
                <w:sz w:val="18"/>
                <w:szCs w:val="18"/>
                <w:vertAlign w:val="superscript"/>
                <w:lang w:val="en-US"/>
              </w:rPr>
              <w:t>ea</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Ribeiro do Val (2007)</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 5,7a,2</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1000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S</w:t>
            </w:r>
          </w:p>
        </w:tc>
        <w:tc>
          <w:tcPr>
            <w:tcW w:w="988" w:type="dxa"/>
            <w:tcMar>
              <w:top w:w="43" w:type="dxa"/>
              <w:left w:w="115" w:type="dxa"/>
              <w:bottom w:w="43" w:type="dxa"/>
              <w:right w:w="115" w:type="dxa"/>
            </w:tcMar>
          </w:tcPr>
          <w:p w:rsidR="00C275D9" w:rsidRPr="00DA4F96" w:rsidRDefault="00C275D9" w:rsidP="00F2109D">
            <w:pPr>
              <w:spacing w:after="0" w:afterAutospacing="0" w:line="240" w:lineRule="auto"/>
              <w:rPr>
                <w:rFonts w:cs="Arial"/>
                <w:sz w:val="18"/>
                <w:szCs w:val="18"/>
                <w:lang w:val="en-US"/>
              </w:rPr>
            </w:pPr>
            <w:r w:rsidRPr="00DA4F96">
              <w:rPr>
                <w:rFonts w:cs="Arial"/>
                <w:sz w:val="18"/>
                <w:szCs w:val="18"/>
                <w:lang w:val="en-US"/>
              </w:rPr>
              <w:t>neg</w:t>
            </w:r>
            <w:r w:rsidRPr="00DA4F96">
              <w:rPr>
                <w:rFonts w:cs="Arial"/>
                <w:sz w:val="18"/>
                <w:szCs w:val="18"/>
                <w:vertAlign w:val="superscript"/>
                <w:lang w:val="en-US"/>
              </w:rPr>
              <w:t>ea</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Miyaji (2008)</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0,9,5,7,2</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3160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r w:rsidRPr="00DA4F96">
              <w:rPr>
                <w:rFonts w:cs="Arial"/>
                <w:sz w:val="18"/>
                <w:szCs w:val="18"/>
                <w:vertAlign w:val="superscript"/>
                <w:lang w:val="en-US"/>
              </w:rPr>
              <w:t>da</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Flugge (2009a)</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0,9,5,7,PU</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5000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L, 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Sokolowski (2009a)</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0,9,5.7,PK,PUK</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5000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L, 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Sokolowski (2009b)</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0,9,5,7,2</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3160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r w:rsidRPr="00DA4F96">
              <w:rPr>
                <w:rFonts w:cs="Arial"/>
                <w:sz w:val="18"/>
                <w:szCs w:val="18"/>
                <w:vertAlign w:val="superscript"/>
                <w:lang w:val="en-US"/>
              </w:rPr>
              <w:t>da</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Flugge (2010b)</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 PU</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5000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L, 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Schreib (2010)</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0,9,5,7,2</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5000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L, 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Wallner (2010)</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6A6A90">
            <w:pPr>
              <w:spacing w:after="0" w:afterAutospacing="0" w:line="240" w:lineRule="auto"/>
              <w:rPr>
                <w:rFonts w:cs="Arial"/>
                <w:i/>
                <w:sz w:val="18"/>
                <w:szCs w:val="18"/>
                <w:lang w:val="en-US"/>
              </w:rPr>
            </w:pPr>
            <w:r w:rsidRPr="00DA4F96">
              <w:rPr>
                <w:rFonts w:cs="Arial"/>
                <w:i/>
                <w:sz w:val="18"/>
                <w:szCs w:val="18"/>
                <w:lang w:val="en-US"/>
              </w:rPr>
              <w:t>Published/Public Studies</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3333-10000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FB6F00" w:rsidP="00A1566E">
            <w:pPr>
              <w:spacing w:after="0" w:afterAutospacing="0" w:line="240" w:lineRule="auto"/>
              <w:rPr>
                <w:rFonts w:cs="Arial"/>
                <w:sz w:val="18"/>
                <w:szCs w:val="18"/>
                <w:lang w:val="en-US"/>
              </w:rPr>
            </w:pPr>
            <w:r>
              <w:rPr>
                <w:rFonts w:cs="Arial"/>
                <w:sz w:val="18"/>
                <w:szCs w:val="18"/>
                <w:lang w:val="en-US"/>
              </w:rPr>
              <w:t>*</w:t>
            </w:r>
            <w:r w:rsidR="00C275D9" w:rsidRPr="00DA4F96">
              <w:rPr>
                <w:rFonts w:cs="Arial"/>
                <w:noProof/>
                <w:sz w:val="18"/>
                <w:szCs w:val="18"/>
                <w:lang w:val="en-US"/>
              </w:rPr>
              <w:t>Chan and Mahler (1992)</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b/>
                <w:i/>
                <w:sz w:val="18"/>
                <w:szCs w:val="18"/>
                <w:lang w:val="en-US"/>
              </w:rPr>
            </w:pPr>
            <w:r w:rsidRPr="00DA4F96">
              <w:rPr>
                <w:rFonts w:cs="Arial"/>
                <w:b/>
                <w:i/>
                <w:sz w:val="18"/>
                <w:szCs w:val="18"/>
                <w:lang w:val="en-US"/>
              </w:rPr>
              <w:t>GBF’s</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i/>
                <w:sz w:val="18"/>
                <w:szCs w:val="18"/>
                <w:lang w:val="en-US"/>
              </w:rPr>
              <w:t>Regulatory Studies</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500-1500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S</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w:t>
            </w:r>
            <w:r w:rsidRPr="00DA4F96">
              <w:rPr>
                <w:rFonts w:cs="Arial"/>
                <w:noProof/>
                <w:sz w:val="18"/>
                <w:szCs w:val="18"/>
                <w:lang w:val="en-US"/>
              </w:rPr>
              <w:t>Kier et al. (1992a)</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5000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L, 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S</w:t>
            </w:r>
          </w:p>
        </w:tc>
        <w:tc>
          <w:tcPr>
            <w:tcW w:w="988" w:type="dxa"/>
            <w:tcMar>
              <w:top w:w="43" w:type="dxa"/>
              <w:left w:w="115" w:type="dxa"/>
              <w:bottom w:w="43" w:type="dxa"/>
              <w:right w:w="115" w:type="dxa"/>
            </w:tcMar>
          </w:tcPr>
          <w:p w:rsidR="00C275D9" w:rsidRPr="00DA4F96" w:rsidRDefault="00A1566E" w:rsidP="00A1566E">
            <w:pPr>
              <w:spacing w:after="0" w:afterAutospacing="0" w:line="240" w:lineRule="auto"/>
              <w:rPr>
                <w:rFonts w:cs="Arial"/>
                <w:sz w:val="18"/>
                <w:szCs w:val="18"/>
                <w:lang w:val="en-US"/>
              </w:rPr>
            </w:pPr>
            <w:r w:rsidRPr="00DA4F96">
              <w:rPr>
                <w:rFonts w:cs="Arial"/>
                <w:sz w:val="18"/>
                <w:szCs w:val="18"/>
                <w:lang w:val="en-US"/>
              </w:rPr>
              <w:t>n</w:t>
            </w:r>
            <w:r w:rsidR="00C275D9" w:rsidRPr="00DA4F96">
              <w:rPr>
                <w:rFonts w:cs="Arial"/>
                <w:sz w:val="18"/>
                <w:szCs w:val="18"/>
                <w:lang w:val="en-US"/>
              </w:rPr>
              <w:t>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w:t>
            </w:r>
            <w:r w:rsidRPr="00DA4F96">
              <w:rPr>
                <w:rFonts w:cs="Arial"/>
                <w:noProof/>
                <w:sz w:val="18"/>
                <w:szCs w:val="18"/>
                <w:lang w:val="en-US"/>
              </w:rPr>
              <w:t>Kier et al. (1992b)</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500-1500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S</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w:t>
            </w:r>
            <w:r w:rsidRPr="00DA4F96">
              <w:rPr>
                <w:rFonts w:cs="Arial"/>
                <w:noProof/>
                <w:sz w:val="18"/>
                <w:szCs w:val="18"/>
                <w:lang w:val="en-US"/>
              </w:rPr>
              <w:t>Kier et al. (1992c)</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0,9,5,7,PU</w:t>
            </w:r>
          </w:p>
        </w:tc>
        <w:tc>
          <w:tcPr>
            <w:tcW w:w="1416" w:type="dxa"/>
            <w:tcMar>
              <w:top w:w="43" w:type="dxa"/>
              <w:left w:w="115" w:type="dxa"/>
              <w:bottom w:w="43" w:type="dxa"/>
              <w:right w:w="115" w:type="dxa"/>
            </w:tcMar>
          </w:tcPr>
          <w:p w:rsidR="00C275D9" w:rsidRPr="00DA4F96" w:rsidRDefault="00C275D9" w:rsidP="006A6A90">
            <w:pPr>
              <w:spacing w:after="0" w:afterAutospacing="0" w:line="240" w:lineRule="auto"/>
              <w:rPr>
                <w:rFonts w:cs="Arial"/>
                <w:sz w:val="18"/>
                <w:szCs w:val="18"/>
                <w:lang w:val="en-US"/>
              </w:rPr>
            </w:pPr>
            <w:r w:rsidRPr="00DA4F96">
              <w:rPr>
                <w:rFonts w:cs="Arial"/>
                <w:sz w:val="18"/>
                <w:szCs w:val="18"/>
                <w:lang w:val="en-US"/>
              </w:rPr>
              <w:t xml:space="preserve">3330-5000 </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r w:rsidRPr="00DA4F96">
              <w:rPr>
                <w:rFonts w:cs="Arial"/>
                <w:sz w:val="18"/>
                <w:szCs w:val="18"/>
                <w:vertAlign w:val="superscript"/>
                <w:lang w:val="en-US"/>
              </w:rPr>
              <w:t>eb</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Mecchi (2003a)</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0,9,5,7,PU</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 xml:space="preserve">3330 </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Mecchi (2003b)</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0,9,5,7,2</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 xml:space="preserve">100-316 </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Uhde (2004)</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0,9,5,7,PU</w:t>
            </w:r>
          </w:p>
        </w:tc>
        <w:tc>
          <w:tcPr>
            <w:tcW w:w="1416" w:type="dxa"/>
            <w:tcMar>
              <w:top w:w="43" w:type="dxa"/>
              <w:left w:w="115" w:type="dxa"/>
              <w:bottom w:w="43" w:type="dxa"/>
              <w:right w:w="115" w:type="dxa"/>
            </w:tcMar>
          </w:tcPr>
          <w:p w:rsidR="00C275D9" w:rsidRPr="00DA4F96" w:rsidRDefault="00C275D9" w:rsidP="006A6A90">
            <w:pPr>
              <w:spacing w:after="0" w:afterAutospacing="0" w:line="240" w:lineRule="auto"/>
              <w:rPr>
                <w:rFonts w:cs="Arial"/>
                <w:sz w:val="18"/>
                <w:szCs w:val="18"/>
                <w:lang w:val="en-US"/>
              </w:rPr>
            </w:pPr>
            <w:r w:rsidRPr="00DA4F96">
              <w:rPr>
                <w:rFonts w:cs="Arial"/>
                <w:sz w:val="18"/>
                <w:szCs w:val="18"/>
                <w:lang w:val="en-US"/>
              </w:rPr>
              <w:t xml:space="preserve">3330-5000 </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Xu (2006)</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0,9,5,7,2</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 xml:space="preserve">2000 </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Lope (2008)</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0,9,5,7,PU</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 xml:space="preserve">5000 </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L, 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Mecchi (2008a)</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0,9,5,7,PU</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 xml:space="preserve">5000 </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L, 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Mecchi (2008b)</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lastRenderedPageBreak/>
              <w:t>0,9,5,7,PU</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 xml:space="preserve">5000 </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L, 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Mecchi (2008c)</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0,9,5,7,2</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 xml:space="preserve">200 </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T</w:t>
            </w:r>
            <w:r w:rsidRPr="00DA4F96">
              <w:rPr>
                <w:rFonts w:cs="Arial"/>
                <w:sz w:val="18"/>
                <w:szCs w:val="18"/>
                <w:vertAlign w:val="superscript"/>
                <w:lang w:val="en-US"/>
              </w:rPr>
              <w:t>ca</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Camolesi (2009)</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0,9,5,7,2</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 xml:space="preserve">2000 </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Catoyra (2009)</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0,9,5,7,PU</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 xml:space="preserve">5000 </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L, 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Mecchi (2009a)</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0,9,5,7,PU</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 xml:space="preserve">5000 </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L, 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Mecchi (2009b)</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0,9,5,7,2</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 xml:space="preserve">200 </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T</w:t>
            </w:r>
            <w:r w:rsidRPr="00DA4F96">
              <w:rPr>
                <w:rFonts w:cs="Arial"/>
                <w:sz w:val="18"/>
                <w:szCs w:val="18"/>
                <w:vertAlign w:val="superscript"/>
                <w:lang w:val="en-US"/>
              </w:rPr>
              <w:t>ca</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Camolesi (2010)</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0,9,5,7,2</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 xml:space="preserve">31.6-1000 </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Flugge (2010a)</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0,9,5,7,2</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10-100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T</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Flugge (2010d)</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i/>
                <w:sz w:val="18"/>
                <w:szCs w:val="18"/>
                <w:lang w:val="en-US"/>
              </w:rPr>
              <w:t>Published/Public Studies</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0,9,5,7,8,P</w:t>
            </w:r>
          </w:p>
        </w:tc>
        <w:tc>
          <w:tcPr>
            <w:tcW w:w="1416" w:type="dxa"/>
            <w:tcMar>
              <w:top w:w="43" w:type="dxa"/>
              <w:left w:w="115" w:type="dxa"/>
              <w:bottom w:w="43" w:type="dxa"/>
              <w:right w:w="115" w:type="dxa"/>
            </w:tcMar>
          </w:tcPr>
          <w:p w:rsidR="00C275D9" w:rsidRPr="00DA4F96" w:rsidRDefault="00C275D9" w:rsidP="00743538">
            <w:pPr>
              <w:spacing w:after="0" w:afterAutospacing="0" w:line="240" w:lineRule="auto"/>
              <w:rPr>
                <w:rFonts w:cs="Arial"/>
                <w:sz w:val="18"/>
                <w:szCs w:val="18"/>
                <w:lang w:val="en-US"/>
              </w:rPr>
            </w:pPr>
            <w:r w:rsidRPr="00DA4F96">
              <w:rPr>
                <w:rFonts w:cs="Arial"/>
                <w:sz w:val="18"/>
                <w:szCs w:val="18"/>
                <w:lang w:val="en-US"/>
              </w:rPr>
              <w:t>5000</w:t>
            </w:r>
            <w:r w:rsidRPr="00DA4F96">
              <w:rPr>
                <w:rFonts w:cs="Arial"/>
                <w:sz w:val="18"/>
                <w:szCs w:val="18"/>
                <w:vertAlign w:val="superscript"/>
                <w:lang w:val="en-US"/>
              </w:rPr>
              <w:t>ba</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w:t>
            </w:r>
            <w:r w:rsidRPr="00DA4F96">
              <w:rPr>
                <w:rFonts w:cs="Arial"/>
                <w:sz w:val="18"/>
                <w:szCs w:val="18"/>
                <w:vertAlign w:val="superscript"/>
                <w:lang w:val="en-US"/>
              </w:rPr>
              <w:t>cb</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r w:rsidRPr="00DA4F96">
              <w:rPr>
                <w:rFonts w:cs="Arial"/>
                <w:sz w:val="18"/>
                <w:szCs w:val="18"/>
                <w:vertAlign w:val="superscript"/>
                <w:lang w:val="en-US"/>
              </w:rPr>
              <w:t>ec</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w:t>
            </w:r>
            <w:r w:rsidRPr="00DA4F96">
              <w:rPr>
                <w:rFonts w:cs="Arial"/>
                <w:noProof/>
                <w:sz w:val="18"/>
                <w:szCs w:val="18"/>
                <w:lang w:val="en-US"/>
              </w:rPr>
              <w:t>Moriya et al. (1983)</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 7a,2</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 xml:space="preserve">0.2 </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T</w:t>
            </w:r>
            <w:r w:rsidRPr="00DA4F96">
              <w:rPr>
                <w:rFonts w:cs="Arial"/>
                <w:sz w:val="18"/>
                <w:szCs w:val="18"/>
                <w:vertAlign w:val="superscript"/>
                <w:lang w:val="en-US"/>
              </w:rPr>
              <w:t>ca</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r w:rsidRPr="00DA4F96">
              <w:rPr>
                <w:rFonts w:cs="Arial"/>
                <w:sz w:val="18"/>
                <w:szCs w:val="18"/>
                <w:vertAlign w:val="superscript"/>
                <w:lang w:val="en-US"/>
              </w:rPr>
              <w:t>ec</w:t>
            </w: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noProof/>
                <w:sz w:val="18"/>
                <w:szCs w:val="18"/>
                <w:lang w:val="en-US"/>
              </w:rPr>
              <w:t>Chruscielska et al. (2000)</w:t>
            </w: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b/>
                <w:sz w:val="18"/>
                <w:szCs w:val="18"/>
                <w:lang w:val="en-US"/>
              </w:rPr>
            </w:pPr>
            <w:r w:rsidRPr="00DA4F96">
              <w:rPr>
                <w:rFonts w:cs="Arial"/>
                <w:b/>
                <w:sz w:val="18"/>
                <w:szCs w:val="18"/>
                <w:lang w:val="en-US"/>
              </w:rPr>
              <w:t>AMPA</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i/>
                <w:sz w:val="18"/>
                <w:szCs w:val="18"/>
                <w:lang w:val="en-US"/>
              </w:rPr>
            </w:pPr>
            <w:r w:rsidRPr="00DA4F96">
              <w:rPr>
                <w:rFonts w:cs="Arial"/>
                <w:i/>
                <w:sz w:val="18"/>
                <w:szCs w:val="18"/>
                <w:lang w:val="en-US"/>
              </w:rPr>
              <w:t>Regulatory Studies</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c>
          <w:tcPr>
            <w:tcW w:w="3031"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p>
        </w:tc>
      </w:tr>
      <w:tr w:rsidR="00C275D9" w:rsidRPr="00DA4F96" w:rsidTr="00A1566E">
        <w:trPr>
          <w:cantSplit/>
        </w:trPr>
        <w:tc>
          <w:tcPr>
            <w:tcW w:w="2559"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0,9,5,7,8,P</w:t>
            </w:r>
          </w:p>
        </w:tc>
        <w:tc>
          <w:tcPr>
            <w:tcW w:w="1416"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5000</w:t>
            </w:r>
          </w:p>
        </w:tc>
        <w:tc>
          <w:tcPr>
            <w:tcW w:w="80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L</w:t>
            </w:r>
          </w:p>
        </w:tc>
        <w:tc>
          <w:tcPr>
            <w:tcW w:w="7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w:t>
            </w:r>
          </w:p>
        </w:tc>
        <w:tc>
          <w:tcPr>
            <w:tcW w:w="988" w:type="dxa"/>
            <w:tcMar>
              <w:top w:w="43" w:type="dxa"/>
              <w:left w:w="115" w:type="dxa"/>
              <w:bottom w:w="43" w:type="dxa"/>
              <w:right w:w="115" w:type="dxa"/>
            </w:tcMar>
          </w:tcPr>
          <w:p w:rsidR="00C275D9" w:rsidRPr="00DA4F96" w:rsidRDefault="00C275D9" w:rsidP="00A1566E">
            <w:pPr>
              <w:spacing w:after="0" w:afterAutospacing="0" w:line="240" w:lineRule="auto"/>
              <w:rPr>
                <w:rFonts w:cs="Arial"/>
                <w:sz w:val="18"/>
                <w:szCs w:val="18"/>
                <w:lang w:val="en-US"/>
              </w:rPr>
            </w:pPr>
            <w:r w:rsidRPr="00DA4F96">
              <w:rPr>
                <w:rFonts w:cs="Arial"/>
                <w:sz w:val="18"/>
                <w:szCs w:val="18"/>
                <w:lang w:val="en-US"/>
              </w:rPr>
              <w:t>neg</w:t>
            </w:r>
          </w:p>
        </w:tc>
        <w:tc>
          <w:tcPr>
            <w:tcW w:w="3031" w:type="dxa"/>
            <w:tcMar>
              <w:top w:w="43" w:type="dxa"/>
              <w:left w:w="115" w:type="dxa"/>
              <w:bottom w:w="43" w:type="dxa"/>
              <w:right w:w="115" w:type="dxa"/>
            </w:tcMar>
          </w:tcPr>
          <w:p w:rsidR="00C275D9" w:rsidRPr="00DA4F96" w:rsidRDefault="00C275D9" w:rsidP="000A59E1">
            <w:pPr>
              <w:spacing w:after="0" w:afterAutospacing="0" w:line="240" w:lineRule="auto"/>
              <w:rPr>
                <w:rFonts w:cs="Arial"/>
                <w:sz w:val="18"/>
                <w:szCs w:val="18"/>
                <w:lang w:val="en-US"/>
              </w:rPr>
            </w:pPr>
            <w:r w:rsidRPr="00DA4F96">
              <w:rPr>
                <w:rFonts w:cs="Arial"/>
                <w:sz w:val="18"/>
                <w:szCs w:val="18"/>
                <w:lang w:val="en-US"/>
              </w:rPr>
              <w:t>*</w:t>
            </w:r>
            <w:r w:rsidRPr="00DA4F96">
              <w:rPr>
                <w:rFonts w:cs="Arial"/>
                <w:noProof/>
                <w:sz w:val="18"/>
                <w:szCs w:val="18"/>
                <w:lang w:val="en-US"/>
              </w:rPr>
              <w:t xml:space="preserve">Shirasu </w:t>
            </w:r>
            <w:r w:rsidR="000A59E1">
              <w:rPr>
                <w:rFonts w:cs="Arial"/>
                <w:noProof/>
                <w:sz w:val="18"/>
                <w:szCs w:val="18"/>
                <w:lang w:val="en-US"/>
              </w:rPr>
              <w:t>et al.</w:t>
            </w:r>
            <w:r w:rsidRPr="00DA4F96">
              <w:rPr>
                <w:rFonts w:cs="Arial"/>
                <w:noProof/>
                <w:sz w:val="18"/>
                <w:szCs w:val="18"/>
                <w:lang w:val="en-US"/>
              </w:rPr>
              <w:t xml:space="preserve"> (1980)</w:t>
            </w:r>
          </w:p>
        </w:tc>
      </w:tr>
    </w:tbl>
    <w:p w:rsidR="0027553B" w:rsidRPr="00DA4F96" w:rsidRDefault="0027553B" w:rsidP="00A1566E">
      <w:pPr>
        <w:tabs>
          <w:tab w:val="left" w:pos="11610"/>
        </w:tabs>
        <w:spacing w:after="0" w:afterAutospacing="0" w:line="240" w:lineRule="auto"/>
        <w:ind w:right="720"/>
        <w:rPr>
          <w:rFonts w:eastAsia="Calibri" w:cs="Calibri"/>
          <w:sz w:val="18"/>
          <w:szCs w:val="18"/>
          <w:lang w:val="en-US"/>
        </w:rPr>
      </w:pPr>
      <w:r w:rsidRPr="00DA4F96">
        <w:rPr>
          <w:rFonts w:eastAsia="Calibri" w:cs="Calibri"/>
          <w:sz w:val="18"/>
          <w:vertAlign w:val="superscript"/>
          <w:lang w:val="en-US"/>
        </w:rPr>
        <w:t>a</w:t>
      </w:r>
      <w:r w:rsidRPr="00DA4F96">
        <w:rPr>
          <w:rFonts w:eastAsia="Calibri" w:cs="Calibri"/>
          <w:sz w:val="18"/>
          <w:lang w:val="en-US"/>
        </w:rPr>
        <w:t xml:space="preserve">  Bacterial reverse mutation</w:t>
      </w:r>
      <w:r w:rsidR="00C275D9" w:rsidRPr="00DA4F96">
        <w:rPr>
          <w:rFonts w:eastAsia="Calibri" w:cs="Calibri"/>
          <w:sz w:val="18"/>
          <w:lang w:val="en-US"/>
        </w:rPr>
        <w:t xml:space="preserve"> </w:t>
      </w:r>
      <w:r w:rsidRPr="00DA4F96">
        <w:rPr>
          <w:rFonts w:eastAsia="Calibri" w:cs="Calibri"/>
          <w:sz w:val="18"/>
          <w:lang w:val="en-US"/>
        </w:rPr>
        <w:t xml:space="preserve">test strains used:  0, TA100; 9, TA98; 5, TA1535; 7, </w:t>
      </w:r>
      <w:r w:rsidRPr="00DA4F96">
        <w:rPr>
          <w:rFonts w:eastAsia="Calibri" w:cs="Calibri"/>
          <w:sz w:val="18"/>
          <w:szCs w:val="18"/>
          <w:lang w:val="en-US"/>
        </w:rPr>
        <w:t xml:space="preserve">TA1537;7a, TA97a; 2, TA102; 8, TA1538; P, </w:t>
      </w:r>
      <w:r w:rsidR="00F2109D" w:rsidRPr="00DA4F96">
        <w:rPr>
          <w:rFonts w:eastAsia="Calibri" w:cs="Calibri"/>
          <w:i/>
          <w:sz w:val="18"/>
          <w:szCs w:val="18"/>
          <w:lang w:val="en-US"/>
        </w:rPr>
        <w:t>Escherichia</w:t>
      </w:r>
      <w:r w:rsidRPr="00DA4F96">
        <w:rPr>
          <w:rFonts w:eastAsia="Calibri" w:cs="Calibri"/>
          <w:i/>
          <w:sz w:val="18"/>
          <w:szCs w:val="18"/>
          <w:lang w:val="en-US"/>
        </w:rPr>
        <w:t xml:space="preserve"> coli</w:t>
      </w:r>
      <w:r w:rsidRPr="00DA4F96">
        <w:rPr>
          <w:rFonts w:eastAsia="Calibri" w:cs="Calibri"/>
          <w:sz w:val="18"/>
          <w:szCs w:val="18"/>
          <w:lang w:val="en-US"/>
        </w:rPr>
        <w:t xml:space="preserve"> WP2 hcr; PU, </w:t>
      </w:r>
      <w:r w:rsidRPr="00DA4F96">
        <w:rPr>
          <w:rFonts w:eastAsia="Calibri" w:cs="Calibri"/>
          <w:i/>
          <w:sz w:val="18"/>
          <w:szCs w:val="18"/>
          <w:lang w:val="en-US"/>
        </w:rPr>
        <w:t>E. coli</w:t>
      </w:r>
      <w:r w:rsidRPr="00DA4F96">
        <w:rPr>
          <w:rFonts w:eastAsia="Calibri" w:cs="Calibri"/>
          <w:sz w:val="18"/>
          <w:szCs w:val="18"/>
          <w:lang w:val="en-US"/>
        </w:rPr>
        <w:t xml:space="preserve"> WP2 (uvrA); PUK, </w:t>
      </w:r>
      <w:r w:rsidRPr="00DA4F96">
        <w:rPr>
          <w:rFonts w:eastAsia="Calibri" w:cs="Calibri"/>
          <w:i/>
          <w:sz w:val="18"/>
          <w:szCs w:val="18"/>
          <w:lang w:val="en-US"/>
        </w:rPr>
        <w:t xml:space="preserve">E. coli </w:t>
      </w:r>
      <w:r w:rsidRPr="00DA4F96">
        <w:rPr>
          <w:rFonts w:eastAsia="Calibri" w:cs="Calibri"/>
          <w:sz w:val="18"/>
          <w:szCs w:val="18"/>
          <w:lang w:val="en-US"/>
        </w:rPr>
        <w:t xml:space="preserve">WP2 (uvrA) [pKM101]; PK, </w:t>
      </w:r>
      <w:r w:rsidRPr="00DA4F96">
        <w:rPr>
          <w:rFonts w:eastAsia="Calibri" w:cs="Calibri"/>
          <w:i/>
          <w:sz w:val="18"/>
          <w:szCs w:val="18"/>
          <w:lang w:val="en-US"/>
        </w:rPr>
        <w:t>E. coli</w:t>
      </w:r>
      <w:r w:rsidRPr="00DA4F96">
        <w:rPr>
          <w:rFonts w:eastAsia="Calibri" w:cs="Calibri"/>
          <w:sz w:val="18"/>
          <w:szCs w:val="18"/>
          <w:lang w:val="en-US"/>
        </w:rPr>
        <w:t xml:space="preserve"> WP2 [pKM101]</w:t>
      </w:r>
    </w:p>
    <w:p w:rsidR="0027553B" w:rsidRPr="00DA4F96" w:rsidRDefault="0027553B" w:rsidP="00A1566E">
      <w:pPr>
        <w:spacing w:after="0" w:afterAutospacing="0" w:line="240" w:lineRule="auto"/>
        <w:rPr>
          <w:rFonts w:eastAsia="Calibri"/>
          <w:sz w:val="18"/>
          <w:szCs w:val="18"/>
          <w:lang w:val="en-US"/>
        </w:rPr>
      </w:pPr>
      <w:r w:rsidRPr="00DA4F96">
        <w:rPr>
          <w:rFonts w:eastAsia="Calibri"/>
          <w:sz w:val="18"/>
          <w:szCs w:val="18"/>
          <w:vertAlign w:val="superscript"/>
          <w:lang w:val="en-US"/>
        </w:rPr>
        <w:t>b</w:t>
      </w:r>
      <w:r w:rsidRPr="00DA4F96">
        <w:rPr>
          <w:rFonts w:eastAsia="Calibri"/>
          <w:sz w:val="18"/>
          <w:szCs w:val="18"/>
          <w:lang w:val="en-US"/>
        </w:rPr>
        <w:t xml:space="preserve">  Highest dose level used.  Range indicates different maximum dose levels depending on experimental conditions such as presence or absence of exogenous mammalian metabolic activation, preincubation or plate incorporation methodology.</w:t>
      </w:r>
    </w:p>
    <w:p w:rsidR="0027553B" w:rsidRPr="00DA4F96" w:rsidRDefault="0027553B" w:rsidP="00F2109D">
      <w:pPr>
        <w:spacing w:after="0" w:afterAutospacing="0" w:line="240" w:lineRule="auto"/>
        <w:ind w:left="360"/>
        <w:rPr>
          <w:rFonts w:eastAsia="Calibri"/>
          <w:sz w:val="18"/>
          <w:szCs w:val="18"/>
          <w:lang w:val="en-US"/>
        </w:rPr>
      </w:pPr>
      <w:r w:rsidRPr="00DA4F96">
        <w:rPr>
          <w:rFonts w:eastAsia="Calibri"/>
          <w:sz w:val="18"/>
          <w:szCs w:val="18"/>
          <w:vertAlign w:val="superscript"/>
          <w:lang w:val="en-US"/>
        </w:rPr>
        <w:t>ba</w:t>
      </w:r>
      <w:r w:rsidRPr="00DA4F96">
        <w:rPr>
          <w:rFonts w:eastAsia="Calibri"/>
          <w:sz w:val="18"/>
          <w:szCs w:val="18"/>
          <w:lang w:val="en-US"/>
        </w:rPr>
        <w:t xml:space="preserve">  Publication indicates pesticides were tested up to 5000 µg/plate or toxic levels but amounts tested for specific pesticides not indicated.</w:t>
      </w:r>
    </w:p>
    <w:p w:rsidR="0027553B" w:rsidRPr="00DA4F96" w:rsidRDefault="0027553B" w:rsidP="00A1566E">
      <w:pPr>
        <w:spacing w:after="0" w:afterAutospacing="0" w:line="240" w:lineRule="auto"/>
        <w:rPr>
          <w:rFonts w:eastAsia="Calibri"/>
          <w:sz w:val="18"/>
          <w:szCs w:val="18"/>
          <w:lang w:val="en-US"/>
        </w:rPr>
      </w:pPr>
      <w:r w:rsidRPr="00DA4F96">
        <w:rPr>
          <w:rFonts w:eastAsia="Calibri"/>
          <w:sz w:val="18"/>
          <w:szCs w:val="18"/>
          <w:vertAlign w:val="superscript"/>
          <w:lang w:val="en-US"/>
        </w:rPr>
        <w:t>c</w:t>
      </w:r>
      <w:r w:rsidRPr="00DA4F96">
        <w:rPr>
          <w:rFonts w:eastAsia="Calibri"/>
          <w:sz w:val="18"/>
          <w:szCs w:val="18"/>
          <w:lang w:val="en-US"/>
        </w:rPr>
        <w:t xml:space="preserve">  Observations relevant to maximum dose level tested </w:t>
      </w:r>
    </w:p>
    <w:p w:rsidR="0027553B" w:rsidRPr="00DA4F96" w:rsidRDefault="0027553B" w:rsidP="00F2109D">
      <w:pPr>
        <w:spacing w:after="0" w:afterAutospacing="0" w:line="240" w:lineRule="auto"/>
        <w:ind w:left="360"/>
        <w:rPr>
          <w:rFonts w:eastAsia="Calibri"/>
          <w:sz w:val="18"/>
          <w:szCs w:val="18"/>
          <w:lang w:val="en-US"/>
        </w:rPr>
      </w:pPr>
      <w:r w:rsidRPr="00DA4F96">
        <w:rPr>
          <w:rFonts w:eastAsia="Calibri"/>
          <w:sz w:val="18"/>
          <w:szCs w:val="18"/>
          <w:lang w:val="en-US"/>
        </w:rPr>
        <w:t>L  Meets or exceeds maximum of 5000 µg/plate recommended for soluble, non-</w:t>
      </w:r>
      <w:r w:rsidR="005E54DC" w:rsidRPr="00DA4F96">
        <w:rPr>
          <w:rFonts w:eastAsia="Calibri"/>
          <w:sz w:val="18"/>
          <w:szCs w:val="18"/>
          <w:lang w:val="en-US"/>
        </w:rPr>
        <w:t>cytotoxic substances</w:t>
      </w:r>
      <w:r w:rsidRPr="00DA4F96">
        <w:rPr>
          <w:rFonts w:eastAsia="Calibri"/>
          <w:sz w:val="18"/>
          <w:szCs w:val="18"/>
          <w:lang w:val="en-US"/>
        </w:rPr>
        <w:t xml:space="preserve"> by OECD Test Guideline </w:t>
      </w:r>
      <w:r w:rsidRPr="00DA4F96">
        <w:rPr>
          <w:rFonts w:eastAsia="Calibri"/>
          <w:noProof/>
          <w:sz w:val="18"/>
          <w:szCs w:val="18"/>
          <w:lang w:val="en-US"/>
        </w:rPr>
        <w:t>(OECD, 1997)</w:t>
      </w:r>
    </w:p>
    <w:p w:rsidR="0027553B" w:rsidRPr="00DA4F96" w:rsidRDefault="0027553B" w:rsidP="00F2109D">
      <w:pPr>
        <w:spacing w:after="0" w:afterAutospacing="0" w:line="240" w:lineRule="auto"/>
        <w:ind w:left="360"/>
        <w:rPr>
          <w:rFonts w:eastAsia="Calibri"/>
          <w:sz w:val="18"/>
          <w:szCs w:val="18"/>
          <w:lang w:val="en-US"/>
        </w:rPr>
      </w:pPr>
      <w:r w:rsidRPr="00DA4F96">
        <w:rPr>
          <w:rFonts w:eastAsia="Calibri"/>
          <w:sz w:val="18"/>
          <w:szCs w:val="18"/>
          <w:lang w:val="en-US"/>
        </w:rPr>
        <w:t>T  Toxicity observed for one or more strain/metabolic activation combinations as indicated by reduction in revertants/plate and/or reduction in background lawn.</w:t>
      </w:r>
    </w:p>
    <w:p w:rsidR="0027553B" w:rsidRPr="00DA4F96" w:rsidRDefault="0027553B" w:rsidP="00F2109D">
      <w:pPr>
        <w:spacing w:after="0" w:afterAutospacing="0" w:line="240" w:lineRule="auto"/>
        <w:ind w:left="360"/>
        <w:rPr>
          <w:rFonts w:eastAsia="Calibri"/>
          <w:sz w:val="18"/>
          <w:szCs w:val="18"/>
          <w:lang w:val="en-US"/>
        </w:rPr>
      </w:pPr>
      <w:r w:rsidRPr="00DA4F96">
        <w:rPr>
          <w:rFonts w:eastAsia="Calibri"/>
          <w:sz w:val="18"/>
          <w:szCs w:val="18"/>
          <w:vertAlign w:val="superscript"/>
          <w:lang w:val="en-US"/>
        </w:rPr>
        <w:t xml:space="preserve">ca  </w:t>
      </w:r>
      <w:r w:rsidRPr="00DA4F96">
        <w:rPr>
          <w:rFonts w:eastAsia="Calibri"/>
          <w:sz w:val="18"/>
          <w:szCs w:val="18"/>
          <w:lang w:val="en-US"/>
        </w:rPr>
        <w:t>Cytotoxicity observed at higher concentrations in rangefinder experiment.</w:t>
      </w:r>
    </w:p>
    <w:p w:rsidR="0027553B" w:rsidRPr="00DA4F96" w:rsidRDefault="0027553B" w:rsidP="00F2109D">
      <w:pPr>
        <w:spacing w:after="0" w:afterAutospacing="0" w:line="240" w:lineRule="auto"/>
        <w:ind w:left="360"/>
        <w:rPr>
          <w:rFonts w:eastAsia="Calibri"/>
          <w:sz w:val="18"/>
          <w:szCs w:val="18"/>
          <w:lang w:val="en-US"/>
        </w:rPr>
      </w:pPr>
      <w:r w:rsidRPr="00DA4F96">
        <w:rPr>
          <w:rFonts w:eastAsia="Calibri"/>
          <w:sz w:val="18"/>
          <w:szCs w:val="18"/>
          <w:vertAlign w:val="superscript"/>
          <w:lang w:val="en-US"/>
        </w:rPr>
        <w:t>cb</w:t>
      </w:r>
      <w:r w:rsidRPr="00DA4F96">
        <w:rPr>
          <w:rFonts w:eastAsia="Calibri"/>
          <w:sz w:val="18"/>
          <w:szCs w:val="18"/>
          <w:lang w:val="en-US"/>
        </w:rPr>
        <w:t xml:space="preserve">  Publication indicates testing to 5000 µg/plate or toxic levels but conditions for specific pesticides not indicated.</w:t>
      </w:r>
    </w:p>
    <w:p w:rsidR="0027553B" w:rsidRPr="00DA4F96" w:rsidRDefault="0027553B" w:rsidP="00A1566E">
      <w:pPr>
        <w:spacing w:after="0" w:afterAutospacing="0" w:line="240" w:lineRule="auto"/>
        <w:rPr>
          <w:rFonts w:eastAsia="Calibri"/>
          <w:sz w:val="18"/>
          <w:szCs w:val="18"/>
          <w:lang w:val="en-US"/>
        </w:rPr>
      </w:pPr>
      <w:r w:rsidRPr="00DA4F96">
        <w:rPr>
          <w:rFonts w:eastAsia="Calibri"/>
          <w:sz w:val="18"/>
          <w:szCs w:val="18"/>
          <w:vertAlign w:val="superscript"/>
          <w:lang w:val="en-US"/>
        </w:rPr>
        <w:t>d</w:t>
      </w:r>
      <w:r w:rsidRPr="00DA4F96">
        <w:rPr>
          <w:rFonts w:eastAsia="Calibri"/>
          <w:sz w:val="18"/>
          <w:szCs w:val="18"/>
          <w:lang w:val="en-US"/>
        </w:rPr>
        <w:t xml:space="preserve">  Statistical analysis method and results indication in supplement, publication or publicly available report.</w:t>
      </w:r>
    </w:p>
    <w:p w:rsidR="0027553B" w:rsidRPr="00DA4F96" w:rsidRDefault="0027553B" w:rsidP="00F2109D">
      <w:pPr>
        <w:spacing w:after="0" w:afterAutospacing="0" w:line="240" w:lineRule="auto"/>
        <w:ind w:left="360"/>
        <w:rPr>
          <w:rFonts w:eastAsia="Calibri"/>
          <w:sz w:val="18"/>
          <w:szCs w:val="18"/>
          <w:lang w:val="en-US"/>
        </w:rPr>
      </w:pPr>
      <w:r w:rsidRPr="00DA4F96">
        <w:rPr>
          <w:rFonts w:eastAsia="Calibri"/>
          <w:sz w:val="18"/>
          <w:szCs w:val="18"/>
          <w:lang w:val="en-US"/>
        </w:rPr>
        <w:t>N  Statistical analysis not indicated</w:t>
      </w:r>
    </w:p>
    <w:p w:rsidR="0027553B" w:rsidRPr="00DA4F96" w:rsidRDefault="0027553B" w:rsidP="00F2109D">
      <w:pPr>
        <w:spacing w:after="0" w:afterAutospacing="0" w:line="240" w:lineRule="auto"/>
        <w:ind w:left="360"/>
        <w:rPr>
          <w:rFonts w:eastAsia="Calibri"/>
          <w:sz w:val="18"/>
          <w:szCs w:val="18"/>
          <w:lang w:val="en-US"/>
        </w:rPr>
      </w:pPr>
      <w:r w:rsidRPr="00DA4F96">
        <w:rPr>
          <w:rFonts w:eastAsia="Calibri"/>
          <w:sz w:val="18"/>
          <w:szCs w:val="18"/>
          <w:lang w:val="en-US"/>
        </w:rPr>
        <w:t>S  Statistical analysis method and results presented</w:t>
      </w:r>
    </w:p>
    <w:p w:rsidR="0027553B" w:rsidRPr="00DA4F96" w:rsidRDefault="0027553B" w:rsidP="00F2109D">
      <w:pPr>
        <w:spacing w:after="0" w:afterAutospacing="0" w:line="240" w:lineRule="auto"/>
        <w:ind w:left="360"/>
        <w:rPr>
          <w:rFonts w:eastAsia="Calibri"/>
          <w:sz w:val="18"/>
          <w:szCs w:val="18"/>
          <w:lang w:val="en-US"/>
        </w:rPr>
      </w:pPr>
      <w:r w:rsidRPr="00DA4F96">
        <w:rPr>
          <w:rFonts w:eastAsia="Calibri" w:cs="Calibri"/>
          <w:sz w:val="18"/>
          <w:szCs w:val="18"/>
          <w:vertAlign w:val="superscript"/>
          <w:lang w:val="en-US"/>
        </w:rPr>
        <w:t>da</w:t>
      </w:r>
      <w:r w:rsidRPr="00DA4F96">
        <w:rPr>
          <w:rFonts w:eastAsia="Calibri" w:cs="Calibri"/>
          <w:sz w:val="18"/>
          <w:szCs w:val="18"/>
          <w:lang w:val="en-US"/>
        </w:rPr>
        <w:t xml:space="preserve">  </w:t>
      </w:r>
      <w:r w:rsidRPr="00DA4F96">
        <w:rPr>
          <w:rFonts w:eastAsia="Calibri"/>
          <w:sz w:val="18"/>
          <w:szCs w:val="18"/>
          <w:lang w:val="en-US"/>
        </w:rPr>
        <w:t>Statistical</w:t>
      </w:r>
      <w:r w:rsidRPr="00DA4F96">
        <w:rPr>
          <w:rFonts w:eastAsia="Calibri" w:cs="Calibri"/>
          <w:sz w:val="18"/>
          <w:szCs w:val="18"/>
          <w:lang w:val="en-US"/>
        </w:rPr>
        <w:t xml:space="preserve"> analysis suggested in text but not clearly evident in data tables. </w:t>
      </w:r>
    </w:p>
    <w:p w:rsidR="0027553B" w:rsidRPr="00DA4F96" w:rsidRDefault="0027553B" w:rsidP="00A1566E">
      <w:pPr>
        <w:spacing w:after="0" w:afterAutospacing="0" w:line="240" w:lineRule="auto"/>
        <w:rPr>
          <w:rFonts w:eastAsia="Calibri"/>
          <w:sz w:val="18"/>
          <w:szCs w:val="18"/>
          <w:lang w:val="en-US"/>
        </w:rPr>
      </w:pPr>
      <w:r w:rsidRPr="00DA4F96">
        <w:rPr>
          <w:rFonts w:eastAsia="Calibri"/>
          <w:sz w:val="18"/>
          <w:szCs w:val="18"/>
          <w:vertAlign w:val="superscript"/>
          <w:lang w:val="en-US"/>
        </w:rPr>
        <w:t>e</w:t>
      </w:r>
      <w:r w:rsidRPr="00DA4F96">
        <w:rPr>
          <w:rFonts w:eastAsia="Calibri"/>
          <w:sz w:val="18"/>
          <w:szCs w:val="18"/>
          <w:lang w:val="en-US"/>
        </w:rPr>
        <w:t xml:space="preserve">  Assay result</w:t>
      </w:r>
    </w:p>
    <w:p w:rsidR="0027553B" w:rsidRPr="00DA4F96" w:rsidRDefault="0027553B" w:rsidP="00F2109D">
      <w:pPr>
        <w:spacing w:after="0" w:afterAutospacing="0" w:line="240" w:lineRule="auto"/>
        <w:ind w:left="360"/>
        <w:rPr>
          <w:rFonts w:eastAsia="Calibri"/>
          <w:sz w:val="18"/>
          <w:szCs w:val="18"/>
          <w:lang w:val="en-US"/>
        </w:rPr>
      </w:pPr>
      <w:r w:rsidRPr="00DA4F96">
        <w:rPr>
          <w:rFonts w:eastAsia="Calibri"/>
          <w:sz w:val="18"/>
          <w:szCs w:val="18"/>
          <w:lang w:val="en-US"/>
        </w:rPr>
        <w:t>neg—negative</w:t>
      </w:r>
    </w:p>
    <w:p w:rsidR="0027553B" w:rsidRPr="00DA4F96" w:rsidRDefault="0027553B" w:rsidP="00F2109D">
      <w:pPr>
        <w:spacing w:after="0" w:afterAutospacing="0" w:line="240" w:lineRule="auto"/>
        <w:ind w:left="360"/>
        <w:rPr>
          <w:rFonts w:eastAsia="Calibri"/>
          <w:sz w:val="18"/>
          <w:szCs w:val="18"/>
          <w:lang w:val="en-US"/>
        </w:rPr>
      </w:pPr>
      <w:r w:rsidRPr="00DA4F96">
        <w:rPr>
          <w:rFonts w:eastAsia="Calibri"/>
          <w:sz w:val="18"/>
          <w:szCs w:val="18"/>
          <w:lang w:val="en-US"/>
        </w:rPr>
        <w:t>pos—positive</w:t>
      </w:r>
    </w:p>
    <w:p w:rsidR="0027553B" w:rsidRPr="00DA4F96" w:rsidRDefault="0027553B" w:rsidP="00F2109D">
      <w:pPr>
        <w:spacing w:after="0" w:afterAutospacing="0" w:line="240" w:lineRule="auto"/>
        <w:ind w:left="360"/>
        <w:rPr>
          <w:rFonts w:eastAsia="Calibri"/>
          <w:sz w:val="18"/>
          <w:szCs w:val="18"/>
          <w:lang w:val="en-US"/>
        </w:rPr>
      </w:pPr>
      <w:r w:rsidRPr="00DA4F96">
        <w:rPr>
          <w:rFonts w:eastAsia="Calibri"/>
          <w:sz w:val="18"/>
          <w:szCs w:val="18"/>
          <w:vertAlign w:val="superscript"/>
          <w:lang w:val="en-US"/>
        </w:rPr>
        <w:t>ea</w:t>
      </w:r>
      <w:r w:rsidRPr="00DA4F96">
        <w:rPr>
          <w:rFonts w:eastAsia="Calibri"/>
          <w:sz w:val="18"/>
          <w:szCs w:val="18"/>
          <w:lang w:val="en-US"/>
        </w:rPr>
        <w:t xml:space="preserve">  Statistically significant increases in revertants/plate observed for some strain/S9 combinations but increases were judged not to be treatment related because they were less than 2-fold and, in most cases, not reproducible or consistent with a dose response.</w:t>
      </w:r>
    </w:p>
    <w:p w:rsidR="0027553B" w:rsidRPr="00DA4F96" w:rsidRDefault="0027553B" w:rsidP="00F2109D">
      <w:pPr>
        <w:spacing w:after="0" w:afterAutospacing="0" w:line="240" w:lineRule="auto"/>
        <w:ind w:left="360"/>
        <w:rPr>
          <w:rFonts w:eastAsia="Calibri" w:cs="Calibri"/>
          <w:sz w:val="18"/>
          <w:szCs w:val="18"/>
          <w:lang w:val="en-US"/>
        </w:rPr>
      </w:pPr>
      <w:r w:rsidRPr="00DA4F96">
        <w:rPr>
          <w:rFonts w:eastAsia="Calibri" w:cs="Calibri"/>
          <w:sz w:val="18"/>
          <w:szCs w:val="18"/>
          <w:vertAlign w:val="superscript"/>
          <w:lang w:val="en-US"/>
        </w:rPr>
        <w:t>eb</w:t>
      </w:r>
      <w:r w:rsidRPr="00DA4F96">
        <w:rPr>
          <w:rFonts w:eastAsia="Calibri" w:cs="Calibri"/>
          <w:sz w:val="18"/>
          <w:szCs w:val="18"/>
          <w:lang w:val="en-US"/>
        </w:rPr>
        <w:t xml:space="preserve">  Several dose levels exceeded control revertants/plate by more than three fold in one experiment for TA98 -</w:t>
      </w:r>
      <w:r w:rsidRPr="00DA4F96">
        <w:rPr>
          <w:rFonts w:eastAsia="Calibri"/>
          <w:sz w:val="18"/>
          <w:szCs w:val="18"/>
          <w:lang w:val="en-US"/>
        </w:rPr>
        <w:t>S9</w:t>
      </w:r>
      <w:r w:rsidRPr="00DA4F96">
        <w:rPr>
          <w:rFonts w:eastAsia="Calibri" w:cs="Calibri"/>
          <w:sz w:val="18"/>
          <w:szCs w:val="18"/>
          <w:lang w:val="en-US"/>
        </w:rPr>
        <w:t xml:space="preserve"> and TA1535 -S9.  There was no dose response and the result was not observed in a second experiment.  The &gt;3-fold response was considered due to low control values rather than a treatment related response.</w:t>
      </w:r>
    </w:p>
    <w:p w:rsidR="0027553B" w:rsidRPr="00DA4F96" w:rsidRDefault="0027553B" w:rsidP="00F2109D">
      <w:pPr>
        <w:spacing w:after="0" w:afterAutospacing="0" w:line="240" w:lineRule="auto"/>
        <w:ind w:left="360"/>
        <w:rPr>
          <w:rFonts w:eastAsia="Calibri" w:cs="Calibri"/>
          <w:sz w:val="18"/>
          <w:szCs w:val="18"/>
          <w:lang w:val="en-US"/>
        </w:rPr>
      </w:pPr>
      <w:r w:rsidRPr="00DA4F96">
        <w:rPr>
          <w:rFonts w:eastAsia="Calibri" w:cs="Calibri"/>
          <w:sz w:val="18"/>
          <w:szCs w:val="18"/>
          <w:vertAlign w:val="superscript"/>
          <w:lang w:val="en-US"/>
        </w:rPr>
        <w:t>ec</w:t>
      </w:r>
      <w:r w:rsidRPr="00DA4F96">
        <w:rPr>
          <w:rFonts w:eastAsia="Calibri" w:cs="Calibri"/>
          <w:sz w:val="18"/>
          <w:szCs w:val="18"/>
          <w:lang w:val="en-US"/>
        </w:rPr>
        <w:t xml:space="preserve">  Results presented as “-“.</w:t>
      </w:r>
    </w:p>
    <w:p w:rsidR="0027553B" w:rsidRPr="00DA4F96" w:rsidRDefault="00D43786" w:rsidP="00A1566E">
      <w:pPr>
        <w:tabs>
          <w:tab w:val="left" w:pos="11610"/>
        </w:tabs>
        <w:spacing w:after="0" w:afterAutospacing="0" w:line="240" w:lineRule="auto"/>
        <w:ind w:right="720"/>
        <w:rPr>
          <w:rFonts w:eastAsia="Calibri" w:cs="Calibri"/>
          <w:sz w:val="18"/>
          <w:szCs w:val="18"/>
          <w:vertAlign w:val="superscript"/>
          <w:lang w:val="en-US"/>
        </w:rPr>
      </w:pPr>
      <w:r w:rsidRPr="00DA4F96">
        <w:rPr>
          <w:rFonts w:eastAsia="Calibri"/>
          <w:sz w:val="18"/>
          <w:szCs w:val="18"/>
          <w:vertAlign w:val="superscript"/>
          <w:lang w:val="en-US"/>
        </w:rPr>
        <w:t xml:space="preserve">f   </w:t>
      </w:r>
      <w:r w:rsidRPr="00DA4F96">
        <w:rPr>
          <w:rFonts w:eastAsia="Calibri"/>
          <w:sz w:val="18"/>
          <w:szCs w:val="18"/>
          <w:lang w:val="en-US"/>
        </w:rPr>
        <w:t xml:space="preserve">References listed in Table 1 that are not found in </w:t>
      </w:r>
      <w:r w:rsidRPr="00DA4F96">
        <w:rPr>
          <w:rFonts w:eastAsia="Calibri"/>
          <w:noProof/>
          <w:sz w:val="18"/>
          <w:szCs w:val="18"/>
          <w:lang w:val="en-US"/>
        </w:rPr>
        <w:t>Kier and Kirkland (2013)</w:t>
      </w:r>
      <w:r w:rsidRPr="00DA4F96">
        <w:rPr>
          <w:rFonts w:eastAsia="Calibri"/>
          <w:sz w:val="18"/>
          <w:szCs w:val="18"/>
          <w:lang w:val="en-US"/>
        </w:rPr>
        <w:t xml:space="preserve"> are marked with an * and listed within the bibliography</w:t>
      </w:r>
    </w:p>
    <w:p w:rsidR="0027553B" w:rsidRPr="00DA4F96" w:rsidRDefault="0027553B">
      <w:pPr>
        <w:spacing w:after="200" w:line="276" w:lineRule="auto"/>
        <w:rPr>
          <w:rFonts w:eastAsia="Calibri" w:cs="Calibri"/>
          <w:lang w:val="en-US"/>
        </w:rPr>
      </w:pPr>
      <w:r w:rsidRPr="00DA4F96">
        <w:rPr>
          <w:rFonts w:eastAsia="Calibri" w:cs="Calibri"/>
          <w:lang w:val="en-US"/>
        </w:rPr>
        <w:br w:type="page"/>
      </w:r>
    </w:p>
    <w:p w:rsidR="00C275D9" w:rsidRPr="00585C51" w:rsidRDefault="00C275D9" w:rsidP="00585C51">
      <w:pPr>
        <w:spacing w:after="120" w:afterAutospacing="0" w:line="240" w:lineRule="auto"/>
        <w:outlineLvl w:val="0"/>
        <w:rPr>
          <w:rFonts w:eastAsia="Calibri"/>
          <w:sz w:val="20"/>
          <w:lang w:val="en-US"/>
        </w:rPr>
      </w:pPr>
      <w:r w:rsidRPr="00585C51">
        <w:rPr>
          <w:rFonts w:eastAsia="Calibri"/>
          <w:sz w:val="20"/>
          <w:lang w:val="en-US"/>
        </w:rPr>
        <w:lastRenderedPageBreak/>
        <w:t xml:space="preserve">Table 2.  </w:t>
      </w:r>
      <w:r w:rsidRPr="0014788A">
        <w:rPr>
          <w:rFonts w:eastAsia="Calibri"/>
          <w:i/>
          <w:sz w:val="20"/>
          <w:lang w:val="en-US"/>
        </w:rPr>
        <w:t xml:space="preserve">In </w:t>
      </w:r>
      <w:r w:rsidR="00585C51" w:rsidRPr="0014788A">
        <w:rPr>
          <w:rFonts w:eastAsia="Calibri"/>
          <w:i/>
          <w:sz w:val="20"/>
          <w:lang w:val="en-US"/>
        </w:rPr>
        <w:t>vitro</w:t>
      </w:r>
      <w:r w:rsidR="00585C51" w:rsidRPr="00585C51">
        <w:rPr>
          <w:rFonts w:eastAsia="Calibri"/>
          <w:sz w:val="20"/>
          <w:lang w:val="en-US"/>
        </w:rPr>
        <w:t xml:space="preserve"> mammalian cell studies</w:t>
      </w:r>
      <w:r w:rsidRPr="00585C51">
        <w:rPr>
          <w:rFonts w:eastAsia="Calibri"/>
          <w:sz w:val="20"/>
          <w:lang w:val="en-US"/>
        </w:rPr>
        <w:t>.</w:t>
      </w:r>
    </w:p>
    <w:tbl>
      <w:tblPr>
        <w:tblStyle w:val="TableGrid4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6"/>
        <w:gridCol w:w="1679"/>
        <w:gridCol w:w="1376"/>
        <w:gridCol w:w="763"/>
        <w:gridCol w:w="718"/>
        <w:gridCol w:w="1355"/>
        <w:gridCol w:w="2503"/>
      </w:tblGrid>
      <w:tr w:rsidR="00C275D9" w:rsidRPr="00585C51" w:rsidTr="00B52E94">
        <w:trPr>
          <w:cantSplit/>
        </w:trPr>
        <w:tc>
          <w:tcPr>
            <w:tcW w:w="119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Endpoint</w:t>
            </w:r>
            <w:r w:rsidRPr="00585C51">
              <w:rPr>
                <w:rFonts w:cs="Arial"/>
                <w:sz w:val="18"/>
                <w:szCs w:val="18"/>
                <w:vertAlign w:val="superscript"/>
                <w:lang w:val="en-US"/>
              </w:rPr>
              <w:t>a</w:t>
            </w:r>
          </w:p>
        </w:tc>
        <w:tc>
          <w:tcPr>
            <w:tcW w:w="1679" w:type="dxa"/>
            <w:tcMar>
              <w:top w:w="43" w:type="dxa"/>
              <w:left w:w="115" w:type="dxa"/>
              <w:bottom w:w="43" w:type="dxa"/>
              <w:right w:w="115" w:type="dxa"/>
            </w:tcMar>
          </w:tcPr>
          <w:p w:rsidR="00C275D9" w:rsidRPr="00585C51" w:rsidRDefault="00C275D9" w:rsidP="00B52E94">
            <w:pPr>
              <w:spacing w:after="0" w:afterAutospacing="0" w:line="240" w:lineRule="auto"/>
              <w:rPr>
                <w:rFonts w:cs="Arial"/>
                <w:sz w:val="18"/>
                <w:szCs w:val="18"/>
                <w:lang w:val="en-US"/>
              </w:rPr>
            </w:pPr>
            <w:r w:rsidRPr="00585C51">
              <w:rPr>
                <w:rFonts w:cs="Arial"/>
                <w:sz w:val="18"/>
                <w:szCs w:val="18"/>
                <w:lang w:val="en-US"/>
              </w:rPr>
              <w:t xml:space="preserve">Test </w:t>
            </w:r>
            <w:r w:rsidR="00B52E94">
              <w:rPr>
                <w:rFonts w:cs="Arial"/>
                <w:sz w:val="18"/>
                <w:szCs w:val="18"/>
                <w:lang w:val="en-US"/>
              </w:rPr>
              <w:t>s</w:t>
            </w:r>
            <w:r w:rsidRPr="00585C51">
              <w:rPr>
                <w:rFonts w:cs="Arial"/>
                <w:sz w:val="18"/>
                <w:szCs w:val="18"/>
                <w:lang w:val="en-US"/>
              </w:rPr>
              <w:t>ystem</w:t>
            </w:r>
            <w:r w:rsidRPr="00585C51">
              <w:rPr>
                <w:rFonts w:cs="Arial"/>
                <w:sz w:val="18"/>
                <w:szCs w:val="18"/>
                <w:vertAlign w:val="superscript"/>
                <w:lang w:val="en-US"/>
              </w:rPr>
              <w:t>b</w:t>
            </w:r>
          </w:p>
        </w:tc>
        <w:tc>
          <w:tcPr>
            <w:tcW w:w="1376" w:type="dxa"/>
            <w:tcMar>
              <w:top w:w="43" w:type="dxa"/>
              <w:left w:w="115" w:type="dxa"/>
              <w:bottom w:w="43" w:type="dxa"/>
              <w:right w:w="115" w:type="dxa"/>
            </w:tcMar>
          </w:tcPr>
          <w:p w:rsidR="00C275D9" w:rsidRPr="00585C51" w:rsidRDefault="00C275D9" w:rsidP="00B52E94">
            <w:pPr>
              <w:spacing w:after="0" w:afterAutospacing="0" w:line="240" w:lineRule="auto"/>
              <w:rPr>
                <w:rFonts w:cs="Arial"/>
                <w:sz w:val="18"/>
                <w:szCs w:val="18"/>
                <w:lang w:val="en-US"/>
              </w:rPr>
            </w:pPr>
            <w:r w:rsidRPr="00585C51">
              <w:rPr>
                <w:rFonts w:cs="Arial"/>
                <w:sz w:val="18"/>
                <w:szCs w:val="18"/>
                <w:lang w:val="en-US"/>
              </w:rPr>
              <w:t xml:space="preserve">High </w:t>
            </w:r>
            <w:r w:rsidR="00B52E94">
              <w:rPr>
                <w:rFonts w:cs="Arial"/>
                <w:sz w:val="18"/>
                <w:szCs w:val="18"/>
                <w:lang w:val="en-US"/>
              </w:rPr>
              <w:t>d</w:t>
            </w:r>
            <w:r w:rsidRPr="00585C51">
              <w:rPr>
                <w:rFonts w:cs="Arial"/>
                <w:sz w:val="18"/>
                <w:szCs w:val="18"/>
                <w:lang w:val="en-US"/>
              </w:rPr>
              <w:t>ose</w:t>
            </w:r>
            <w:r w:rsidRPr="00585C51">
              <w:rPr>
                <w:rFonts w:cs="Arial"/>
                <w:sz w:val="18"/>
                <w:szCs w:val="18"/>
                <w:vertAlign w:val="superscript"/>
                <w:lang w:val="en-US"/>
              </w:rPr>
              <w:t>c</w:t>
            </w:r>
          </w:p>
        </w:tc>
        <w:tc>
          <w:tcPr>
            <w:tcW w:w="76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Max</w:t>
            </w:r>
            <w:r w:rsidRPr="00585C51">
              <w:rPr>
                <w:rFonts w:cs="Arial"/>
                <w:sz w:val="18"/>
                <w:szCs w:val="18"/>
                <w:vertAlign w:val="superscript"/>
                <w:lang w:val="en-US"/>
              </w:rPr>
              <w:t>d</w:t>
            </w:r>
          </w:p>
        </w:tc>
        <w:tc>
          <w:tcPr>
            <w:tcW w:w="718"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Stat</w:t>
            </w:r>
            <w:r w:rsidRPr="00585C51">
              <w:rPr>
                <w:rFonts w:cs="Arial"/>
                <w:sz w:val="18"/>
                <w:szCs w:val="18"/>
                <w:vertAlign w:val="superscript"/>
                <w:lang w:val="en-US"/>
              </w:rPr>
              <w:t>e</w:t>
            </w:r>
          </w:p>
        </w:tc>
        <w:tc>
          <w:tcPr>
            <w:tcW w:w="1355"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Result</w:t>
            </w:r>
            <w:r w:rsidRPr="00585C51">
              <w:rPr>
                <w:rFonts w:cs="Arial"/>
                <w:sz w:val="18"/>
                <w:szCs w:val="18"/>
                <w:vertAlign w:val="superscript"/>
                <w:lang w:val="en-US"/>
              </w:rPr>
              <w:t>f</w:t>
            </w:r>
          </w:p>
        </w:tc>
        <w:tc>
          <w:tcPr>
            <w:tcW w:w="250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Ref</w:t>
            </w:r>
            <w:r w:rsidRPr="00585C51">
              <w:rPr>
                <w:rFonts w:cs="Arial"/>
                <w:sz w:val="18"/>
                <w:szCs w:val="18"/>
                <w:vertAlign w:val="superscript"/>
                <w:lang w:val="en-US"/>
              </w:rPr>
              <w:t>g</w:t>
            </w:r>
          </w:p>
        </w:tc>
      </w:tr>
      <w:tr w:rsidR="00B52E94" w:rsidRPr="00585C51" w:rsidTr="003A4729">
        <w:trPr>
          <w:cantSplit/>
        </w:trPr>
        <w:tc>
          <w:tcPr>
            <w:tcW w:w="9590" w:type="dxa"/>
            <w:gridSpan w:val="7"/>
            <w:tcMar>
              <w:top w:w="43" w:type="dxa"/>
              <w:left w:w="115" w:type="dxa"/>
              <w:bottom w:w="43" w:type="dxa"/>
              <w:right w:w="115" w:type="dxa"/>
            </w:tcMar>
          </w:tcPr>
          <w:p w:rsidR="00B52E94" w:rsidRPr="00585C51" w:rsidRDefault="00B52E94" w:rsidP="00585C51">
            <w:pPr>
              <w:spacing w:after="0" w:afterAutospacing="0" w:line="240" w:lineRule="auto"/>
              <w:rPr>
                <w:rFonts w:cs="Arial"/>
                <w:sz w:val="18"/>
                <w:szCs w:val="18"/>
                <w:lang w:val="en-US"/>
              </w:rPr>
            </w:pPr>
            <w:r w:rsidRPr="00585C51">
              <w:rPr>
                <w:rFonts w:cs="Arial"/>
                <w:b/>
                <w:sz w:val="18"/>
                <w:szCs w:val="18"/>
                <w:lang w:val="en-US"/>
              </w:rPr>
              <w:t>Glyphosate and Salts</w:t>
            </w:r>
          </w:p>
        </w:tc>
      </w:tr>
      <w:tr w:rsidR="00B52E94" w:rsidRPr="00585C51" w:rsidTr="003A4729">
        <w:trPr>
          <w:cantSplit/>
        </w:trPr>
        <w:tc>
          <w:tcPr>
            <w:tcW w:w="9590" w:type="dxa"/>
            <w:gridSpan w:val="7"/>
            <w:tcMar>
              <w:top w:w="43" w:type="dxa"/>
              <w:left w:w="115" w:type="dxa"/>
              <w:bottom w:w="43" w:type="dxa"/>
              <w:right w:w="115" w:type="dxa"/>
            </w:tcMar>
          </w:tcPr>
          <w:p w:rsidR="00B52E94" w:rsidRPr="00585C51" w:rsidRDefault="00B52E94" w:rsidP="00585C51">
            <w:pPr>
              <w:spacing w:after="0" w:afterAutospacing="0" w:line="240" w:lineRule="auto"/>
              <w:rPr>
                <w:rFonts w:cs="Arial"/>
                <w:sz w:val="18"/>
                <w:szCs w:val="18"/>
                <w:lang w:val="en-US"/>
              </w:rPr>
            </w:pPr>
            <w:r w:rsidRPr="00585C51">
              <w:rPr>
                <w:rFonts w:cs="Arial"/>
                <w:i/>
                <w:sz w:val="18"/>
                <w:szCs w:val="18"/>
                <w:lang w:val="en-US"/>
              </w:rPr>
              <w:t>Regulatory Studies</w:t>
            </w:r>
          </w:p>
        </w:tc>
      </w:tr>
      <w:tr w:rsidR="00C275D9" w:rsidRPr="00585C51" w:rsidTr="00B52E94">
        <w:trPr>
          <w:cantSplit/>
        </w:trPr>
        <w:tc>
          <w:tcPr>
            <w:tcW w:w="119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Tk</w:t>
            </w:r>
          </w:p>
        </w:tc>
        <w:tc>
          <w:tcPr>
            <w:tcW w:w="1679"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ML</w:t>
            </w:r>
          </w:p>
        </w:tc>
        <w:tc>
          <w:tcPr>
            <w:tcW w:w="137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4200-5000  µg/mL</w:t>
            </w:r>
          </w:p>
        </w:tc>
        <w:tc>
          <w:tcPr>
            <w:tcW w:w="76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w:t>
            </w:r>
          </w:p>
        </w:tc>
        <w:tc>
          <w:tcPr>
            <w:tcW w:w="718"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w:t>
            </w:r>
          </w:p>
        </w:tc>
        <w:tc>
          <w:tcPr>
            <w:tcW w:w="1355"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250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Jensen (1991b)</w:t>
            </w:r>
          </w:p>
        </w:tc>
      </w:tr>
      <w:tr w:rsidR="00C275D9" w:rsidRPr="00585C51" w:rsidTr="00B52E94">
        <w:trPr>
          <w:cantSplit/>
        </w:trPr>
        <w:tc>
          <w:tcPr>
            <w:tcW w:w="119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Tk</w:t>
            </w:r>
          </w:p>
        </w:tc>
        <w:tc>
          <w:tcPr>
            <w:tcW w:w="1679"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ML</w:t>
            </w:r>
          </w:p>
        </w:tc>
        <w:tc>
          <w:tcPr>
            <w:tcW w:w="137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1000  µg/mL</w:t>
            </w:r>
          </w:p>
        </w:tc>
        <w:tc>
          <w:tcPr>
            <w:tcW w:w="76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w:t>
            </w:r>
          </w:p>
        </w:tc>
        <w:tc>
          <w:tcPr>
            <w:tcW w:w="718"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w:t>
            </w:r>
          </w:p>
        </w:tc>
        <w:tc>
          <w:tcPr>
            <w:tcW w:w="1355"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250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Clay (1996)</w:t>
            </w:r>
          </w:p>
        </w:tc>
      </w:tr>
      <w:tr w:rsidR="00C275D9" w:rsidRPr="00585C51" w:rsidTr="00B52E94">
        <w:trPr>
          <w:cantSplit/>
        </w:trPr>
        <w:tc>
          <w:tcPr>
            <w:tcW w:w="119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CA</w:t>
            </w:r>
          </w:p>
        </w:tc>
        <w:tc>
          <w:tcPr>
            <w:tcW w:w="1679"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HL</w:t>
            </w:r>
          </w:p>
        </w:tc>
        <w:tc>
          <w:tcPr>
            <w:tcW w:w="137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333  µg/mL</w:t>
            </w:r>
          </w:p>
        </w:tc>
        <w:tc>
          <w:tcPr>
            <w:tcW w:w="76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T</w:t>
            </w:r>
          </w:p>
        </w:tc>
        <w:tc>
          <w:tcPr>
            <w:tcW w:w="718"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1355"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250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w:t>
            </w:r>
            <w:r w:rsidR="00D35542">
              <w:rPr>
                <w:rFonts w:cs="Arial"/>
                <w:noProof/>
                <w:sz w:val="18"/>
                <w:szCs w:val="18"/>
                <w:lang w:val="en-US"/>
              </w:rPr>
              <w:t>v</w:t>
            </w:r>
            <w:r w:rsidRPr="00585C51">
              <w:rPr>
                <w:rFonts w:cs="Arial"/>
                <w:noProof/>
                <w:sz w:val="18"/>
                <w:szCs w:val="18"/>
                <w:lang w:val="en-US"/>
              </w:rPr>
              <w:t>an de Waart (1995)</w:t>
            </w:r>
          </w:p>
        </w:tc>
      </w:tr>
      <w:tr w:rsidR="00C275D9" w:rsidRPr="00585C51" w:rsidTr="00B52E94">
        <w:trPr>
          <w:cantSplit/>
        </w:trPr>
        <w:tc>
          <w:tcPr>
            <w:tcW w:w="119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CA</w:t>
            </w:r>
          </w:p>
        </w:tc>
        <w:tc>
          <w:tcPr>
            <w:tcW w:w="1679"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HL</w:t>
            </w:r>
          </w:p>
        </w:tc>
        <w:tc>
          <w:tcPr>
            <w:tcW w:w="137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1250  µg/mL</w:t>
            </w:r>
          </w:p>
        </w:tc>
        <w:tc>
          <w:tcPr>
            <w:tcW w:w="76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w:t>
            </w:r>
          </w:p>
        </w:tc>
        <w:tc>
          <w:tcPr>
            <w:tcW w:w="718"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1355"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250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Wright (1996)</w:t>
            </w:r>
          </w:p>
        </w:tc>
      </w:tr>
      <w:tr w:rsidR="00C275D9" w:rsidRPr="00585C51" w:rsidTr="00B52E94">
        <w:trPr>
          <w:cantSplit/>
        </w:trPr>
        <w:tc>
          <w:tcPr>
            <w:tcW w:w="119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CA</w:t>
            </w:r>
          </w:p>
        </w:tc>
        <w:tc>
          <w:tcPr>
            <w:tcW w:w="1679"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HL</w:t>
            </w:r>
          </w:p>
        </w:tc>
        <w:tc>
          <w:tcPr>
            <w:tcW w:w="137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1250  µg/mL</w:t>
            </w:r>
          </w:p>
        </w:tc>
        <w:tc>
          <w:tcPr>
            <w:tcW w:w="76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T</w:t>
            </w:r>
          </w:p>
        </w:tc>
        <w:tc>
          <w:tcPr>
            <w:tcW w:w="718"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1355"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250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Fox (1998)</w:t>
            </w:r>
          </w:p>
        </w:tc>
      </w:tr>
      <w:tr w:rsidR="00C275D9" w:rsidRPr="00585C51" w:rsidTr="00B52E94">
        <w:trPr>
          <w:cantSplit/>
        </w:trPr>
        <w:tc>
          <w:tcPr>
            <w:tcW w:w="119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CA</w:t>
            </w:r>
          </w:p>
        </w:tc>
        <w:tc>
          <w:tcPr>
            <w:tcW w:w="1679"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CHL</w:t>
            </w:r>
          </w:p>
        </w:tc>
        <w:tc>
          <w:tcPr>
            <w:tcW w:w="137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1000  µg/mL</w:t>
            </w:r>
          </w:p>
        </w:tc>
        <w:tc>
          <w:tcPr>
            <w:tcW w:w="76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w:t>
            </w:r>
            <w:r w:rsidRPr="00585C51">
              <w:rPr>
                <w:rFonts w:cs="Arial"/>
                <w:sz w:val="18"/>
                <w:szCs w:val="18"/>
                <w:vertAlign w:val="superscript"/>
                <w:lang w:val="en-US"/>
              </w:rPr>
              <w:t>da</w:t>
            </w:r>
          </w:p>
        </w:tc>
        <w:tc>
          <w:tcPr>
            <w:tcW w:w="718"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w:t>
            </w:r>
          </w:p>
        </w:tc>
        <w:tc>
          <w:tcPr>
            <w:tcW w:w="1355"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250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Matsumoto (1995)</w:t>
            </w:r>
          </w:p>
        </w:tc>
      </w:tr>
      <w:tr w:rsidR="00C275D9" w:rsidRPr="00585C51" w:rsidTr="00B52E94">
        <w:trPr>
          <w:cantSplit/>
        </w:trPr>
        <w:tc>
          <w:tcPr>
            <w:tcW w:w="119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p>
        </w:tc>
        <w:tc>
          <w:tcPr>
            <w:tcW w:w="1679"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p>
        </w:tc>
        <w:tc>
          <w:tcPr>
            <w:tcW w:w="137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p>
        </w:tc>
        <w:tc>
          <w:tcPr>
            <w:tcW w:w="76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p>
        </w:tc>
        <w:tc>
          <w:tcPr>
            <w:tcW w:w="718"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p>
        </w:tc>
        <w:tc>
          <w:tcPr>
            <w:tcW w:w="1355"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p>
        </w:tc>
        <w:tc>
          <w:tcPr>
            <w:tcW w:w="250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p>
        </w:tc>
      </w:tr>
      <w:tr w:rsidR="00C275D9" w:rsidRPr="00585C51" w:rsidTr="00B52E94">
        <w:trPr>
          <w:cantSplit/>
        </w:trPr>
        <w:tc>
          <w:tcPr>
            <w:tcW w:w="119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UDS</w:t>
            </w:r>
          </w:p>
        </w:tc>
        <w:tc>
          <w:tcPr>
            <w:tcW w:w="1679"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PRH</w:t>
            </w:r>
          </w:p>
        </w:tc>
        <w:tc>
          <w:tcPr>
            <w:tcW w:w="137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color w:val="000000"/>
                <w:sz w:val="18"/>
                <w:szCs w:val="18"/>
                <w:lang w:val="en-US"/>
              </w:rPr>
              <w:t>111.69 mM</w:t>
            </w:r>
          </w:p>
        </w:tc>
        <w:tc>
          <w:tcPr>
            <w:tcW w:w="76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T</w:t>
            </w:r>
          </w:p>
        </w:tc>
        <w:tc>
          <w:tcPr>
            <w:tcW w:w="718"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w:t>
            </w:r>
          </w:p>
        </w:tc>
        <w:tc>
          <w:tcPr>
            <w:tcW w:w="1355"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250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color w:val="000000"/>
                <w:sz w:val="18"/>
                <w:szCs w:val="18"/>
                <w:lang w:val="en-US"/>
              </w:rPr>
              <w:t>Rossberger (1994)</w:t>
            </w:r>
          </w:p>
        </w:tc>
      </w:tr>
      <w:tr w:rsidR="00B52E94" w:rsidRPr="00585C51" w:rsidTr="003A4729">
        <w:trPr>
          <w:cantSplit/>
        </w:trPr>
        <w:tc>
          <w:tcPr>
            <w:tcW w:w="9590" w:type="dxa"/>
            <w:gridSpan w:val="7"/>
            <w:tcMar>
              <w:top w:w="43" w:type="dxa"/>
              <w:left w:w="115" w:type="dxa"/>
              <w:bottom w:w="43" w:type="dxa"/>
              <w:right w:w="115" w:type="dxa"/>
            </w:tcMar>
          </w:tcPr>
          <w:p w:rsidR="00B52E94" w:rsidRPr="00585C51" w:rsidRDefault="00B52E94" w:rsidP="00585C51">
            <w:pPr>
              <w:spacing w:after="0" w:afterAutospacing="0" w:line="240" w:lineRule="auto"/>
              <w:rPr>
                <w:rFonts w:cs="Arial"/>
                <w:sz w:val="18"/>
                <w:szCs w:val="18"/>
                <w:lang w:val="en-US"/>
              </w:rPr>
            </w:pPr>
            <w:r>
              <w:rPr>
                <w:rFonts w:cs="Arial"/>
                <w:i/>
                <w:sz w:val="18"/>
                <w:szCs w:val="18"/>
                <w:lang w:val="en-US"/>
              </w:rPr>
              <w:t xml:space="preserve">Published/Public </w:t>
            </w:r>
            <w:r w:rsidRPr="00585C51">
              <w:rPr>
                <w:rFonts w:cs="Arial"/>
                <w:i/>
                <w:sz w:val="18"/>
                <w:szCs w:val="18"/>
                <w:lang w:val="en-US"/>
              </w:rPr>
              <w:t>Studies</w:t>
            </w:r>
          </w:p>
        </w:tc>
      </w:tr>
      <w:tr w:rsidR="00C275D9" w:rsidRPr="00585C51" w:rsidTr="00B52E94">
        <w:trPr>
          <w:cantSplit/>
        </w:trPr>
        <w:tc>
          <w:tcPr>
            <w:tcW w:w="119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CA</w:t>
            </w:r>
          </w:p>
        </w:tc>
        <w:tc>
          <w:tcPr>
            <w:tcW w:w="1679"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HL</w:t>
            </w:r>
          </w:p>
        </w:tc>
        <w:tc>
          <w:tcPr>
            <w:tcW w:w="137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51 µM</w:t>
            </w:r>
          </w:p>
        </w:tc>
        <w:tc>
          <w:tcPr>
            <w:tcW w:w="76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w:t>
            </w:r>
            <w:r w:rsidRPr="00585C51">
              <w:rPr>
                <w:rFonts w:cs="Arial"/>
                <w:sz w:val="18"/>
                <w:szCs w:val="18"/>
                <w:vertAlign w:val="superscript"/>
                <w:lang w:val="en-US"/>
              </w:rPr>
              <w:t>da</w:t>
            </w:r>
          </w:p>
        </w:tc>
        <w:tc>
          <w:tcPr>
            <w:tcW w:w="718"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1355"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pos</w:t>
            </w:r>
          </w:p>
        </w:tc>
        <w:tc>
          <w:tcPr>
            <w:tcW w:w="250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w:t>
            </w:r>
            <w:r w:rsidRPr="00585C51">
              <w:rPr>
                <w:rFonts w:cs="Arial"/>
                <w:noProof/>
                <w:sz w:val="18"/>
                <w:szCs w:val="18"/>
                <w:lang w:val="en-US"/>
              </w:rPr>
              <w:t>Lioi et al. (1998)</w:t>
            </w:r>
          </w:p>
        </w:tc>
      </w:tr>
      <w:tr w:rsidR="00C275D9" w:rsidRPr="00585C51" w:rsidTr="00B52E94">
        <w:trPr>
          <w:cantSplit/>
        </w:trPr>
        <w:tc>
          <w:tcPr>
            <w:tcW w:w="119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CB MN</w:t>
            </w:r>
          </w:p>
        </w:tc>
        <w:tc>
          <w:tcPr>
            <w:tcW w:w="1679"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BL</w:t>
            </w:r>
          </w:p>
        </w:tc>
        <w:tc>
          <w:tcPr>
            <w:tcW w:w="137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0.56 mM</w:t>
            </w:r>
          </w:p>
        </w:tc>
        <w:tc>
          <w:tcPr>
            <w:tcW w:w="76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w:t>
            </w:r>
          </w:p>
        </w:tc>
        <w:tc>
          <w:tcPr>
            <w:tcW w:w="718"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1355"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inc</w:t>
            </w:r>
            <w:r w:rsidRPr="00585C51">
              <w:rPr>
                <w:rFonts w:cs="Arial"/>
                <w:sz w:val="18"/>
                <w:szCs w:val="18"/>
                <w:vertAlign w:val="superscript"/>
                <w:lang w:val="en-US"/>
              </w:rPr>
              <w:t>fa</w:t>
            </w:r>
          </w:p>
        </w:tc>
        <w:tc>
          <w:tcPr>
            <w:tcW w:w="250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noProof/>
                <w:sz w:val="18"/>
                <w:szCs w:val="18"/>
                <w:lang w:val="en-US"/>
              </w:rPr>
              <w:t>Piesova (2004)</w:t>
            </w:r>
          </w:p>
        </w:tc>
      </w:tr>
      <w:tr w:rsidR="00C275D9" w:rsidRPr="00585C51" w:rsidTr="00B52E94">
        <w:trPr>
          <w:cantSplit/>
        </w:trPr>
        <w:tc>
          <w:tcPr>
            <w:tcW w:w="119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CB MN</w:t>
            </w:r>
          </w:p>
        </w:tc>
        <w:tc>
          <w:tcPr>
            <w:tcW w:w="1679"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BL</w:t>
            </w:r>
          </w:p>
        </w:tc>
        <w:tc>
          <w:tcPr>
            <w:tcW w:w="137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0.56 mM</w:t>
            </w:r>
          </w:p>
        </w:tc>
        <w:tc>
          <w:tcPr>
            <w:tcW w:w="76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w:t>
            </w:r>
          </w:p>
        </w:tc>
        <w:tc>
          <w:tcPr>
            <w:tcW w:w="718"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1355"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inc</w:t>
            </w:r>
            <w:r w:rsidRPr="00585C51">
              <w:rPr>
                <w:rFonts w:cs="Arial"/>
                <w:sz w:val="18"/>
                <w:szCs w:val="18"/>
                <w:vertAlign w:val="superscript"/>
                <w:lang w:val="en-US"/>
              </w:rPr>
              <w:t>fa</w:t>
            </w:r>
          </w:p>
        </w:tc>
        <w:tc>
          <w:tcPr>
            <w:tcW w:w="250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noProof/>
                <w:sz w:val="18"/>
                <w:szCs w:val="18"/>
                <w:lang w:val="en-US"/>
              </w:rPr>
              <w:t>Piesova (2005)</w:t>
            </w:r>
          </w:p>
        </w:tc>
      </w:tr>
      <w:tr w:rsidR="00C275D9" w:rsidRPr="00585C51" w:rsidTr="00B52E94">
        <w:trPr>
          <w:cantSplit/>
        </w:trPr>
        <w:tc>
          <w:tcPr>
            <w:tcW w:w="119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CA (1)</w:t>
            </w:r>
          </w:p>
        </w:tc>
        <w:tc>
          <w:tcPr>
            <w:tcW w:w="1679"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BL</w:t>
            </w:r>
          </w:p>
        </w:tc>
        <w:tc>
          <w:tcPr>
            <w:tcW w:w="137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1.12 mM</w:t>
            </w:r>
          </w:p>
        </w:tc>
        <w:tc>
          <w:tcPr>
            <w:tcW w:w="76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T</w:t>
            </w:r>
            <w:r w:rsidRPr="00585C51">
              <w:rPr>
                <w:rFonts w:cs="Arial"/>
                <w:sz w:val="18"/>
                <w:szCs w:val="18"/>
                <w:vertAlign w:val="superscript"/>
                <w:lang w:val="en-US"/>
              </w:rPr>
              <w:t>db</w:t>
            </w:r>
          </w:p>
        </w:tc>
        <w:tc>
          <w:tcPr>
            <w:tcW w:w="718"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1355"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r w:rsidRPr="00585C51">
              <w:rPr>
                <w:rFonts w:cs="Arial"/>
                <w:sz w:val="18"/>
                <w:szCs w:val="18"/>
                <w:vertAlign w:val="superscript"/>
                <w:lang w:val="en-US"/>
              </w:rPr>
              <w:t>fb</w:t>
            </w:r>
          </w:p>
        </w:tc>
        <w:tc>
          <w:tcPr>
            <w:tcW w:w="250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w:t>
            </w:r>
            <w:r w:rsidRPr="00585C51">
              <w:rPr>
                <w:rFonts w:cs="Arial"/>
                <w:noProof/>
                <w:sz w:val="18"/>
                <w:szCs w:val="18"/>
                <w:lang w:val="en-US"/>
              </w:rPr>
              <w:t>Holeckova (2006)</w:t>
            </w:r>
          </w:p>
        </w:tc>
      </w:tr>
      <w:tr w:rsidR="00C275D9" w:rsidRPr="00585C51" w:rsidTr="00B52E94">
        <w:trPr>
          <w:cantSplit/>
        </w:trPr>
        <w:tc>
          <w:tcPr>
            <w:tcW w:w="119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CB MN</w:t>
            </w:r>
          </w:p>
        </w:tc>
        <w:tc>
          <w:tcPr>
            <w:tcW w:w="1679"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HL</w:t>
            </w:r>
          </w:p>
        </w:tc>
        <w:tc>
          <w:tcPr>
            <w:tcW w:w="137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580 µg/mL</w:t>
            </w:r>
          </w:p>
        </w:tc>
        <w:tc>
          <w:tcPr>
            <w:tcW w:w="76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T</w:t>
            </w:r>
          </w:p>
        </w:tc>
        <w:tc>
          <w:tcPr>
            <w:tcW w:w="718"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1355"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pos?</w:t>
            </w:r>
            <w:r w:rsidRPr="00585C51">
              <w:rPr>
                <w:rFonts w:cs="Arial"/>
                <w:sz w:val="18"/>
                <w:szCs w:val="18"/>
                <w:vertAlign w:val="superscript"/>
                <w:lang w:val="en-US"/>
              </w:rPr>
              <w:t>fc</w:t>
            </w:r>
          </w:p>
        </w:tc>
        <w:tc>
          <w:tcPr>
            <w:tcW w:w="2503" w:type="dxa"/>
            <w:tcMar>
              <w:top w:w="43" w:type="dxa"/>
              <w:left w:w="115" w:type="dxa"/>
              <w:bottom w:w="43" w:type="dxa"/>
              <w:right w:w="115" w:type="dxa"/>
            </w:tcMar>
          </w:tcPr>
          <w:p w:rsidR="00C275D9" w:rsidRPr="00585C51" w:rsidRDefault="00C275D9" w:rsidP="005F19A8">
            <w:pPr>
              <w:spacing w:after="0" w:afterAutospacing="0" w:line="240" w:lineRule="auto"/>
              <w:rPr>
                <w:rFonts w:cs="Arial"/>
                <w:sz w:val="18"/>
                <w:szCs w:val="18"/>
                <w:lang w:val="en-US"/>
              </w:rPr>
            </w:pPr>
            <w:r w:rsidRPr="00585C51">
              <w:rPr>
                <w:rFonts w:cs="Arial"/>
                <w:sz w:val="18"/>
                <w:szCs w:val="18"/>
                <w:lang w:val="en-US"/>
              </w:rPr>
              <w:t>Mladinic et al. (2009)</w:t>
            </w:r>
            <w:r w:rsidRPr="00585C51">
              <w:rPr>
                <w:rFonts w:cs="Arial"/>
                <w:sz w:val="18"/>
                <w:szCs w:val="18"/>
                <w:vertAlign w:val="superscript"/>
                <w:lang w:val="en-US"/>
              </w:rPr>
              <w:t>h</w:t>
            </w:r>
          </w:p>
        </w:tc>
      </w:tr>
      <w:tr w:rsidR="00C275D9" w:rsidRPr="00585C51" w:rsidTr="00B52E94">
        <w:trPr>
          <w:cantSplit/>
        </w:trPr>
        <w:tc>
          <w:tcPr>
            <w:tcW w:w="119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CB MN</w:t>
            </w:r>
          </w:p>
        </w:tc>
        <w:tc>
          <w:tcPr>
            <w:tcW w:w="1679"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TR146</w:t>
            </w:r>
          </w:p>
        </w:tc>
        <w:tc>
          <w:tcPr>
            <w:tcW w:w="137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20 mg/L</w:t>
            </w:r>
          </w:p>
        </w:tc>
        <w:tc>
          <w:tcPr>
            <w:tcW w:w="76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T</w:t>
            </w:r>
          </w:p>
        </w:tc>
        <w:tc>
          <w:tcPr>
            <w:tcW w:w="718"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1355"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pos</w:t>
            </w:r>
          </w:p>
        </w:tc>
        <w:tc>
          <w:tcPr>
            <w:tcW w:w="250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noProof/>
                <w:sz w:val="18"/>
                <w:szCs w:val="18"/>
                <w:lang w:val="en-US"/>
              </w:rPr>
              <w:t>Koller et al. (2012)</w:t>
            </w:r>
            <w:r w:rsidRPr="00585C51">
              <w:rPr>
                <w:rFonts w:cs="Arial"/>
                <w:sz w:val="18"/>
                <w:szCs w:val="18"/>
                <w:vertAlign w:val="superscript"/>
                <w:lang w:val="en-US"/>
              </w:rPr>
              <w:t>h</w:t>
            </w:r>
          </w:p>
        </w:tc>
      </w:tr>
      <w:tr w:rsidR="00B52E94" w:rsidRPr="00585C51" w:rsidTr="003A4729">
        <w:trPr>
          <w:cantSplit/>
        </w:trPr>
        <w:tc>
          <w:tcPr>
            <w:tcW w:w="9590" w:type="dxa"/>
            <w:gridSpan w:val="7"/>
            <w:tcMar>
              <w:top w:w="43" w:type="dxa"/>
              <w:left w:w="115" w:type="dxa"/>
              <w:bottom w:w="43" w:type="dxa"/>
              <w:right w:w="115" w:type="dxa"/>
            </w:tcMar>
          </w:tcPr>
          <w:p w:rsidR="00B52E94" w:rsidRPr="00585C51" w:rsidRDefault="00B52E94" w:rsidP="00585C51">
            <w:pPr>
              <w:spacing w:after="0" w:afterAutospacing="0" w:line="240" w:lineRule="auto"/>
              <w:rPr>
                <w:rFonts w:cs="Arial"/>
                <w:sz w:val="18"/>
                <w:szCs w:val="18"/>
                <w:lang w:val="en-US"/>
              </w:rPr>
            </w:pPr>
            <w:r w:rsidRPr="00585C51">
              <w:rPr>
                <w:rFonts w:cs="Arial"/>
                <w:b/>
                <w:i/>
                <w:sz w:val="18"/>
                <w:szCs w:val="18"/>
                <w:lang w:val="en-US"/>
              </w:rPr>
              <w:t>GBF’s</w:t>
            </w:r>
          </w:p>
        </w:tc>
      </w:tr>
      <w:tr w:rsidR="00B52E94" w:rsidRPr="00585C51" w:rsidTr="003A4729">
        <w:trPr>
          <w:cantSplit/>
        </w:trPr>
        <w:tc>
          <w:tcPr>
            <w:tcW w:w="9590" w:type="dxa"/>
            <w:gridSpan w:val="7"/>
            <w:tcMar>
              <w:top w:w="43" w:type="dxa"/>
              <w:left w:w="115" w:type="dxa"/>
              <w:bottom w:w="43" w:type="dxa"/>
              <w:right w:w="115" w:type="dxa"/>
            </w:tcMar>
          </w:tcPr>
          <w:p w:rsidR="00B52E94" w:rsidRPr="00B52E94" w:rsidRDefault="00B52E94" w:rsidP="00585C51">
            <w:pPr>
              <w:spacing w:after="0" w:afterAutospacing="0" w:line="240" w:lineRule="auto"/>
              <w:rPr>
                <w:rFonts w:cs="Arial"/>
                <w:i/>
                <w:sz w:val="18"/>
                <w:szCs w:val="18"/>
                <w:lang w:val="en-US"/>
              </w:rPr>
            </w:pPr>
            <w:r w:rsidRPr="00B52E94">
              <w:rPr>
                <w:rFonts w:cs="Arial"/>
                <w:i/>
                <w:sz w:val="18"/>
                <w:szCs w:val="18"/>
                <w:lang w:val="en-US"/>
              </w:rPr>
              <w:t>Published/Public Studies</w:t>
            </w:r>
          </w:p>
        </w:tc>
      </w:tr>
      <w:tr w:rsidR="00C275D9" w:rsidRPr="00585C51" w:rsidTr="00B52E94">
        <w:trPr>
          <w:cantSplit/>
        </w:trPr>
        <w:tc>
          <w:tcPr>
            <w:tcW w:w="1196" w:type="dxa"/>
            <w:tcMar>
              <w:top w:w="43" w:type="dxa"/>
              <w:left w:w="115" w:type="dxa"/>
              <w:bottom w:w="43" w:type="dxa"/>
              <w:right w:w="115" w:type="dxa"/>
            </w:tcMar>
          </w:tcPr>
          <w:p w:rsidR="00C275D9" w:rsidRPr="00585C51" w:rsidRDefault="00C275D9" w:rsidP="00585C51">
            <w:pPr>
              <w:spacing w:after="0" w:afterAutospacing="0" w:line="240" w:lineRule="auto"/>
              <w:rPr>
                <w:rFonts w:cs="Arial"/>
                <w:i/>
                <w:sz w:val="18"/>
                <w:szCs w:val="18"/>
                <w:lang w:val="en-US"/>
              </w:rPr>
            </w:pPr>
            <w:r w:rsidRPr="00585C51">
              <w:rPr>
                <w:rFonts w:cs="Arial"/>
                <w:sz w:val="18"/>
                <w:szCs w:val="18"/>
                <w:lang w:val="en-US"/>
              </w:rPr>
              <w:t>CA</w:t>
            </w:r>
          </w:p>
        </w:tc>
        <w:tc>
          <w:tcPr>
            <w:tcW w:w="1679" w:type="dxa"/>
            <w:tcMar>
              <w:top w:w="43" w:type="dxa"/>
              <w:left w:w="115" w:type="dxa"/>
              <w:bottom w:w="43" w:type="dxa"/>
              <w:right w:w="115" w:type="dxa"/>
            </w:tcMar>
          </w:tcPr>
          <w:p w:rsidR="00C275D9" w:rsidRPr="00585C51" w:rsidRDefault="00C275D9" w:rsidP="00585C51">
            <w:pPr>
              <w:spacing w:after="0" w:afterAutospacing="0" w:line="240" w:lineRule="auto"/>
              <w:rPr>
                <w:rFonts w:cs="Arial"/>
                <w:i/>
                <w:sz w:val="18"/>
                <w:szCs w:val="18"/>
                <w:lang w:val="en-US"/>
              </w:rPr>
            </w:pPr>
            <w:r w:rsidRPr="00585C51">
              <w:rPr>
                <w:rFonts w:cs="Arial"/>
                <w:sz w:val="18"/>
                <w:szCs w:val="18"/>
                <w:lang w:val="en-US"/>
              </w:rPr>
              <w:t>MS</w:t>
            </w:r>
          </w:p>
        </w:tc>
        <w:tc>
          <w:tcPr>
            <w:tcW w:w="137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vertAlign w:val="superscript"/>
                <w:lang w:val="en-US"/>
              </w:rPr>
            </w:pPr>
            <w:r w:rsidRPr="00585C51">
              <w:rPr>
                <w:rFonts w:cs="Arial"/>
                <w:sz w:val="18"/>
                <w:szCs w:val="18"/>
                <w:lang w:val="en-US"/>
              </w:rPr>
              <w:t>50 mM</w:t>
            </w:r>
            <w:r w:rsidRPr="00585C51">
              <w:rPr>
                <w:rFonts w:cs="Arial"/>
                <w:sz w:val="18"/>
                <w:szCs w:val="18"/>
                <w:vertAlign w:val="superscript"/>
                <w:lang w:val="en-US"/>
              </w:rPr>
              <w:t>ca</w:t>
            </w:r>
          </w:p>
        </w:tc>
        <w:tc>
          <w:tcPr>
            <w:tcW w:w="76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 T</w:t>
            </w:r>
          </w:p>
        </w:tc>
        <w:tc>
          <w:tcPr>
            <w:tcW w:w="718"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1355"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pos</w:t>
            </w:r>
          </w:p>
        </w:tc>
        <w:tc>
          <w:tcPr>
            <w:tcW w:w="250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noProof/>
                <w:sz w:val="18"/>
                <w:szCs w:val="18"/>
                <w:lang w:val="en-US"/>
              </w:rPr>
              <w:t>Amer et al. (2006)</w:t>
            </w:r>
          </w:p>
        </w:tc>
      </w:tr>
      <w:tr w:rsidR="00C275D9" w:rsidRPr="00585C51" w:rsidTr="00B52E94">
        <w:trPr>
          <w:cantSplit/>
        </w:trPr>
        <w:tc>
          <w:tcPr>
            <w:tcW w:w="119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CB MN</w:t>
            </w:r>
          </w:p>
        </w:tc>
        <w:tc>
          <w:tcPr>
            <w:tcW w:w="1679"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TR146</w:t>
            </w:r>
          </w:p>
        </w:tc>
        <w:tc>
          <w:tcPr>
            <w:tcW w:w="137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20 mg/L </w:t>
            </w:r>
          </w:p>
        </w:tc>
        <w:tc>
          <w:tcPr>
            <w:tcW w:w="76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T</w:t>
            </w:r>
          </w:p>
        </w:tc>
        <w:tc>
          <w:tcPr>
            <w:tcW w:w="718"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1355"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pos</w:t>
            </w:r>
          </w:p>
        </w:tc>
        <w:tc>
          <w:tcPr>
            <w:tcW w:w="250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Koller et al. (2012)</w:t>
            </w:r>
            <w:r w:rsidRPr="00585C51">
              <w:rPr>
                <w:rFonts w:cs="Arial"/>
                <w:sz w:val="18"/>
                <w:szCs w:val="18"/>
                <w:vertAlign w:val="superscript"/>
                <w:lang w:val="en-US"/>
              </w:rPr>
              <w:t>h</w:t>
            </w:r>
          </w:p>
        </w:tc>
      </w:tr>
      <w:tr w:rsidR="00C275D9" w:rsidRPr="00585C51" w:rsidTr="00B52E94">
        <w:trPr>
          <w:cantSplit/>
        </w:trPr>
        <w:tc>
          <w:tcPr>
            <w:tcW w:w="119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SCE</w:t>
            </w:r>
          </w:p>
        </w:tc>
        <w:tc>
          <w:tcPr>
            <w:tcW w:w="1679"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MS</w:t>
            </w:r>
          </w:p>
        </w:tc>
        <w:tc>
          <w:tcPr>
            <w:tcW w:w="1376"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50 mM</w:t>
            </w:r>
            <w:r w:rsidRPr="00585C51">
              <w:rPr>
                <w:rFonts w:cs="Arial"/>
                <w:sz w:val="18"/>
                <w:szCs w:val="18"/>
                <w:vertAlign w:val="superscript"/>
                <w:lang w:val="en-US"/>
              </w:rPr>
              <w:t>ca</w:t>
            </w:r>
          </w:p>
        </w:tc>
        <w:tc>
          <w:tcPr>
            <w:tcW w:w="76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 T</w:t>
            </w:r>
          </w:p>
        </w:tc>
        <w:tc>
          <w:tcPr>
            <w:tcW w:w="718"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1355"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pos</w:t>
            </w:r>
          </w:p>
        </w:tc>
        <w:tc>
          <w:tcPr>
            <w:tcW w:w="2503" w:type="dxa"/>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noProof/>
                <w:sz w:val="18"/>
                <w:szCs w:val="18"/>
                <w:lang w:val="en-US"/>
              </w:rPr>
              <w:t>Amer et al. (2006)</w:t>
            </w:r>
          </w:p>
        </w:tc>
      </w:tr>
      <w:tr w:rsidR="00B52E94" w:rsidRPr="00585C51" w:rsidTr="003A4729">
        <w:trPr>
          <w:cantSplit/>
        </w:trPr>
        <w:tc>
          <w:tcPr>
            <w:tcW w:w="9590" w:type="dxa"/>
            <w:gridSpan w:val="7"/>
            <w:tcMar>
              <w:top w:w="43" w:type="dxa"/>
              <w:left w:w="115" w:type="dxa"/>
              <w:bottom w:w="43" w:type="dxa"/>
              <w:right w:w="115" w:type="dxa"/>
            </w:tcMar>
          </w:tcPr>
          <w:p w:rsidR="00B52E94" w:rsidRPr="00585C51" w:rsidRDefault="00B52E94" w:rsidP="00585C51">
            <w:pPr>
              <w:spacing w:after="0" w:afterAutospacing="0" w:line="240" w:lineRule="auto"/>
              <w:rPr>
                <w:rFonts w:cs="Arial"/>
                <w:sz w:val="18"/>
                <w:szCs w:val="18"/>
                <w:lang w:val="en-US"/>
              </w:rPr>
            </w:pPr>
            <w:r w:rsidRPr="00585C51">
              <w:rPr>
                <w:rFonts w:cs="Arial"/>
                <w:b/>
                <w:i/>
                <w:sz w:val="18"/>
                <w:szCs w:val="18"/>
                <w:lang w:val="en-US"/>
              </w:rPr>
              <w:t>AMPA</w:t>
            </w:r>
          </w:p>
        </w:tc>
      </w:tr>
      <w:tr w:rsidR="00B52E94" w:rsidRPr="00585C51" w:rsidTr="00B52E94">
        <w:trPr>
          <w:cantSplit/>
        </w:trPr>
        <w:tc>
          <w:tcPr>
            <w:tcW w:w="9590" w:type="dxa"/>
            <w:gridSpan w:val="7"/>
            <w:tcMar>
              <w:top w:w="43" w:type="dxa"/>
              <w:left w:w="115" w:type="dxa"/>
              <w:bottom w:w="43" w:type="dxa"/>
              <w:right w:w="115" w:type="dxa"/>
            </w:tcMar>
          </w:tcPr>
          <w:p w:rsidR="00B52E94" w:rsidRPr="00585C51" w:rsidRDefault="00B52E94" w:rsidP="00585C51">
            <w:pPr>
              <w:spacing w:after="0" w:afterAutospacing="0" w:line="240" w:lineRule="auto"/>
              <w:rPr>
                <w:rFonts w:cs="Arial"/>
                <w:sz w:val="18"/>
                <w:szCs w:val="18"/>
                <w:lang w:val="en-US"/>
              </w:rPr>
            </w:pPr>
            <w:r w:rsidRPr="00585C51">
              <w:rPr>
                <w:rFonts w:cs="Arial"/>
                <w:i/>
                <w:sz w:val="18"/>
                <w:szCs w:val="18"/>
                <w:lang w:val="en-US"/>
              </w:rPr>
              <w:t>Regulatory Studies</w:t>
            </w:r>
          </w:p>
        </w:tc>
      </w:tr>
      <w:tr w:rsidR="00C275D9" w:rsidRPr="00585C51" w:rsidTr="00B52E94">
        <w:trPr>
          <w:cantSplit/>
        </w:trPr>
        <w:tc>
          <w:tcPr>
            <w:tcW w:w="1196" w:type="dxa"/>
            <w:tcBorders>
              <w:bottom w:val="single" w:sz="4" w:space="0" w:color="auto"/>
            </w:tcBorders>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UDS</w:t>
            </w:r>
          </w:p>
        </w:tc>
        <w:tc>
          <w:tcPr>
            <w:tcW w:w="1679" w:type="dxa"/>
            <w:tcBorders>
              <w:bottom w:val="single" w:sz="4" w:space="0" w:color="auto"/>
            </w:tcBorders>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PRH</w:t>
            </w:r>
          </w:p>
        </w:tc>
        <w:tc>
          <w:tcPr>
            <w:tcW w:w="1376" w:type="dxa"/>
            <w:tcBorders>
              <w:bottom w:val="single" w:sz="4" w:space="0" w:color="auto"/>
            </w:tcBorders>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5000 µg/mL</w:t>
            </w:r>
          </w:p>
        </w:tc>
        <w:tc>
          <w:tcPr>
            <w:tcW w:w="763" w:type="dxa"/>
            <w:tcBorders>
              <w:bottom w:val="single" w:sz="4" w:space="0" w:color="auto"/>
            </w:tcBorders>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 T</w:t>
            </w:r>
          </w:p>
        </w:tc>
        <w:tc>
          <w:tcPr>
            <w:tcW w:w="718" w:type="dxa"/>
            <w:tcBorders>
              <w:bottom w:val="single" w:sz="4" w:space="0" w:color="auto"/>
            </w:tcBorders>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w:t>
            </w:r>
          </w:p>
        </w:tc>
        <w:tc>
          <w:tcPr>
            <w:tcW w:w="1355" w:type="dxa"/>
            <w:tcBorders>
              <w:bottom w:val="single" w:sz="4" w:space="0" w:color="auto"/>
            </w:tcBorders>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2503" w:type="dxa"/>
            <w:tcBorders>
              <w:bottom w:val="single" w:sz="4" w:space="0" w:color="auto"/>
            </w:tcBorders>
            <w:tcMar>
              <w:top w:w="43" w:type="dxa"/>
              <w:left w:w="115" w:type="dxa"/>
              <w:bottom w:w="43" w:type="dxa"/>
              <w:right w:w="115" w:type="dxa"/>
            </w:tcMar>
          </w:tcPr>
          <w:p w:rsidR="00C275D9" w:rsidRPr="00585C51" w:rsidRDefault="00C275D9" w:rsidP="00585C51">
            <w:pPr>
              <w:spacing w:after="0" w:afterAutospacing="0" w:line="240" w:lineRule="auto"/>
              <w:rPr>
                <w:rFonts w:cs="Arial"/>
                <w:noProof/>
                <w:sz w:val="18"/>
                <w:szCs w:val="18"/>
                <w:lang w:val="en-US"/>
              </w:rPr>
            </w:pPr>
            <w:r w:rsidRPr="00585C51">
              <w:rPr>
                <w:rFonts w:cs="Arial"/>
                <w:noProof/>
                <w:sz w:val="18"/>
                <w:szCs w:val="18"/>
                <w:lang w:val="en-US"/>
              </w:rPr>
              <w:t>*Bakke (1991)</w:t>
            </w:r>
          </w:p>
        </w:tc>
      </w:tr>
    </w:tbl>
    <w:p w:rsidR="0027553B" w:rsidRPr="00B52E94" w:rsidRDefault="0027553B" w:rsidP="00B52E94">
      <w:pPr>
        <w:spacing w:after="0" w:afterAutospacing="0" w:line="240" w:lineRule="auto"/>
        <w:rPr>
          <w:rFonts w:eastAsia="Calibri"/>
          <w:sz w:val="18"/>
          <w:lang w:val="en-US"/>
        </w:rPr>
      </w:pPr>
      <w:r w:rsidRPr="00B52E94">
        <w:rPr>
          <w:rFonts w:eastAsia="Calibri"/>
          <w:sz w:val="18"/>
          <w:vertAlign w:val="superscript"/>
          <w:lang w:val="en-US"/>
        </w:rPr>
        <w:t>a</w:t>
      </w:r>
      <w:r w:rsidRPr="00B52E94">
        <w:rPr>
          <w:rFonts w:eastAsia="Calibri"/>
          <w:sz w:val="18"/>
          <w:lang w:val="en-US"/>
        </w:rPr>
        <w:t xml:space="preserve">   Assay endpoint: Tk, gene mutation at the Tk locus;  CA, chromosomal aberration; CA (1), chromosomal aberration (FISH analysis of chromosome 1 for acentric fragments); CB MN, cytokinesis block micronucleus; SCE, sister chromatid exchange; UDS, unscheduled DNA synthesis.</w:t>
      </w:r>
    </w:p>
    <w:p w:rsidR="0027553B" w:rsidRPr="00B52E94" w:rsidRDefault="0027553B" w:rsidP="00B52E94">
      <w:pPr>
        <w:spacing w:after="0" w:afterAutospacing="0" w:line="240" w:lineRule="auto"/>
        <w:rPr>
          <w:rFonts w:eastAsia="Calibri"/>
          <w:sz w:val="18"/>
          <w:lang w:val="en-US"/>
        </w:rPr>
      </w:pPr>
      <w:r w:rsidRPr="00B52E94">
        <w:rPr>
          <w:rFonts w:eastAsia="Calibri"/>
          <w:sz w:val="18"/>
          <w:vertAlign w:val="superscript"/>
          <w:lang w:val="en-US"/>
        </w:rPr>
        <w:t>b</w:t>
      </w:r>
      <w:r w:rsidRPr="00B52E94">
        <w:rPr>
          <w:rFonts w:eastAsia="Calibri"/>
          <w:sz w:val="18"/>
          <w:lang w:val="en-US"/>
        </w:rPr>
        <w:t xml:space="preserve">   ML, L5178Y mouse lymphoma cell line; HL, human peripheral blood lymphocytes; CHL, Chinese hamster lung cell line; PRH, primary rat hepatocyte; BL, bovine peripheral blood lymphocytes; TR146, human buccal epithelial cell line; MS, mouse spleen cells. </w:t>
      </w:r>
    </w:p>
    <w:p w:rsidR="0027553B" w:rsidRPr="00B52E94" w:rsidRDefault="0027553B" w:rsidP="00B52E94">
      <w:pPr>
        <w:spacing w:after="0" w:afterAutospacing="0" w:line="240" w:lineRule="auto"/>
        <w:rPr>
          <w:rFonts w:eastAsia="Calibri"/>
          <w:sz w:val="18"/>
          <w:lang w:val="en-US"/>
        </w:rPr>
      </w:pPr>
      <w:r w:rsidRPr="00B52E94">
        <w:rPr>
          <w:rFonts w:eastAsia="Calibri"/>
          <w:sz w:val="18"/>
          <w:vertAlign w:val="superscript"/>
          <w:lang w:val="en-US"/>
        </w:rPr>
        <w:t>c</w:t>
      </w:r>
      <w:r w:rsidRPr="00B52E94">
        <w:rPr>
          <w:rFonts w:eastAsia="Calibri"/>
          <w:sz w:val="18"/>
          <w:lang w:val="en-US"/>
        </w:rPr>
        <w:t xml:space="preserve">  Highest analyzable dose level used in publication in reported units.  A range indicates different highest dose levels for different experimental conditions (e.g. with or without exogenous mammalian metabolic activation or different exposure times).</w:t>
      </w:r>
    </w:p>
    <w:p w:rsidR="0027553B" w:rsidRPr="00B52E94" w:rsidRDefault="0027553B" w:rsidP="00B52E94">
      <w:pPr>
        <w:spacing w:after="0" w:afterAutospacing="0" w:line="240" w:lineRule="auto"/>
        <w:ind w:left="360"/>
        <w:rPr>
          <w:rFonts w:eastAsia="Calibri"/>
          <w:sz w:val="18"/>
          <w:lang w:val="en-US"/>
        </w:rPr>
      </w:pPr>
      <w:r w:rsidRPr="00B52E94">
        <w:rPr>
          <w:rFonts w:eastAsia="Calibri"/>
          <w:sz w:val="18"/>
          <w:vertAlign w:val="superscript"/>
          <w:lang w:val="en-US"/>
        </w:rPr>
        <w:t>ca</w:t>
      </w:r>
      <w:r w:rsidRPr="00B52E94">
        <w:rPr>
          <w:rFonts w:eastAsia="Calibri"/>
          <w:sz w:val="18"/>
          <w:lang w:val="en-US"/>
        </w:rPr>
        <w:t xml:space="preserve"> </w:t>
      </w:r>
      <w:r w:rsidRPr="00B52E94">
        <w:rPr>
          <w:rFonts w:eastAsia="Calibri"/>
          <w:sz w:val="18"/>
          <w:vertAlign w:val="superscript"/>
          <w:lang w:val="en-US"/>
        </w:rPr>
        <w:t xml:space="preserve"> </w:t>
      </w:r>
      <w:r w:rsidRPr="00B52E94">
        <w:rPr>
          <w:rFonts w:eastAsia="Calibri"/>
          <w:sz w:val="18"/>
          <w:szCs w:val="18"/>
          <w:lang w:val="en-US"/>
        </w:rPr>
        <w:t>Calculated</w:t>
      </w:r>
      <w:r w:rsidRPr="00B52E94">
        <w:rPr>
          <w:rFonts w:eastAsia="Calibri"/>
          <w:sz w:val="18"/>
          <w:lang w:val="en-US"/>
        </w:rPr>
        <w:t xml:space="preserve"> from the stated concentration of 5 x 10</w:t>
      </w:r>
      <w:r w:rsidRPr="00B52E94">
        <w:rPr>
          <w:rFonts w:eastAsia="Calibri"/>
          <w:sz w:val="18"/>
          <w:vertAlign w:val="superscript"/>
          <w:lang w:val="en-US"/>
        </w:rPr>
        <w:t xml:space="preserve">-5 </w:t>
      </w:r>
      <w:r w:rsidRPr="00B52E94">
        <w:rPr>
          <w:rFonts w:eastAsia="Calibri"/>
          <w:sz w:val="18"/>
          <w:lang w:val="en-US"/>
        </w:rPr>
        <w:t xml:space="preserve">M glyphosate/mL.  </w:t>
      </w:r>
    </w:p>
    <w:p w:rsidR="0027553B" w:rsidRPr="00B52E94" w:rsidRDefault="0027553B" w:rsidP="00B52E94">
      <w:pPr>
        <w:spacing w:after="0" w:afterAutospacing="0" w:line="240" w:lineRule="auto"/>
        <w:rPr>
          <w:rFonts w:eastAsia="Calibri"/>
          <w:sz w:val="18"/>
          <w:lang w:val="en-US"/>
        </w:rPr>
      </w:pPr>
      <w:r w:rsidRPr="00B52E94">
        <w:rPr>
          <w:rFonts w:eastAsia="Calibri"/>
          <w:sz w:val="18"/>
          <w:vertAlign w:val="superscript"/>
          <w:lang w:val="en-US"/>
        </w:rPr>
        <w:t xml:space="preserve">d  </w:t>
      </w:r>
      <w:r w:rsidRPr="00B52E94">
        <w:rPr>
          <w:rFonts w:eastAsia="Calibri"/>
          <w:sz w:val="18"/>
          <w:lang w:val="en-US"/>
        </w:rPr>
        <w:t xml:space="preserve">Observations relevant to maximum dose level tested </w:t>
      </w:r>
    </w:p>
    <w:p w:rsidR="0027553B" w:rsidRPr="00B52E94" w:rsidRDefault="0027553B" w:rsidP="00B52E94">
      <w:pPr>
        <w:spacing w:after="0" w:afterAutospacing="0" w:line="240" w:lineRule="auto"/>
        <w:ind w:left="360"/>
        <w:rPr>
          <w:rFonts w:eastAsia="Calibri"/>
          <w:sz w:val="18"/>
          <w:lang w:val="en-US"/>
        </w:rPr>
      </w:pPr>
      <w:r w:rsidRPr="00B52E94">
        <w:rPr>
          <w:rFonts w:eastAsia="Calibri"/>
          <w:sz w:val="18"/>
          <w:lang w:val="en-US"/>
        </w:rPr>
        <w:t xml:space="preserve">L  Meets or exceeds current OECD guideline maximum recommended concentration.  For relatively  non-cytotoxic  compounds the recommend maximum concentration </w:t>
      </w:r>
      <w:r w:rsidR="00B52E94">
        <w:rPr>
          <w:rFonts w:eastAsia="Calibri"/>
          <w:sz w:val="18"/>
          <w:lang w:val="en-US"/>
        </w:rPr>
        <w:t xml:space="preserve">is  10 mM, 2 mg/mL or 2 µl/mL, </w:t>
      </w:r>
      <w:r w:rsidRPr="00B52E94">
        <w:rPr>
          <w:rFonts w:eastAsia="Calibri"/>
          <w:sz w:val="18"/>
          <w:lang w:val="en-US"/>
        </w:rPr>
        <w:t xml:space="preserve">whichever is </w:t>
      </w:r>
      <w:r w:rsidRPr="00B52E94">
        <w:rPr>
          <w:rFonts w:eastAsia="Calibri"/>
          <w:sz w:val="18"/>
          <w:szCs w:val="18"/>
          <w:lang w:val="en-US"/>
        </w:rPr>
        <w:t>lower</w:t>
      </w:r>
      <w:r w:rsidRPr="00B52E94">
        <w:rPr>
          <w:rFonts w:eastAsia="Calibri"/>
          <w:sz w:val="18"/>
          <w:lang w:val="en-US"/>
        </w:rPr>
        <w:t xml:space="preserve">, for the </w:t>
      </w:r>
      <w:r w:rsidRPr="00B52E94">
        <w:rPr>
          <w:rFonts w:eastAsia="Calibri"/>
          <w:i/>
          <w:sz w:val="18"/>
          <w:lang w:val="en-US"/>
        </w:rPr>
        <w:t>in vitro</w:t>
      </w:r>
      <w:r w:rsidRPr="00B52E94">
        <w:rPr>
          <w:rFonts w:eastAsia="Calibri"/>
          <w:sz w:val="18"/>
          <w:lang w:val="en-US"/>
        </w:rPr>
        <w:t xml:space="preserve"> mammalian cell Tk gene mutation test </w:t>
      </w:r>
      <w:r w:rsidRPr="00B52E94">
        <w:rPr>
          <w:rFonts w:eastAsia="Calibri"/>
          <w:noProof/>
          <w:sz w:val="18"/>
          <w:lang w:val="en-US"/>
        </w:rPr>
        <w:t>(OECD, 201</w:t>
      </w:r>
      <w:r w:rsidR="00797748">
        <w:rPr>
          <w:rFonts w:eastAsia="Calibri"/>
          <w:noProof/>
          <w:sz w:val="18"/>
          <w:lang w:val="en-US"/>
        </w:rPr>
        <w:t>5</w:t>
      </w:r>
      <w:r w:rsidRPr="00B52E94">
        <w:rPr>
          <w:rFonts w:eastAsia="Calibri"/>
          <w:noProof/>
          <w:sz w:val="18"/>
          <w:lang w:val="en-US"/>
        </w:rPr>
        <w:t>)</w:t>
      </w:r>
      <w:r w:rsidRPr="00B52E94">
        <w:rPr>
          <w:rFonts w:eastAsia="Calibri"/>
          <w:sz w:val="18"/>
          <w:lang w:val="en-US"/>
        </w:rPr>
        <w:t xml:space="preserve">,  the </w:t>
      </w:r>
      <w:r w:rsidRPr="00B52E94">
        <w:rPr>
          <w:rFonts w:eastAsia="Calibri"/>
          <w:i/>
          <w:sz w:val="18"/>
          <w:lang w:val="en-US"/>
        </w:rPr>
        <w:t>in vitro</w:t>
      </w:r>
      <w:r w:rsidRPr="00B52E94">
        <w:rPr>
          <w:rFonts w:eastAsia="Calibri"/>
          <w:sz w:val="18"/>
          <w:lang w:val="en-US"/>
        </w:rPr>
        <w:t xml:space="preserve"> mammalian cell chromosomal aberration test </w:t>
      </w:r>
      <w:r w:rsidRPr="00B52E94">
        <w:rPr>
          <w:rFonts w:eastAsia="Calibri"/>
          <w:noProof/>
          <w:sz w:val="18"/>
          <w:lang w:val="en-US"/>
        </w:rPr>
        <w:t>(OECD, 2014</w:t>
      </w:r>
      <w:r w:rsidR="00797748">
        <w:rPr>
          <w:rFonts w:eastAsia="Calibri"/>
          <w:noProof/>
          <w:sz w:val="18"/>
          <w:lang w:val="en-US"/>
        </w:rPr>
        <w:t>a</w:t>
      </w:r>
      <w:r w:rsidRPr="00B52E94">
        <w:rPr>
          <w:rFonts w:eastAsia="Calibri"/>
          <w:noProof/>
          <w:sz w:val="18"/>
          <w:lang w:val="en-US"/>
        </w:rPr>
        <w:t>)</w:t>
      </w:r>
      <w:r w:rsidRPr="00B52E94">
        <w:rPr>
          <w:rFonts w:eastAsia="Calibri"/>
          <w:sz w:val="18"/>
          <w:lang w:val="en-US"/>
        </w:rPr>
        <w:t xml:space="preserve"> and the </w:t>
      </w:r>
      <w:r w:rsidRPr="00B52E94">
        <w:rPr>
          <w:rFonts w:eastAsia="Calibri"/>
          <w:i/>
          <w:sz w:val="18"/>
          <w:lang w:val="en-US"/>
        </w:rPr>
        <w:t>in vitro</w:t>
      </w:r>
      <w:r w:rsidRPr="00B52E94">
        <w:rPr>
          <w:rFonts w:eastAsia="Calibri"/>
          <w:sz w:val="18"/>
          <w:lang w:val="en-US"/>
        </w:rPr>
        <w:t xml:space="preserve"> mammalian cell micronucleus test </w:t>
      </w:r>
      <w:r w:rsidRPr="00B52E94">
        <w:rPr>
          <w:rFonts w:eastAsia="Calibri"/>
          <w:noProof/>
          <w:sz w:val="18"/>
          <w:lang w:val="en-US"/>
        </w:rPr>
        <w:t>(OECD, 2014</w:t>
      </w:r>
      <w:r w:rsidR="00797748">
        <w:rPr>
          <w:rFonts w:eastAsia="Calibri"/>
          <w:noProof/>
          <w:sz w:val="18"/>
          <w:lang w:val="en-US"/>
        </w:rPr>
        <w:t>b</w:t>
      </w:r>
      <w:r w:rsidRPr="00B52E94">
        <w:rPr>
          <w:rFonts w:eastAsia="Calibri"/>
          <w:noProof/>
          <w:sz w:val="18"/>
          <w:lang w:val="en-US"/>
        </w:rPr>
        <w:t>)</w:t>
      </w:r>
      <w:r w:rsidRPr="00B52E94">
        <w:rPr>
          <w:rFonts w:eastAsia="Calibri"/>
          <w:sz w:val="18"/>
          <w:lang w:val="en-US"/>
        </w:rPr>
        <w:t xml:space="preserve">.  For glyphosate (MW 169.1) the maximum is 10 mM or 1690 µg/mL.  For test materials of unknown or variable composition a higher top concentration such as 5000 µg/mL is suggested in these guidelines.  No specific maximum concentration is recommended for relatively non-cytotoxic compounds in the </w:t>
      </w:r>
      <w:r w:rsidRPr="00B52E94">
        <w:rPr>
          <w:rFonts w:eastAsia="Calibri"/>
          <w:i/>
          <w:sz w:val="18"/>
          <w:lang w:val="en-US"/>
        </w:rPr>
        <w:t>in vitro</w:t>
      </w:r>
      <w:r w:rsidRPr="00B52E94">
        <w:rPr>
          <w:rFonts w:eastAsia="Calibri"/>
          <w:sz w:val="18"/>
          <w:lang w:val="en-US"/>
        </w:rPr>
        <w:t xml:space="preserve"> mammalian cell UDS test guideline </w:t>
      </w:r>
      <w:r w:rsidRPr="00B52E94">
        <w:rPr>
          <w:rFonts w:eastAsia="Calibri"/>
          <w:noProof/>
          <w:sz w:val="18"/>
          <w:lang w:val="en-US"/>
        </w:rPr>
        <w:t>(OECD, 1986)</w:t>
      </w:r>
      <w:r w:rsidRPr="00B52E94">
        <w:rPr>
          <w:rFonts w:eastAsia="Calibri"/>
          <w:sz w:val="18"/>
          <w:lang w:val="en-US"/>
        </w:rPr>
        <w:t>.</w:t>
      </w:r>
    </w:p>
    <w:p w:rsidR="0027553B" w:rsidRPr="00B52E94" w:rsidRDefault="0027553B" w:rsidP="00B52E94">
      <w:pPr>
        <w:spacing w:after="0" w:afterAutospacing="0" w:line="240" w:lineRule="auto"/>
        <w:ind w:left="360"/>
        <w:rPr>
          <w:rFonts w:eastAsia="Calibri"/>
          <w:sz w:val="18"/>
          <w:szCs w:val="18"/>
          <w:lang w:val="en-US"/>
        </w:rPr>
      </w:pPr>
      <w:r w:rsidRPr="00B52E94">
        <w:rPr>
          <w:rFonts w:eastAsia="Calibri"/>
          <w:sz w:val="18"/>
          <w:lang w:val="en-US"/>
        </w:rPr>
        <w:t>T  Toxicity</w:t>
      </w:r>
      <w:r w:rsidRPr="00B52E94">
        <w:rPr>
          <w:rFonts w:eastAsia="Calibri"/>
          <w:sz w:val="18"/>
          <w:szCs w:val="18"/>
          <w:lang w:val="en-US"/>
        </w:rPr>
        <w:t xml:space="preserve"> observed at maximum concentration.  In some cases, as indicated by footnote, toxicity was observed at higher concentrations in a rangefinder experiment.</w:t>
      </w:r>
    </w:p>
    <w:p w:rsidR="0027553B" w:rsidRPr="00B52E94" w:rsidRDefault="0027553B" w:rsidP="00B52E94">
      <w:pPr>
        <w:spacing w:after="0" w:afterAutospacing="0" w:line="240" w:lineRule="auto"/>
        <w:ind w:left="360"/>
        <w:rPr>
          <w:rFonts w:eastAsia="Calibri"/>
          <w:sz w:val="18"/>
          <w:szCs w:val="18"/>
          <w:lang w:val="en-US"/>
        </w:rPr>
      </w:pPr>
      <w:bookmarkStart w:id="3" w:name="_Toc437976028"/>
      <w:bookmarkStart w:id="4" w:name="_Toc438064024"/>
      <w:r w:rsidRPr="00B52E94">
        <w:rPr>
          <w:rFonts w:eastAsia="Calibri"/>
          <w:sz w:val="18"/>
          <w:szCs w:val="18"/>
          <w:lang w:val="en-US"/>
        </w:rPr>
        <w:t>P  Top dose level selected to avoid excessive changes in pH.</w:t>
      </w:r>
      <w:bookmarkEnd w:id="3"/>
      <w:bookmarkEnd w:id="4"/>
    </w:p>
    <w:p w:rsidR="0027553B" w:rsidRPr="00B52E94" w:rsidRDefault="0027553B" w:rsidP="00B52E94">
      <w:pPr>
        <w:spacing w:after="0" w:afterAutospacing="0" w:line="240" w:lineRule="auto"/>
        <w:ind w:left="360"/>
        <w:rPr>
          <w:rFonts w:eastAsia="Calibri"/>
          <w:sz w:val="18"/>
          <w:lang w:val="en-US"/>
        </w:rPr>
      </w:pPr>
      <w:bookmarkStart w:id="5" w:name="_Toc437976029"/>
      <w:bookmarkStart w:id="6" w:name="_Toc438064025"/>
      <w:r w:rsidRPr="00B52E94">
        <w:rPr>
          <w:rFonts w:eastAsia="Calibri"/>
          <w:sz w:val="18"/>
          <w:szCs w:val="18"/>
          <w:lang w:val="en-US"/>
        </w:rPr>
        <w:t>N  No signi</w:t>
      </w:r>
      <w:r w:rsidRPr="00B52E94">
        <w:rPr>
          <w:rFonts w:eastAsia="Calibri"/>
          <w:sz w:val="18"/>
          <w:lang w:val="en-US"/>
        </w:rPr>
        <w:t>ficant toxicity observed.</w:t>
      </w:r>
      <w:bookmarkEnd w:id="5"/>
      <w:bookmarkEnd w:id="6"/>
    </w:p>
    <w:p w:rsidR="0027553B" w:rsidRPr="00B52E94" w:rsidRDefault="0027553B" w:rsidP="00B52E94">
      <w:pPr>
        <w:spacing w:after="0" w:afterAutospacing="0" w:line="240" w:lineRule="auto"/>
        <w:ind w:left="360"/>
        <w:rPr>
          <w:rFonts w:eastAsia="Calibri"/>
          <w:sz w:val="18"/>
          <w:lang w:val="en-US"/>
        </w:rPr>
      </w:pPr>
      <w:r w:rsidRPr="00B52E94">
        <w:rPr>
          <w:rFonts w:eastAsia="Calibri"/>
          <w:sz w:val="18"/>
          <w:vertAlign w:val="superscript"/>
          <w:lang w:val="en-US"/>
        </w:rPr>
        <w:lastRenderedPageBreak/>
        <w:t>da</w:t>
      </w:r>
      <w:r w:rsidRPr="00B52E94">
        <w:rPr>
          <w:rFonts w:eastAsia="Calibri"/>
          <w:sz w:val="18"/>
          <w:lang w:val="en-US"/>
        </w:rPr>
        <w:t xml:space="preserve">  Higher doses </w:t>
      </w:r>
      <w:r w:rsidRPr="00B52E94">
        <w:rPr>
          <w:rFonts w:eastAsia="Calibri"/>
          <w:sz w:val="18"/>
          <w:szCs w:val="18"/>
          <w:lang w:val="en-US"/>
        </w:rPr>
        <w:t>caused</w:t>
      </w:r>
      <w:r w:rsidRPr="00B52E94">
        <w:rPr>
          <w:rFonts w:eastAsia="Calibri"/>
          <w:sz w:val="18"/>
          <w:lang w:val="en-US"/>
        </w:rPr>
        <w:t xml:space="preserve"> excessive toxicity in rangefinder experiments.</w:t>
      </w:r>
    </w:p>
    <w:p w:rsidR="0027553B" w:rsidRPr="00B52E94" w:rsidRDefault="0027553B" w:rsidP="00B52E94">
      <w:pPr>
        <w:spacing w:after="0" w:afterAutospacing="0" w:line="240" w:lineRule="auto"/>
        <w:ind w:left="360"/>
        <w:rPr>
          <w:rFonts w:eastAsia="Calibri"/>
          <w:sz w:val="18"/>
          <w:lang w:val="en-US"/>
        </w:rPr>
      </w:pPr>
      <w:r w:rsidRPr="00B52E94">
        <w:rPr>
          <w:rFonts w:eastAsia="Calibri"/>
          <w:sz w:val="18"/>
          <w:vertAlign w:val="superscript"/>
          <w:lang w:val="en-US"/>
        </w:rPr>
        <w:t>db</w:t>
      </w:r>
      <w:r w:rsidRPr="00B52E94">
        <w:rPr>
          <w:rFonts w:eastAsia="Calibri"/>
          <w:sz w:val="18"/>
          <w:lang w:val="en-US"/>
        </w:rPr>
        <w:t xml:space="preserve">  Highest dose </w:t>
      </w:r>
      <w:r w:rsidRPr="00B52E94">
        <w:rPr>
          <w:rFonts w:eastAsia="Calibri"/>
          <w:sz w:val="18"/>
          <w:szCs w:val="18"/>
          <w:lang w:val="en-US"/>
        </w:rPr>
        <w:t>reported</w:t>
      </w:r>
      <w:r w:rsidRPr="00B52E94">
        <w:rPr>
          <w:rFonts w:eastAsia="Calibri"/>
          <w:sz w:val="18"/>
          <w:lang w:val="en-US"/>
        </w:rPr>
        <w:t xml:space="preserve"> to cause reduction in mitotic index &gt;50% but data not presented.</w:t>
      </w:r>
    </w:p>
    <w:p w:rsidR="0027553B" w:rsidRPr="00B52E94" w:rsidRDefault="0027553B" w:rsidP="00B52E94">
      <w:pPr>
        <w:spacing w:after="0" w:afterAutospacing="0" w:line="240" w:lineRule="auto"/>
        <w:rPr>
          <w:rFonts w:eastAsia="Calibri"/>
          <w:sz w:val="18"/>
          <w:lang w:val="en-US"/>
        </w:rPr>
      </w:pPr>
      <w:r w:rsidRPr="00B52E94">
        <w:rPr>
          <w:rFonts w:eastAsia="Calibri"/>
          <w:sz w:val="18"/>
          <w:vertAlign w:val="superscript"/>
          <w:lang w:val="en-US"/>
        </w:rPr>
        <w:t>e</w:t>
      </w:r>
      <w:r w:rsidRPr="00B52E94">
        <w:rPr>
          <w:rFonts w:eastAsia="Calibri"/>
          <w:sz w:val="18"/>
          <w:lang w:val="en-US"/>
        </w:rPr>
        <w:t xml:space="preserve">  Status of  statistical analysis method and results indication in supplement, publication or publicly available report:</w:t>
      </w:r>
    </w:p>
    <w:p w:rsidR="0027553B" w:rsidRPr="00B52E94" w:rsidRDefault="0027553B" w:rsidP="00B52E94">
      <w:pPr>
        <w:spacing w:after="0" w:afterAutospacing="0" w:line="240" w:lineRule="auto"/>
        <w:ind w:left="360"/>
        <w:rPr>
          <w:rFonts w:eastAsia="Calibri"/>
          <w:sz w:val="18"/>
          <w:lang w:val="en-US"/>
        </w:rPr>
      </w:pPr>
      <w:r w:rsidRPr="00B52E94">
        <w:rPr>
          <w:rFonts w:eastAsia="Calibri"/>
          <w:sz w:val="18"/>
          <w:lang w:val="en-US"/>
        </w:rPr>
        <w:t xml:space="preserve">N  Statistical </w:t>
      </w:r>
      <w:r w:rsidRPr="00B52E94">
        <w:rPr>
          <w:rFonts w:eastAsia="Calibri"/>
          <w:sz w:val="18"/>
          <w:szCs w:val="18"/>
          <w:lang w:val="en-US"/>
        </w:rPr>
        <w:t>analysis</w:t>
      </w:r>
      <w:r w:rsidRPr="00B52E94">
        <w:rPr>
          <w:rFonts w:eastAsia="Calibri"/>
          <w:sz w:val="18"/>
          <w:lang w:val="en-US"/>
        </w:rPr>
        <w:t xml:space="preserve"> not indicated in report or publication.</w:t>
      </w:r>
    </w:p>
    <w:p w:rsidR="0027553B" w:rsidRPr="00B52E94" w:rsidRDefault="0027553B" w:rsidP="00B52E94">
      <w:pPr>
        <w:spacing w:after="0" w:afterAutospacing="0" w:line="240" w:lineRule="auto"/>
        <w:ind w:left="360"/>
        <w:rPr>
          <w:rFonts w:eastAsia="Calibri"/>
          <w:sz w:val="18"/>
          <w:lang w:val="en-US"/>
        </w:rPr>
      </w:pPr>
      <w:r w:rsidRPr="00B52E94">
        <w:rPr>
          <w:rFonts w:eastAsia="Calibri"/>
          <w:sz w:val="18"/>
          <w:lang w:val="en-US"/>
        </w:rPr>
        <w:t xml:space="preserve">S  Statistical </w:t>
      </w:r>
      <w:r w:rsidRPr="00B52E94">
        <w:rPr>
          <w:rFonts w:eastAsia="Calibri"/>
          <w:sz w:val="18"/>
          <w:szCs w:val="18"/>
          <w:lang w:val="en-US"/>
        </w:rPr>
        <w:t>analysis</w:t>
      </w:r>
      <w:r w:rsidRPr="00B52E94">
        <w:rPr>
          <w:rFonts w:eastAsia="Calibri"/>
          <w:sz w:val="18"/>
          <w:lang w:val="en-US"/>
        </w:rPr>
        <w:t xml:space="preserve"> method and results presented.</w:t>
      </w:r>
    </w:p>
    <w:p w:rsidR="0027553B" w:rsidRPr="00B52E94" w:rsidRDefault="0027553B" w:rsidP="00B52E94">
      <w:pPr>
        <w:spacing w:after="0" w:afterAutospacing="0" w:line="240" w:lineRule="auto"/>
        <w:rPr>
          <w:rFonts w:eastAsia="Calibri"/>
          <w:sz w:val="18"/>
          <w:lang w:val="en-US"/>
        </w:rPr>
      </w:pPr>
      <w:r w:rsidRPr="00B52E94">
        <w:rPr>
          <w:rFonts w:eastAsia="Calibri"/>
          <w:sz w:val="18"/>
          <w:vertAlign w:val="superscript"/>
          <w:lang w:val="en-US"/>
        </w:rPr>
        <w:t>f</w:t>
      </w:r>
      <w:r w:rsidRPr="00B52E94">
        <w:rPr>
          <w:rFonts w:eastAsia="Calibri"/>
          <w:sz w:val="18"/>
          <w:lang w:val="en-US"/>
        </w:rPr>
        <w:t xml:space="preserve">  Assay result:</w:t>
      </w:r>
    </w:p>
    <w:p w:rsidR="0027553B" w:rsidRPr="00B52E94" w:rsidRDefault="0027553B" w:rsidP="00B52E94">
      <w:pPr>
        <w:spacing w:after="0" w:afterAutospacing="0" w:line="240" w:lineRule="auto"/>
        <w:ind w:left="360"/>
        <w:rPr>
          <w:rFonts w:eastAsia="Calibri"/>
          <w:sz w:val="18"/>
          <w:lang w:val="en-US"/>
        </w:rPr>
      </w:pPr>
      <w:r w:rsidRPr="00B52E94">
        <w:rPr>
          <w:rFonts w:eastAsia="Calibri"/>
          <w:sz w:val="18"/>
          <w:lang w:val="en-US"/>
        </w:rPr>
        <w:t>neg—</w:t>
      </w:r>
      <w:r w:rsidRPr="00B52E94">
        <w:rPr>
          <w:rFonts w:eastAsia="Calibri"/>
          <w:sz w:val="18"/>
          <w:szCs w:val="18"/>
          <w:lang w:val="en-US"/>
        </w:rPr>
        <w:t>negative</w:t>
      </w:r>
    </w:p>
    <w:p w:rsidR="0027553B" w:rsidRPr="00B52E94" w:rsidRDefault="0027553B" w:rsidP="00B52E94">
      <w:pPr>
        <w:spacing w:after="0" w:afterAutospacing="0" w:line="240" w:lineRule="auto"/>
        <w:ind w:left="360"/>
        <w:rPr>
          <w:rFonts w:eastAsia="Calibri"/>
          <w:sz w:val="18"/>
          <w:lang w:val="en-US"/>
        </w:rPr>
      </w:pPr>
      <w:r w:rsidRPr="00B52E94">
        <w:rPr>
          <w:rFonts w:eastAsia="Calibri"/>
          <w:sz w:val="18"/>
          <w:lang w:val="en-US"/>
        </w:rPr>
        <w:t>pos—</w:t>
      </w:r>
      <w:r w:rsidRPr="00B52E94">
        <w:rPr>
          <w:rFonts w:eastAsia="Calibri"/>
          <w:sz w:val="18"/>
          <w:szCs w:val="18"/>
          <w:lang w:val="en-US"/>
        </w:rPr>
        <w:t>positive</w:t>
      </w:r>
    </w:p>
    <w:p w:rsidR="0027553B" w:rsidRPr="00B52E94" w:rsidRDefault="0027553B" w:rsidP="00B52E94">
      <w:pPr>
        <w:spacing w:after="0" w:afterAutospacing="0" w:line="240" w:lineRule="auto"/>
        <w:ind w:left="360"/>
        <w:rPr>
          <w:rFonts w:eastAsia="Calibri"/>
          <w:sz w:val="18"/>
          <w:lang w:val="en-US"/>
        </w:rPr>
      </w:pPr>
      <w:r w:rsidRPr="00B52E94">
        <w:rPr>
          <w:rFonts w:eastAsia="Calibri"/>
          <w:sz w:val="18"/>
          <w:lang w:val="en-US"/>
        </w:rPr>
        <w:t>inc—</w:t>
      </w:r>
      <w:r w:rsidRPr="00B52E94">
        <w:rPr>
          <w:rFonts w:eastAsia="Calibri"/>
          <w:sz w:val="18"/>
          <w:szCs w:val="18"/>
          <w:lang w:val="en-US"/>
        </w:rPr>
        <w:t>inconclusive</w:t>
      </w:r>
    </w:p>
    <w:p w:rsidR="0027553B" w:rsidRPr="00B52E94" w:rsidRDefault="0027553B" w:rsidP="00B52E94">
      <w:pPr>
        <w:spacing w:after="0" w:afterAutospacing="0" w:line="240" w:lineRule="auto"/>
        <w:ind w:left="360"/>
        <w:rPr>
          <w:rFonts w:eastAsia="Calibri"/>
          <w:sz w:val="18"/>
          <w:lang w:val="en-US"/>
        </w:rPr>
      </w:pPr>
      <w:r w:rsidRPr="00B52E94">
        <w:rPr>
          <w:rFonts w:eastAsia="Calibri"/>
          <w:sz w:val="18"/>
          <w:vertAlign w:val="superscript"/>
          <w:lang w:val="en-US"/>
        </w:rPr>
        <w:t>fa</w:t>
      </w:r>
      <w:r w:rsidRPr="00B52E94">
        <w:rPr>
          <w:rFonts w:eastAsia="Calibri"/>
          <w:sz w:val="18"/>
          <w:lang w:val="en-US"/>
        </w:rPr>
        <w:t xml:space="preserve">  </w:t>
      </w:r>
      <w:r w:rsidRPr="00B52E94">
        <w:rPr>
          <w:rFonts w:eastAsia="Calibri"/>
          <w:sz w:val="18"/>
          <w:szCs w:val="18"/>
          <w:lang w:val="en-US"/>
        </w:rPr>
        <w:t>Statistically</w:t>
      </w:r>
      <w:r w:rsidRPr="00B52E94">
        <w:rPr>
          <w:rFonts w:eastAsia="Calibri"/>
          <w:sz w:val="18"/>
          <w:lang w:val="en-US"/>
        </w:rPr>
        <w:t xml:space="preserve"> significant increases observed at a single different dose level  for each of two donors for 48 hours treatment without </w:t>
      </w:r>
      <w:r w:rsidR="00B52E94">
        <w:rPr>
          <w:rFonts w:eastAsia="Calibri"/>
          <w:sz w:val="18"/>
          <w:lang w:val="en-US"/>
        </w:rPr>
        <w:t xml:space="preserve">S9 metabolic activation.  </w:t>
      </w:r>
      <w:r w:rsidRPr="00B52E94">
        <w:rPr>
          <w:rFonts w:eastAsia="Calibri"/>
          <w:sz w:val="18"/>
          <w:lang w:val="en-US"/>
        </w:rPr>
        <w:t>Publications indicate dose responses were not observed and effects were very weak or minimal with 48 hours treatment.</w:t>
      </w:r>
    </w:p>
    <w:p w:rsidR="0027553B" w:rsidRPr="00B52E94" w:rsidRDefault="0027553B" w:rsidP="00B52E94">
      <w:pPr>
        <w:spacing w:after="0" w:afterAutospacing="0" w:line="240" w:lineRule="auto"/>
        <w:ind w:left="360"/>
        <w:rPr>
          <w:rFonts w:eastAsia="Calibri"/>
          <w:sz w:val="18"/>
          <w:lang w:val="en-US"/>
        </w:rPr>
      </w:pPr>
      <w:r w:rsidRPr="00B52E94">
        <w:rPr>
          <w:rFonts w:eastAsia="Calibri"/>
          <w:sz w:val="18"/>
          <w:vertAlign w:val="superscript"/>
          <w:lang w:val="en-US"/>
        </w:rPr>
        <w:t>fb</w:t>
      </w:r>
      <w:r w:rsidRPr="00B52E94">
        <w:rPr>
          <w:rFonts w:eastAsia="Calibri"/>
          <w:sz w:val="18"/>
          <w:lang w:val="en-US"/>
        </w:rPr>
        <w:t xml:space="preserve">  No </w:t>
      </w:r>
      <w:r w:rsidRPr="00B52E94">
        <w:rPr>
          <w:rFonts w:eastAsia="Calibri"/>
          <w:sz w:val="18"/>
          <w:szCs w:val="18"/>
          <w:lang w:val="en-US"/>
        </w:rPr>
        <w:t>positive</w:t>
      </w:r>
      <w:r w:rsidRPr="00B52E94">
        <w:rPr>
          <w:rFonts w:eastAsia="Calibri"/>
          <w:sz w:val="18"/>
          <w:lang w:val="en-US"/>
        </w:rPr>
        <w:t xml:space="preserve"> control reported.</w:t>
      </w:r>
    </w:p>
    <w:p w:rsidR="0027553B" w:rsidRPr="00B52E94" w:rsidRDefault="0027553B" w:rsidP="00B52E94">
      <w:pPr>
        <w:spacing w:after="0" w:afterAutospacing="0" w:line="240" w:lineRule="auto"/>
        <w:ind w:left="360"/>
        <w:rPr>
          <w:rFonts w:eastAsia="Calibri"/>
          <w:sz w:val="18"/>
          <w:lang w:val="en-US"/>
        </w:rPr>
      </w:pPr>
      <w:r w:rsidRPr="00B52E94">
        <w:rPr>
          <w:rFonts w:eastAsia="Calibri"/>
          <w:sz w:val="18"/>
          <w:vertAlign w:val="superscript"/>
          <w:lang w:val="en-US"/>
        </w:rPr>
        <w:t xml:space="preserve">fc  </w:t>
      </w:r>
      <w:r w:rsidRPr="00B52E94">
        <w:rPr>
          <w:rFonts w:eastAsia="Calibri"/>
          <w:sz w:val="18"/>
          <w:lang w:val="en-US"/>
        </w:rPr>
        <w:t xml:space="preserve">Small </w:t>
      </w:r>
      <w:r w:rsidRPr="00B52E94">
        <w:rPr>
          <w:rFonts w:eastAsia="Calibri"/>
          <w:sz w:val="18"/>
          <w:szCs w:val="18"/>
          <w:lang w:val="en-US"/>
        </w:rPr>
        <w:t>increases</w:t>
      </w:r>
      <w:r w:rsidRPr="00B52E94">
        <w:rPr>
          <w:rFonts w:eastAsia="Calibri"/>
          <w:sz w:val="18"/>
          <w:lang w:val="en-US"/>
        </w:rPr>
        <w:t xml:space="preserve"> in MN frequency in binucleate cells observed for a wide range of dose levels (3.5-580 µg/mL) without S9 but not statistically significant.  Statistically significant increase in MN frequency only observed at highest dose level (580 µg/mL) with S9 and was interpreted in the publication as possibly an aneugenic effect exhibited only above a threshold.</w:t>
      </w:r>
    </w:p>
    <w:p w:rsidR="0027553B" w:rsidRPr="00B52E94" w:rsidRDefault="0027553B" w:rsidP="00B52E94">
      <w:pPr>
        <w:spacing w:after="0" w:afterAutospacing="0" w:line="240" w:lineRule="auto"/>
        <w:rPr>
          <w:rFonts w:eastAsia="Calibri"/>
          <w:sz w:val="18"/>
          <w:lang w:val="en-US"/>
        </w:rPr>
      </w:pPr>
      <w:r w:rsidRPr="00B52E94">
        <w:rPr>
          <w:rFonts w:eastAsia="Calibri"/>
          <w:sz w:val="18"/>
          <w:vertAlign w:val="superscript"/>
          <w:lang w:val="en-US"/>
        </w:rPr>
        <w:t>g</w:t>
      </w:r>
      <w:r w:rsidRPr="00B52E94">
        <w:rPr>
          <w:rFonts w:eastAsia="Calibri"/>
          <w:sz w:val="18"/>
          <w:lang w:val="en-US"/>
        </w:rPr>
        <w:t xml:space="preserve">  </w:t>
      </w:r>
      <w:r w:rsidR="00D43786" w:rsidRPr="00B52E94">
        <w:rPr>
          <w:rFonts w:eastAsia="Calibri"/>
          <w:sz w:val="18"/>
          <w:lang w:val="en-US"/>
        </w:rPr>
        <w:t xml:space="preserve">References listed in Table 2 not found in </w:t>
      </w:r>
      <w:r w:rsidR="00D43786" w:rsidRPr="00B52E94">
        <w:rPr>
          <w:rFonts w:eastAsia="Calibri"/>
          <w:noProof/>
          <w:sz w:val="18"/>
          <w:lang w:val="en-US"/>
        </w:rPr>
        <w:t>Kier and Kirkland (2013)</w:t>
      </w:r>
      <w:r w:rsidR="00D43786" w:rsidRPr="00B52E94">
        <w:rPr>
          <w:rFonts w:eastAsia="Calibri"/>
          <w:sz w:val="18"/>
          <w:lang w:val="en-US"/>
        </w:rPr>
        <w:t xml:space="preserve"> are marked with an * and listed within the bibliography</w:t>
      </w:r>
    </w:p>
    <w:p w:rsidR="0027553B" w:rsidRPr="00B52E94" w:rsidRDefault="0027553B" w:rsidP="00B52E94">
      <w:pPr>
        <w:spacing w:after="0" w:afterAutospacing="0" w:line="240" w:lineRule="auto"/>
        <w:rPr>
          <w:rFonts w:eastAsia="Calibri"/>
          <w:sz w:val="18"/>
          <w:lang w:val="en-US"/>
        </w:rPr>
      </w:pPr>
      <w:r w:rsidRPr="00B52E94">
        <w:rPr>
          <w:rFonts w:eastAsia="Calibri"/>
          <w:sz w:val="18"/>
          <w:vertAlign w:val="superscript"/>
          <w:lang w:val="en-US"/>
        </w:rPr>
        <w:t>h</w:t>
      </w:r>
      <w:r w:rsidR="00DF7D3A" w:rsidRPr="00B52E94">
        <w:rPr>
          <w:rFonts w:eastAsia="Calibri"/>
          <w:sz w:val="18"/>
          <w:vertAlign w:val="superscript"/>
          <w:lang w:val="en-US"/>
        </w:rPr>
        <w:t xml:space="preserve">   </w:t>
      </w:r>
      <w:r w:rsidRPr="00B52E94">
        <w:rPr>
          <w:rFonts w:eastAsia="Calibri"/>
          <w:sz w:val="18"/>
          <w:lang w:val="en-US"/>
        </w:rPr>
        <w:t xml:space="preserve">IARC monograph only reports comet results but not MN results for </w:t>
      </w:r>
      <w:r w:rsidRPr="00B52E94">
        <w:rPr>
          <w:rFonts w:eastAsia="Calibri"/>
          <w:noProof/>
          <w:sz w:val="18"/>
          <w:lang w:val="en-US"/>
        </w:rPr>
        <w:t>Mladinic et al. (2009)</w:t>
      </w:r>
      <w:r w:rsidRPr="00B52E94">
        <w:rPr>
          <w:rFonts w:eastAsia="Calibri"/>
          <w:sz w:val="18"/>
          <w:lang w:val="en-US"/>
        </w:rPr>
        <w:t xml:space="preserve"> and </w:t>
      </w:r>
      <w:r w:rsidRPr="00B52E94">
        <w:rPr>
          <w:rFonts w:eastAsia="Calibri"/>
          <w:noProof/>
          <w:sz w:val="18"/>
          <w:lang w:val="en-US"/>
        </w:rPr>
        <w:t>Koller et al. (2012)</w:t>
      </w:r>
      <w:r w:rsidRPr="00B52E94">
        <w:rPr>
          <w:rFonts w:eastAsia="Calibri"/>
          <w:sz w:val="18"/>
          <w:lang w:val="en-US"/>
        </w:rPr>
        <w:t>.</w:t>
      </w:r>
    </w:p>
    <w:p w:rsidR="0027553B" w:rsidRPr="00DA4F96" w:rsidRDefault="0027553B" w:rsidP="0027553B">
      <w:pPr>
        <w:spacing w:after="160" w:line="240" w:lineRule="auto"/>
        <w:rPr>
          <w:rFonts w:eastAsia="Calibri"/>
          <w:lang w:val="en-US"/>
        </w:rPr>
      </w:pPr>
      <w:r w:rsidRPr="00DA4F96">
        <w:rPr>
          <w:rFonts w:eastAsia="Calibri" w:cs="Calibri"/>
          <w:lang w:val="en-US"/>
        </w:rPr>
        <w:br w:type="page"/>
      </w:r>
    </w:p>
    <w:p w:rsidR="0027553B" w:rsidRPr="0014788A" w:rsidRDefault="0027553B" w:rsidP="0014788A">
      <w:pPr>
        <w:spacing w:after="120" w:afterAutospacing="0" w:line="240" w:lineRule="auto"/>
        <w:outlineLvl w:val="0"/>
        <w:rPr>
          <w:rFonts w:eastAsia="Calibri"/>
          <w:sz w:val="20"/>
          <w:lang w:val="en-US"/>
        </w:rPr>
      </w:pPr>
      <w:r w:rsidRPr="0014788A">
        <w:rPr>
          <w:rFonts w:eastAsia="Calibri"/>
          <w:sz w:val="20"/>
          <w:lang w:val="en-US"/>
        </w:rPr>
        <w:lastRenderedPageBreak/>
        <w:t xml:space="preserve">Table 3. </w:t>
      </w:r>
      <w:r w:rsidRPr="0014788A">
        <w:rPr>
          <w:rFonts w:eastAsia="Calibri"/>
          <w:i/>
          <w:sz w:val="20"/>
          <w:lang w:val="en-US"/>
        </w:rPr>
        <w:t xml:space="preserve">In </w:t>
      </w:r>
      <w:r w:rsidR="00585C51" w:rsidRPr="0014788A">
        <w:rPr>
          <w:rFonts w:eastAsia="Calibri"/>
          <w:i/>
          <w:sz w:val="20"/>
          <w:lang w:val="en-US"/>
        </w:rPr>
        <w:t>vivo</w:t>
      </w:r>
      <w:r w:rsidR="00585C51" w:rsidRPr="0014788A">
        <w:rPr>
          <w:rFonts w:eastAsia="Calibri"/>
          <w:sz w:val="20"/>
          <w:lang w:val="en-US"/>
        </w:rPr>
        <w:t xml:space="preserve"> mammalian studies</w:t>
      </w:r>
      <w:r w:rsidRPr="0014788A">
        <w:rPr>
          <w:rFonts w:eastAsia="Calibri"/>
          <w:sz w:val="20"/>
          <w:lang w:val="en-US"/>
        </w:rPr>
        <w:t xml:space="preserve"> </w:t>
      </w:r>
    </w:p>
    <w:tbl>
      <w:tblPr>
        <w:tblStyle w:val="TableGrid411"/>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3"/>
        <w:gridCol w:w="1206"/>
        <w:gridCol w:w="1045"/>
        <w:gridCol w:w="1364"/>
        <w:gridCol w:w="779"/>
        <w:gridCol w:w="875"/>
        <w:gridCol w:w="1068"/>
        <w:gridCol w:w="1970"/>
      </w:tblGrid>
      <w:tr w:rsidR="00C275D9" w:rsidRPr="00B52E94" w:rsidTr="00A971F6">
        <w:trPr>
          <w:cantSplit/>
        </w:trPr>
        <w:tc>
          <w:tcPr>
            <w:tcW w:w="669" w:type="pct"/>
            <w:tcBorders>
              <w:top w:val="single" w:sz="4" w:space="0" w:color="auto"/>
              <w:bottom w:val="single" w:sz="4" w:space="0" w:color="auto"/>
            </w:tcBorders>
            <w:tcMar>
              <w:top w:w="43" w:type="dxa"/>
              <w:left w:w="115" w:type="dxa"/>
              <w:bottom w:w="43" w:type="dxa"/>
              <w:right w:w="115" w:type="dxa"/>
            </w:tcMar>
          </w:tcPr>
          <w:p w:rsidR="00C275D9" w:rsidRPr="00B52E94" w:rsidRDefault="00C275D9" w:rsidP="00585C51">
            <w:pPr>
              <w:spacing w:after="0" w:afterAutospacing="0" w:line="240" w:lineRule="auto"/>
              <w:rPr>
                <w:rFonts w:cs="Arial"/>
                <w:sz w:val="18"/>
                <w:szCs w:val="18"/>
                <w:lang w:val="en-US"/>
              </w:rPr>
            </w:pPr>
            <w:r w:rsidRPr="00B52E94">
              <w:rPr>
                <w:rFonts w:cs="Arial"/>
                <w:sz w:val="18"/>
                <w:szCs w:val="18"/>
                <w:lang w:val="en-US"/>
              </w:rPr>
              <w:t>Endpoint</w:t>
            </w:r>
            <w:r w:rsidRPr="00B52E94">
              <w:rPr>
                <w:rFonts w:cs="Arial"/>
                <w:sz w:val="18"/>
                <w:szCs w:val="18"/>
                <w:vertAlign w:val="superscript"/>
                <w:lang w:val="en-US"/>
              </w:rPr>
              <w:t>a</w:t>
            </w:r>
          </w:p>
        </w:tc>
        <w:tc>
          <w:tcPr>
            <w:tcW w:w="629" w:type="pct"/>
            <w:tcBorders>
              <w:top w:val="single" w:sz="4" w:space="0" w:color="auto"/>
              <w:bottom w:val="single" w:sz="4" w:space="0" w:color="auto"/>
            </w:tcBorders>
            <w:tcMar>
              <w:top w:w="43" w:type="dxa"/>
              <w:left w:w="115" w:type="dxa"/>
              <w:bottom w:w="43" w:type="dxa"/>
              <w:right w:w="115" w:type="dxa"/>
            </w:tcMar>
          </w:tcPr>
          <w:p w:rsidR="00C275D9" w:rsidRPr="00B52E94" w:rsidRDefault="00C275D9" w:rsidP="00FC4E47">
            <w:pPr>
              <w:spacing w:after="0" w:afterAutospacing="0" w:line="240" w:lineRule="auto"/>
              <w:rPr>
                <w:rFonts w:cs="Arial"/>
                <w:sz w:val="18"/>
                <w:szCs w:val="18"/>
                <w:lang w:val="en-US"/>
              </w:rPr>
            </w:pPr>
            <w:r w:rsidRPr="00B52E94">
              <w:rPr>
                <w:rFonts w:cs="Arial"/>
                <w:sz w:val="18"/>
                <w:szCs w:val="18"/>
                <w:lang w:val="en-US"/>
              </w:rPr>
              <w:t xml:space="preserve">Test </w:t>
            </w:r>
            <w:r w:rsidR="00FC4E47">
              <w:rPr>
                <w:rFonts w:cs="Arial"/>
                <w:sz w:val="18"/>
                <w:szCs w:val="18"/>
                <w:lang w:val="en-US"/>
              </w:rPr>
              <w:t>s</w:t>
            </w:r>
            <w:r w:rsidRPr="00B52E94">
              <w:rPr>
                <w:rFonts w:cs="Arial"/>
                <w:sz w:val="18"/>
                <w:szCs w:val="18"/>
                <w:lang w:val="en-US"/>
              </w:rPr>
              <w:t>ystem</w:t>
            </w:r>
          </w:p>
        </w:tc>
        <w:tc>
          <w:tcPr>
            <w:tcW w:w="545" w:type="pct"/>
            <w:tcBorders>
              <w:top w:val="single" w:sz="4" w:space="0" w:color="auto"/>
              <w:bottom w:val="single" w:sz="4" w:space="0" w:color="auto"/>
            </w:tcBorders>
            <w:tcMar>
              <w:top w:w="43" w:type="dxa"/>
              <w:left w:w="115" w:type="dxa"/>
              <w:bottom w:w="43" w:type="dxa"/>
              <w:right w:w="115" w:type="dxa"/>
            </w:tcMar>
          </w:tcPr>
          <w:p w:rsidR="00C275D9" w:rsidRPr="00B52E94" w:rsidRDefault="00C275D9" w:rsidP="00585C51">
            <w:pPr>
              <w:spacing w:after="0" w:afterAutospacing="0" w:line="240" w:lineRule="auto"/>
              <w:rPr>
                <w:rFonts w:cs="Arial"/>
                <w:sz w:val="18"/>
                <w:szCs w:val="18"/>
                <w:lang w:val="en-US"/>
              </w:rPr>
            </w:pPr>
            <w:r w:rsidRPr="00B52E94">
              <w:rPr>
                <w:rFonts w:cs="Arial"/>
                <w:sz w:val="18"/>
                <w:szCs w:val="18"/>
                <w:lang w:val="en-US"/>
              </w:rPr>
              <w:t>Rte</w:t>
            </w:r>
            <w:r w:rsidRPr="00B52E94">
              <w:rPr>
                <w:rFonts w:cs="Arial"/>
                <w:sz w:val="18"/>
                <w:szCs w:val="18"/>
                <w:vertAlign w:val="superscript"/>
                <w:lang w:val="en-US"/>
              </w:rPr>
              <w:t>b</w:t>
            </w:r>
          </w:p>
        </w:tc>
        <w:tc>
          <w:tcPr>
            <w:tcW w:w="711" w:type="pct"/>
            <w:tcBorders>
              <w:top w:val="single" w:sz="4" w:space="0" w:color="auto"/>
              <w:bottom w:val="single" w:sz="4" w:space="0" w:color="auto"/>
            </w:tcBorders>
            <w:tcMar>
              <w:top w:w="43" w:type="dxa"/>
              <w:left w:w="115" w:type="dxa"/>
              <w:bottom w:w="43" w:type="dxa"/>
              <w:right w:w="115" w:type="dxa"/>
            </w:tcMar>
          </w:tcPr>
          <w:p w:rsidR="00C275D9" w:rsidRPr="00B52E94" w:rsidRDefault="00C275D9" w:rsidP="00FC4E47">
            <w:pPr>
              <w:spacing w:after="0" w:afterAutospacing="0" w:line="240" w:lineRule="auto"/>
              <w:rPr>
                <w:rFonts w:cs="Arial"/>
                <w:sz w:val="18"/>
                <w:szCs w:val="18"/>
                <w:lang w:val="en-US"/>
              </w:rPr>
            </w:pPr>
            <w:r w:rsidRPr="00B52E94">
              <w:rPr>
                <w:rFonts w:cs="Arial"/>
                <w:sz w:val="18"/>
                <w:szCs w:val="18"/>
                <w:lang w:val="en-US"/>
              </w:rPr>
              <w:t xml:space="preserve">High </w:t>
            </w:r>
            <w:r w:rsidR="00FC4E47">
              <w:rPr>
                <w:rFonts w:cs="Arial"/>
                <w:sz w:val="18"/>
                <w:szCs w:val="18"/>
                <w:lang w:val="en-US"/>
              </w:rPr>
              <w:t>d</w:t>
            </w:r>
            <w:r w:rsidRPr="00B52E94">
              <w:rPr>
                <w:rFonts w:cs="Arial"/>
                <w:sz w:val="18"/>
                <w:szCs w:val="18"/>
                <w:lang w:val="en-US"/>
              </w:rPr>
              <w:t>ose</w:t>
            </w:r>
            <w:r w:rsidRPr="00B52E94">
              <w:rPr>
                <w:rFonts w:cs="Arial"/>
                <w:sz w:val="18"/>
                <w:szCs w:val="18"/>
                <w:vertAlign w:val="superscript"/>
                <w:lang w:val="en-US"/>
              </w:rPr>
              <w:t>c</w:t>
            </w:r>
          </w:p>
        </w:tc>
        <w:tc>
          <w:tcPr>
            <w:tcW w:w="406" w:type="pct"/>
            <w:tcBorders>
              <w:top w:val="single" w:sz="4" w:space="0" w:color="auto"/>
              <w:bottom w:val="single" w:sz="4" w:space="0" w:color="auto"/>
            </w:tcBorders>
            <w:tcMar>
              <w:top w:w="43" w:type="dxa"/>
              <w:left w:w="115" w:type="dxa"/>
              <w:bottom w:w="43" w:type="dxa"/>
              <w:right w:w="115" w:type="dxa"/>
            </w:tcMar>
          </w:tcPr>
          <w:p w:rsidR="00C275D9" w:rsidRPr="00B52E94" w:rsidRDefault="00C275D9" w:rsidP="00585C51">
            <w:pPr>
              <w:spacing w:after="0" w:afterAutospacing="0" w:line="240" w:lineRule="auto"/>
              <w:rPr>
                <w:rFonts w:cs="Arial"/>
                <w:sz w:val="18"/>
                <w:szCs w:val="18"/>
                <w:lang w:val="en-US"/>
              </w:rPr>
            </w:pPr>
            <w:r w:rsidRPr="00B52E94">
              <w:rPr>
                <w:rFonts w:cs="Arial"/>
                <w:sz w:val="18"/>
                <w:szCs w:val="18"/>
                <w:lang w:val="en-US"/>
              </w:rPr>
              <w:t>Max</w:t>
            </w:r>
            <w:r w:rsidRPr="00B52E94">
              <w:rPr>
                <w:rFonts w:cs="Arial"/>
                <w:sz w:val="18"/>
                <w:szCs w:val="18"/>
                <w:vertAlign w:val="superscript"/>
                <w:lang w:val="en-US"/>
              </w:rPr>
              <w:t>d</w:t>
            </w:r>
          </w:p>
        </w:tc>
        <w:tc>
          <w:tcPr>
            <w:tcW w:w="456" w:type="pct"/>
            <w:tcBorders>
              <w:top w:val="single" w:sz="4" w:space="0" w:color="auto"/>
              <w:bottom w:val="single" w:sz="4" w:space="0" w:color="auto"/>
            </w:tcBorders>
            <w:tcMar>
              <w:top w:w="43" w:type="dxa"/>
              <w:left w:w="115" w:type="dxa"/>
              <w:bottom w:w="43" w:type="dxa"/>
              <w:right w:w="115" w:type="dxa"/>
            </w:tcMar>
          </w:tcPr>
          <w:p w:rsidR="00C275D9" w:rsidRPr="00B52E94" w:rsidRDefault="00C275D9" w:rsidP="00585C51">
            <w:pPr>
              <w:spacing w:after="0" w:afterAutospacing="0" w:line="240" w:lineRule="auto"/>
              <w:rPr>
                <w:rFonts w:cs="Arial"/>
                <w:sz w:val="18"/>
                <w:szCs w:val="18"/>
                <w:lang w:val="en-US"/>
              </w:rPr>
            </w:pPr>
            <w:r w:rsidRPr="00B52E94">
              <w:rPr>
                <w:rFonts w:cs="Arial"/>
                <w:sz w:val="18"/>
                <w:szCs w:val="18"/>
                <w:lang w:val="en-US"/>
              </w:rPr>
              <w:t>Stat</w:t>
            </w:r>
            <w:r w:rsidRPr="00B52E94">
              <w:rPr>
                <w:rFonts w:cs="Arial"/>
                <w:sz w:val="18"/>
                <w:szCs w:val="18"/>
                <w:vertAlign w:val="superscript"/>
                <w:lang w:val="en-US"/>
              </w:rPr>
              <w:t>e</w:t>
            </w:r>
          </w:p>
        </w:tc>
        <w:tc>
          <w:tcPr>
            <w:tcW w:w="557" w:type="pct"/>
            <w:tcBorders>
              <w:top w:val="single" w:sz="4" w:space="0" w:color="auto"/>
              <w:bottom w:val="single" w:sz="4" w:space="0" w:color="auto"/>
            </w:tcBorders>
            <w:tcMar>
              <w:top w:w="43" w:type="dxa"/>
              <w:left w:w="115" w:type="dxa"/>
              <w:bottom w:w="43" w:type="dxa"/>
              <w:right w:w="115" w:type="dxa"/>
            </w:tcMar>
          </w:tcPr>
          <w:p w:rsidR="00C275D9" w:rsidRPr="00B52E94" w:rsidRDefault="00C275D9" w:rsidP="00585C51">
            <w:pPr>
              <w:spacing w:after="0" w:afterAutospacing="0" w:line="240" w:lineRule="auto"/>
              <w:rPr>
                <w:rFonts w:cs="Arial"/>
                <w:sz w:val="18"/>
                <w:szCs w:val="18"/>
                <w:lang w:val="en-US"/>
              </w:rPr>
            </w:pPr>
            <w:r w:rsidRPr="00B52E94">
              <w:rPr>
                <w:rFonts w:cs="Arial"/>
                <w:sz w:val="18"/>
                <w:szCs w:val="18"/>
                <w:lang w:val="en-US"/>
              </w:rPr>
              <w:t>Result</w:t>
            </w:r>
            <w:r w:rsidRPr="00B52E94">
              <w:rPr>
                <w:rFonts w:cs="Arial"/>
                <w:sz w:val="18"/>
                <w:szCs w:val="18"/>
                <w:vertAlign w:val="superscript"/>
                <w:lang w:val="en-US"/>
              </w:rPr>
              <w:t>f</w:t>
            </w:r>
          </w:p>
        </w:tc>
        <w:tc>
          <w:tcPr>
            <w:tcW w:w="1027" w:type="pct"/>
            <w:tcBorders>
              <w:top w:val="single" w:sz="4" w:space="0" w:color="auto"/>
              <w:bottom w:val="single" w:sz="4" w:space="0" w:color="auto"/>
            </w:tcBorders>
            <w:tcMar>
              <w:top w:w="43" w:type="dxa"/>
              <w:left w:w="115" w:type="dxa"/>
              <w:bottom w:w="43" w:type="dxa"/>
              <w:right w:w="115" w:type="dxa"/>
            </w:tcMar>
          </w:tcPr>
          <w:p w:rsidR="00C275D9" w:rsidRPr="00B52E94" w:rsidRDefault="00C275D9" w:rsidP="00585C51">
            <w:pPr>
              <w:spacing w:after="0" w:afterAutospacing="0" w:line="240" w:lineRule="auto"/>
              <w:rPr>
                <w:rFonts w:cs="Arial"/>
                <w:sz w:val="18"/>
                <w:szCs w:val="18"/>
                <w:lang w:val="en-US"/>
              </w:rPr>
            </w:pPr>
            <w:r w:rsidRPr="00B52E94">
              <w:rPr>
                <w:rFonts w:cs="Arial"/>
                <w:sz w:val="18"/>
                <w:szCs w:val="18"/>
                <w:lang w:val="en-US"/>
              </w:rPr>
              <w:t>Ref</w:t>
            </w:r>
            <w:r w:rsidRPr="00B52E94">
              <w:rPr>
                <w:rFonts w:cs="Arial"/>
                <w:sz w:val="18"/>
                <w:szCs w:val="18"/>
                <w:vertAlign w:val="superscript"/>
                <w:lang w:val="en-US"/>
              </w:rPr>
              <w:t>g</w:t>
            </w:r>
          </w:p>
        </w:tc>
      </w:tr>
      <w:tr w:rsidR="00FC4E47" w:rsidRPr="00585C51" w:rsidTr="00FC4E47">
        <w:trPr>
          <w:cantSplit/>
        </w:trPr>
        <w:tc>
          <w:tcPr>
            <w:tcW w:w="5000" w:type="pct"/>
            <w:gridSpan w:val="8"/>
            <w:tcMar>
              <w:top w:w="43" w:type="dxa"/>
              <w:left w:w="115" w:type="dxa"/>
              <w:bottom w:w="43" w:type="dxa"/>
              <w:right w:w="115" w:type="dxa"/>
            </w:tcMar>
          </w:tcPr>
          <w:p w:rsidR="00FC4E47" w:rsidRPr="00585C51" w:rsidRDefault="00FC4E47" w:rsidP="00585C51">
            <w:pPr>
              <w:spacing w:after="0" w:afterAutospacing="0" w:line="240" w:lineRule="auto"/>
              <w:rPr>
                <w:rFonts w:cs="Arial"/>
                <w:sz w:val="18"/>
                <w:szCs w:val="18"/>
                <w:lang w:val="en-US"/>
              </w:rPr>
            </w:pPr>
            <w:r w:rsidRPr="00585C51">
              <w:rPr>
                <w:rFonts w:cs="Arial"/>
                <w:b/>
                <w:sz w:val="18"/>
                <w:szCs w:val="18"/>
                <w:lang w:val="en-US"/>
              </w:rPr>
              <w:t>Glyphosate and Salts</w:t>
            </w:r>
          </w:p>
        </w:tc>
      </w:tr>
      <w:tr w:rsidR="00FC4E47" w:rsidRPr="00585C51" w:rsidTr="00FC4E47">
        <w:trPr>
          <w:cantSplit/>
        </w:trPr>
        <w:tc>
          <w:tcPr>
            <w:tcW w:w="5000" w:type="pct"/>
            <w:gridSpan w:val="8"/>
            <w:tcMar>
              <w:top w:w="43" w:type="dxa"/>
              <w:left w:w="115" w:type="dxa"/>
              <w:bottom w:w="43" w:type="dxa"/>
              <w:right w:w="115" w:type="dxa"/>
            </w:tcMar>
          </w:tcPr>
          <w:p w:rsidR="00FC4E47" w:rsidRPr="00585C51" w:rsidRDefault="00FC4E47" w:rsidP="00585C51">
            <w:pPr>
              <w:spacing w:after="0" w:afterAutospacing="0" w:line="240" w:lineRule="auto"/>
              <w:rPr>
                <w:rFonts w:cs="Arial"/>
                <w:sz w:val="18"/>
                <w:szCs w:val="18"/>
                <w:lang w:val="en-US"/>
              </w:rPr>
            </w:pPr>
            <w:r w:rsidRPr="00585C51">
              <w:rPr>
                <w:rFonts w:cs="Arial"/>
                <w:i/>
                <w:sz w:val="18"/>
                <w:szCs w:val="18"/>
                <w:lang w:val="en-US"/>
              </w:rPr>
              <w:t>Regulatory Studies</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CA</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mouse </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5000</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 T</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Suresh (1994)</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BM MN </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5000</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Jensen (1991c)</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BM MN </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5000</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 T</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inc</w:t>
            </w:r>
            <w:r w:rsidRPr="00585C51">
              <w:rPr>
                <w:rFonts w:cs="Arial"/>
                <w:sz w:val="18"/>
                <w:szCs w:val="18"/>
                <w:vertAlign w:val="superscript"/>
                <w:lang w:val="en-US"/>
              </w:rPr>
              <w:t>fa</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Suresh (1993b)</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5000 </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Fox &amp; Mackay (1996)</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2000 </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r w:rsidRPr="00585C51">
              <w:rPr>
                <w:rFonts w:cs="Arial"/>
                <w:sz w:val="18"/>
                <w:szCs w:val="18"/>
                <w:vertAlign w:val="superscript"/>
                <w:lang w:val="en-US"/>
              </w:rPr>
              <w:t>fb</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Jones (1999)</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i.p.</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562.5 </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w:t>
            </w:r>
            <w:r w:rsidRPr="00585C51">
              <w:rPr>
                <w:rFonts w:cs="Arial"/>
                <w:sz w:val="18"/>
                <w:szCs w:val="18"/>
                <w:vertAlign w:val="superscript"/>
                <w:lang w:val="en-US"/>
              </w:rPr>
              <w:t>da</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Marques (1999)</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i.p.</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3024 </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 T</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Gava (2000)</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2000</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Honarvar (2005)</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i.p.</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600 </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T</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r w:rsidRPr="00585C51">
              <w:rPr>
                <w:rFonts w:cs="Arial"/>
                <w:sz w:val="18"/>
                <w:szCs w:val="18"/>
                <w:vertAlign w:val="superscript"/>
                <w:lang w:val="en-US"/>
              </w:rPr>
              <w:t>fc</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Durward (2006)</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30 </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r w:rsidRPr="00585C51">
              <w:rPr>
                <w:rFonts w:cs="Arial"/>
                <w:sz w:val="18"/>
                <w:szCs w:val="18"/>
                <w:vertAlign w:val="superscript"/>
                <w:lang w:val="en-US"/>
              </w:rPr>
              <w:t>fd</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Zoriki Hosomi (2007)</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2000 </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Honarvar (2008)</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i.p.</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62.5 </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Costa (2008)</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rat</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2000 </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Flugge (2009b)</w:t>
            </w:r>
          </w:p>
        </w:tc>
      </w:tr>
      <w:tr w:rsidR="00FC4E47" w:rsidRPr="00585C51" w:rsidTr="00FC4E47">
        <w:trPr>
          <w:cantSplit/>
        </w:trPr>
        <w:tc>
          <w:tcPr>
            <w:tcW w:w="5000" w:type="pct"/>
            <w:gridSpan w:val="8"/>
            <w:tcMar>
              <w:top w:w="43" w:type="dxa"/>
              <w:left w:w="115" w:type="dxa"/>
              <w:bottom w:w="43" w:type="dxa"/>
              <w:right w:w="115" w:type="dxa"/>
            </w:tcMar>
          </w:tcPr>
          <w:p w:rsidR="00FC4E47" w:rsidRPr="00585C51" w:rsidRDefault="00FC4E47" w:rsidP="00585C51">
            <w:pPr>
              <w:spacing w:after="0" w:afterAutospacing="0" w:line="240" w:lineRule="auto"/>
              <w:rPr>
                <w:rFonts w:cs="Arial"/>
                <w:sz w:val="18"/>
                <w:szCs w:val="18"/>
                <w:lang w:val="en-US"/>
              </w:rPr>
            </w:pPr>
            <w:r>
              <w:rPr>
                <w:rFonts w:cs="Arial"/>
                <w:i/>
                <w:sz w:val="18"/>
                <w:szCs w:val="18"/>
                <w:lang w:val="en-US"/>
              </w:rPr>
              <w:t>Published/Public</w:t>
            </w:r>
            <w:r w:rsidRPr="00585C51">
              <w:rPr>
                <w:rFonts w:cs="Arial"/>
                <w:i/>
                <w:sz w:val="18"/>
                <w:szCs w:val="18"/>
                <w:lang w:val="en-US"/>
              </w:rPr>
              <w:t xml:space="preserve"> Studies</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PB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color w:val="000000"/>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diet</w:t>
            </w:r>
            <w:r w:rsidRPr="00585C51">
              <w:rPr>
                <w:rFonts w:cs="Arial"/>
                <w:sz w:val="18"/>
                <w:szCs w:val="18"/>
                <w:vertAlign w:val="superscript"/>
                <w:lang w:val="en-US"/>
              </w:rPr>
              <w:t xml:space="preserve"> ba</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3393</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4394D">
            <w:pPr>
              <w:spacing w:after="0" w:afterAutospacing="0" w:line="240" w:lineRule="auto"/>
              <w:rPr>
                <w:rFonts w:cs="Arial"/>
                <w:sz w:val="18"/>
                <w:szCs w:val="18"/>
                <w:lang w:val="en-US"/>
              </w:rPr>
            </w:pPr>
            <w:r w:rsidRPr="00585C51">
              <w:rPr>
                <w:rFonts w:cs="Arial"/>
                <w:sz w:val="18"/>
                <w:szCs w:val="18"/>
                <w:lang w:val="en-US"/>
              </w:rPr>
              <w:t>*Chan and Mahler (1992)</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i.p</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300</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w:t>
            </w:r>
            <w:r w:rsidRPr="00585C51">
              <w:rPr>
                <w:rFonts w:cs="Arial"/>
                <w:sz w:val="18"/>
                <w:szCs w:val="18"/>
                <w:vertAlign w:val="superscript"/>
                <w:lang w:val="en-US"/>
              </w:rPr>
              <w:t>db</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noProof/>
                <w:sz w:val="18"/>
                <w:szCs w:val="18"/>
                <w:lang w:val="en-US"/>
              </w:rPr>
              <w:t>Chruscielska et al. (2000)</w:t>
            </w:r>
          </w:p>
        </w:tc>
      </w:tr>
      <w:tr w:rsidR="00FC4E47" w:rsidRPr="00585C51" w:rsidTr="00FC4E47">
        <w:trPr>
          <w:cantSplit/>
        </w:trPr>
        <w:tc>
          <w:tcPr>
            <w:tcW w:w="5000" w:type="pct"/>
            <w:gridSpan w:val="8"/>
            <w:tcMar>
              <w:top w:w="43" w:type="dxa"/>
              <w:left w:w="115" w:type="dxa"/>
              <w:bottom w:w="43" w:type="dxa"/>
              <w:right w:w="115" w:type="dxa"/>
            </w:tcMar>
          </w:tcPr>
          <w:p w:rsidR="00FC4E47" w:rsidRPr="00585C51" w:rsidRDefault="00FC4E47" w:rsidP="00585C51">
            <w:pPr>
              <w:spacing w:after="0" w:afterAutospacing="0" w:line="240" w:lineRule="auto"/>
              <w:rPr>
                <w:rFonts w:cs="Arial"/>
                <w:sz w:val="18"/>
                <w:szCs w:val="18"/>
                <w:lang w:val="en-US"/>
              </w:rPr>
            </w:pPr>
            <w:r w:rsidRPr="00585C51">
              <w:rPr>
                <w:rFonts w:cs="Arial"/>
                <w:b/>
                <w:i/>
                <w:sz w:val="18"/>
                <w:szCs w:val="18"/>
                <w:lang w:val="en-US"/>
              </w:rPr>
              <w:t>GBF’s</w:t>
            </w:r>
          </w:p>
        </w:tc>
      </w:tr>
      <w:tr w:rsidR="00FC4E47" w:rsidRPr="00585C51" w:rsidTr="00FC4E47">
        <w:trPr>
          <w:cantSplit/>
        </w:trPr>
        <w:tc>
          <w:tcPr>
            <w:tcW w:w="5000" w:type="pct"/>
            <w:gridSpan w:val="8"/>
            <w:tcMar>
              <w:top w:w="43" w:type="dxa"/>
              <w:left w:w="115" w:type="dxa"/>
              <w:bottom w:w="43" w:type="dxa"/>
              <w:right w:w="115" w:type="dxa"/>
            </w:tcMar>
          </w:tcPr>
          <w:p w:rsidR="00FC4E47" w:rsidRPr="00585C51" w:rsidRDefault="00FC4E47" w:rsidP="00585C51">
            <w:pPr>
              <w:spacing w:after="0" w:afterAutospacing="0" w:line="240" w:lineRule="auto"/>
              <w:rPr>
                <w:rFonts w:cs="Arial"/>
                <w:sz w:val="18"/>
                <w:szCs w:val="18"/>
                <w:lang w:val="en-US"/>
              </w:rPr>
            </w:pPr>
            <w:r w:rsidRPr="00585C51">
              <w:rPr>
                <w:rFonts w:cs="Arial"/>
                <w:i/>
                <w:sz w:val="18"/>
                <w:szCs w:val="18"/>
                <w:lang w:val="en-US"/>
              </w:rPr>
              <w:t>Regulatory Studies</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i.p.</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555</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T</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w:t>
            </w:r>
            <w:r w:rsidRPr="00585C51">
              <w:rPr>
                <w:rFonts w:cs="Arial"/>
                <w:noProof/>
                <w:sz w:val="18"/>
                <w:szCs w:val="18"/>
                <w:lang w:val="en-US"/>
              </w:rPr>
              <w:t>Kier et al. (1992</w:t>
            </w:r>
            <w:r w:rsidR="003A4729">
              <w:rPr>
                <w:rFonts w:cs="Arial"/>
                <w:noProof/>
                <w:sz w:val="18"/>
                <w:szCs w:val="18"/>
                <w:lang w:val="en-US"/>
              </w:rPr>
              <w:t>d</w:t>
            </w:r>
            <w:r w:rsidRPr="00585C51">
              <w:rPr>
                <w:rFonts w:cs="Arial"/>
                <w:noProof/>
                <w:sz w:val="18"/>
                <w:szCs w:val="18"/>
                <w:lang w:val="en-US"/>
              </w:rPr>
              <w:t>)</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i.p.</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3400</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T</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FC4E47" w:rsidP="00585C51">
            <w:pPr>
              <w:spacing w:after="0" w:afterAutospacing="0" w:line="240" w:lineRule="auto"/>
              <w:rPr>
                <w:rFonts w:cs="Arial"/>
                <w:sz w:val="18"/>
                <w:szCs w:val="18"/>
                <w:lang w:val="en-US"/>
              </w:rPr>
            </w:pPr>
            <w:r>
              <w:rPr>
                <w:rFonts w:cs="Arial"/>
                <w:sz w:val="18"/>
                <w:szCs w:val="18"/>
                <w:lang w:val="en-US"/>
              </w:rPr>
              <w:t>*</w:t>
            </w:r>
            <w:r w:rsidR="00C275D9" w:rsidRPr="00585C51">
              <w:rPr>
                <w:rFonts w:cs="Arial"/>
                <w:noProof/>
                <w:sz w:val="18"/>
                <w:szCs w:val="18"/>
                <w:lang w:val="en-US"/>
              </w:rPr>
              <w:t>Kier et al. (1992</w:t>
            </w:r>
            <w:r w:rsidR="003A4729">
              <w:rPr>
                <w:rFonts w:cs="Arial"/>
                <w:noProof/>
                <w:sz w:val="18"/>
                <w:szCs w:val="18"/>
                <w:lang w:val="en-US"/>
              </w:rPr>
              <w:t>e</w:t>
            </w:r>
            <w:r w:rsidR="00C275D9" w:rsidRPr="00585C51">
              <w:rPr>
                <w:rFonts w:cs="Arial"/>
                <w:noProof/>
                <w:sz w:val="18"/>
                <w:szCs w:val="18"/>
                <w:lang w:val="en-US"/>
              </w:rPr>
              <w:t>)</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i.p.</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365</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T</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w:t>
            </w:r>
            <w:r w:rsidRPr="00585C51">
              <w:rPr>
                <w:rFonts w:cs="Arial"/>
                <w:noProof/>
                <w:sz w:val="18"/>
                <w:szCs w:val="18"/>
                <w:lang w:val="en-US"/>
              </w:rPr>
              <w:t>Kier et al. (1992</w:t>
            </w:r>
            <w:r w:rsidR="003A4729">
              <w:rPr>
                <w:rFonts w:cs="Arial"/>
                <w:noProof/>
                <w:sz w:val="18"/>
                <w:szCs w:val="18"/>
                <w:lang w:val="en-US"/>
              </w:rPr>
              <w:t>f</w:t>
            </w:r>
            <w:r w:rsidRPr="00585C51">
              <w:rPr>
                <w:rFonts w:cs="Arial"/>
                <w:noProof/>
                <w:sz w:val="18"/>
                <w:szCs w:val="18"/>
                <w:lang w:val="en-US"/>
              </w:rPr>
              <w:t>)</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2000 </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r w:rsidRPr="00585C51">
              <w:rPr>
                <w:rFonts w:cs="Arial"/>
                <w:sz w:val="18"/>
                <w:szCs w:val="18"/>
                <w:vertAlign w:val="superscript"/>
                <w:lang w:val="en-US"/>
              </w:rPr>
              <w:t>fe</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Erexson (2003a)</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2000 </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Erexson (2003b)</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2000 </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Erexson (2006)</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2000 </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 T</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r w:rsidRPr="00585C51">
              <w:rPr>
                <w:rFonts w:cs="Arial"/>
                <w:sz w:val="18"/>
                <w:szCs w:val="18"/>
                <w:vertAlign w:val="superscript"/>
                <w:lang w:val="en-US"/>
              </w:rPr>
              <w:t>fe</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Xu (2008a)</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2000 </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Xu (2008b)</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2000 </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Xu (2009a)</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2000 </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Xu (2009b)</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2000 </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Xu (2009c)</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2000 </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Negro Silva (2009)</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2000 </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Flugge (2010c)</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2000 </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L</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Flugge (2010e)</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2000 </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 xml:space="preserve">L </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Negro Silva (2011)</w:t>
            </w:r>
          </w:p>
        </w:tc>
      </w:tr>
      <w:tr w:rsidR="00FC4E47" w:rsidRPr="00585C51" w:rsidTr="00FC4E47">
        <w:trPr>
          <w:cantSplit/>
        </w:trPr>
        <w:tc>
          <w:tcPr>
            <w:tcW w:w="5000" w:type="pct"/>
            <w:gridSpan w:val="8"/>
            <w:tcMar>
              <w:top w:w="43" w:type="dxa"/>
              <w:left w:w="115" w:type="dxa"/>
              <w:bottom w:w="43" w:type="dxa"/>
              <w:right w:w="115" w:type="dxa"/>
            </w:tcMar>
          </w:tcPr>
          <w:p w:rsidR="00FC4E47" w:rsidRPr="00FC4E47" w:rsidRDefault="00FC4E47" w:rsidP="00585C51">
            <w:pPr>
              <w:spacing w:after="0" w:afterAutospacing="0" w:line="240" w:lineRule="auto"/>
              <w:rPr>
                <w:rFonts w:cs="Arial"/>
                <w:i/>
                <w:sz w:val="18"/>
                <w:szCs w:val="18"/>
                <w:lang w:val="en-US"/>
              </w:rPr>
            </w:pPr>
            <w:r w:rsidRPr="00FC4E47">
              <w:rPr>
                <w:rFonts w:cs="Arial"/>
                <w:i/>
                <w:sz w:val="18"/>
                <w:szCs w:val="18"/>
                <w:lang w:val="en-US"/>
              </w:rPr>
              <w:t>Published/Public Studies</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i.p.</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90</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w:t>
            </w:r>
            <w:r w:rsidRPr="00585C51">
              <w:rPr>
                <w:rFonts w:cs="Arial"/>
                <w:sz w:val="18"/>
                <w:szCs w:val="18"/>
                <w:vertAlign w:val="superscript"/>
                <w:lang w:val="en-US"/>
              </w:rPr>
              <w:t>dc</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noProof/>
                <w:sz w:val="18"/>
                <w:szCs w:val="18"/>
                <w:lang w:val="en-US"/>
              </w:rPr>
              <w:t>Chruscielska et al. (2000)</w:t>
            </w:r>
            <w:hyperlink w:anchor="_ENREF_6" w:tooltip="Coutinho do Nascimento A, 2000 #215" w:history="1"/>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i.p.</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200</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T?</w:t>
            </w:r>
            <w:r w:rsidRPr="00585C51">
              <w:rPr>
                <w:rFonts w:cs="Arial"/>
                <w:sz w:val="18"/>
                <w:szCs w:val="18"/>
                <w:vertAlign w:val="superscript"/>
                <w:lang w:val="en-US"/>
              </w:rPr>
              <w:t>dd</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w:t>
            </w:r>
            <w:r w:rsidRPr="00585C51">
              <w:rPr>
                <w:rFonts w:cs="Arial"/>
                <w:noProof/>
                <w:sz w:val="18"/>
                <w:szCs w:val="18"/>
                <w:lang w:val="en-US"/>
              </w:rPr>
              <w:t>Coutinho do Nascimento A (2000)</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lastRenderedPageBreak/>
              <w:t>BM CA</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rabbit</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d.w.</w:t>
            </w:r>
            <w:r w:rsidRPr="00585C51">
              <w:rPr>
                <w:rFonts w:cs="Arial"/>
                <w:sz w:val="18"/>
                <w:szCs w:val="18"/>
                <w:vertAlign w:val="superscript"/>
                <w:lang w:val="en-US"/>
              </w:rPr>
              <w:t>bb</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750 ppm</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pos</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w:t>
            </w:r>
            <w:r w:rsidRPr="00585C51">
              <w:rPr>
                <w:rFonts w:cs="Arial"/>
                <w:noProof/>
                <w:sz w:val="18"/>
                <w:szCs w:val="18"/>
                <w:lang w:val="en-US"/>
              </w:rPr>
              <w:t>Helal and Moussa (2005)</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w:t>
            </w:r>
            <w:r w:rsidR="00FC4E47">
              <w:rPr>
                <w:rFonts w:cs="Arial"/>
                <w:sz w:val="18"/>
                <w:szCs w:val="18"/>
                <w:lang w:val="en-US"/>
              </w:rPr>
              <w:t xml:space="preserve"> </w:t>
            </w:r>
            <w:r w:rsidRPr="00585C51">
              <w:rPr>
                <w:rFonts w:cs="Arial"/>
                <w:sz w:val="18"/>
                <w:szCs w:val="18"/>
                <w:lang w:val="en-US"/>
              </w:rPr>
              <w:t>SC CA</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i.p., p.o.</w:t>
            </w:r>
            <w:r w:rsidRPr="00585C51">
              <w:rPr>
                <w:rFonts w:cs="Arial"/>
                <w:sz w:val="18"/>
                <w:szCs w:val="18"/>
                <w:vertAlign w:val="superscript"/>
                <w:lang w:val="en-US"/>
              </w:rPr>
              <w:t>bc</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50 gly</w:t>
            </w:r>
            <w:r w:rsidRPr="00585C51">
              <w:rPr>
                <w:rFonts w:cs="Arial"/>
                <w:sz w:val="18"/>
                <w:szCs w:val="18"/>
                <w:vertAlign w:val="superscript"/>
                <w:lang w:val="en-US"/>
              </w:rPr>
              <w:t>ca</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w:t>
            </w:r>
            <w:r w:rsidRPr="00585C51">
              <w:rPr>
                <w:rFonts w:cs="Arial"/>
                <w:sz w:val="18"/>
                <w:szCs w:val="18"/>
                <w:vertAlign w:val="superscript"/>
                <w:lang w:val="en-US"/>
              </w:rPr>
              <w:t>de</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inc</w:t>
            </w:r>
            <w:r w:rsidRPr="00585C51">
              <w:rPr>
                <w:rFonts w:cs="Arial"/>
                <w:sz w:val="18"/>
                <w:szCs w:val="18"/>
                <w:vertAlign w:val="superscript"/>
                <w:lang w:val="en-US"/>
              </w:rPr>
              <w:t>ff</w:t>
            </w:r>
            <w:r w:rsidRPr="00585C51">
              <w:rPr>
                <w:rFonts w:cs="Arial"/>
                <w:sz w:val="18"/>
                <w:szCs w:val="18"/>
                <w:lang w:val="en-US"/>
              </w:rPr>
              <w:t>, pos</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w:t>
            </w:r>
            <w:r w:rsidRPr="00585C51">
              <w:rPr>
                <w:rFonts w:cs="Arial"/>
                <w:noProof/>
                <w:sz w:val="18"/>
                <w:szCs w:val="18"/>
                <w:lang w:val="en-US"/>
              </w:rPr>
              <w:t>Amer et al. (2006)</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SCE</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200 gly</w:t>
            </w:r>
            <w:r w:rsidRPr="00585C51">
              <w:rPr>
                <w:rFonts w:cs="Arial"/>
                <w:sz w:val="18"/>
                <w:szCs w:val="18"/>
                <w:vertAlign w:val="superscript"/>
                <w:lang w:val="en-US"/>
              </w:rPr>
              <w:t>ca</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pos</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w:t>
            </w:r>
            <w:r w:rsidRPr="00585C51">
              <w:rPr>
                <w:rFonts w:cs="Arial"/>
                <w:noProof/>
                <w:sz w:val="18"/>
                <w:szCs w:val="18"/>
                <w:lang w:val="en-US"/>
              </w:rPr>
              <w:t>Amer et al. (2006)</w:t>
            </w:r>
          </w:p>
        </w:tc>
      </w:tr>
      <w:tr w:rsidR="00FC4E47" w:rsidRPr="00585C51" w:rsidTr="00FC4E47">
        <w:trPr>
          <w:cantSplit/>
        </w:trPr>
        <w:tc>
          <w:tcPr>
            <w:tcW w:w="5000" w:type="pct"/>
            <w:gridSpan w:val="8"/>
            <w:tcMar>
              <w:top w:w="43" w:type="dxa"/>
              <w:left w:w="115" w:type="dxa"/>
              <w:bottom w:w="43" w:type="dxa"/>
              <w:right w:w="115" w:type="dxa"/>
            </w:tcMar>
          </w:tcPr>
          <w:p w:rsidR="00FC4E47" w:rsidRPr="00585C51" w:rsidRDefault="00FC4E47" w:rsidP="00585C51">
            <w:pPr>
              <w:spacing w:after="0" w:afterAutospacing="0" w:line="240" w:lineRule="auto"/>
              <w:rPr>
                <w:rFonts w:cs="Arial"/>
                <w:sz w:val="18"/>
                <w:szCs w:val="18"/>
                <w:lang w:val="en-US"/>
              </w:rPr>
            </w:pPr>
            <w:r w:rsidRPr="00585C51">
              <w:rPr>
                <w:rFonts w:cs="Arial"/>
                <w:b/>
                <w:i/>
                <w:sz w:val="18"/>
                <w:szCs w:val="18"/>
                <w:lang w:val="en-US"/>
              </w:rPr>
              <w:t>AMPA</w:t>
            </w:r>
          </w:p>
        </w:tc>
      </w:tr>
      <w:tr w:rsidR="00FC4E47" w:rsidRPr="00585C51" w:rsidTr="00FC4E47">
        <w:trPr>
          <w:cantSplit/>
        </w:trPr>
        <w:tc>
          <w:tcPr>
            <w:tcW w:w="5000" w:type="pct"/>
            <w:gridSpan w:val="8"/>
            <w:tcMar>
              <w:top w:w="43" w:type="dxa"/>
              <w:left w:w="115" w:type="dxa"/>
              <w:bottom w:w="43" w:type="dxa"/>
              <w:right w:w="115" w:type="dxa"/>
            </w:tcMar>
          </w:tcPr>
          <w:p w:rsidR="00FC4E47" w:rsidRPr="00585C51" w:rsidRDefault="00FC4E47" w:rsidP="00585C51">
            <w:pPr>
              <w:spacing w:after="0" w:afterAutospacing="0" w:line="240" w:lineRule="auto"/>
              <w:rPr>
                <w:rFonts w:cs="Arial"/>
                <w:sz w:val="18"/>
                <w:szCs w:val="18"/>
                <w:lang w:val="en-US"/>
              </w:rPr>
            </w:pPr>
            <w:r w:rsidRPr="00585C51">
              <w:rPr>
                <w:rFonts w:cs="Arial"/>
                <w:i/>
                <w:sz w:val="18"/>
                <w:szCs w:val="18"/>
                <w:lang w:val="en-US"/>
              </w:rPr>
              <w:t>Regulatory Studies</w:t>
            </w:r>
          </w:p>
        </w:tc>
      </w:tr>
      <w:tr w:rsidR="00C275D9" w:rsidRPr="00585C51" w:rsidTr="00A971F6">
        <w:trPr>
          <w:cantSplit/>
        </w:trPr>
        <w:tc>
          <w:tcPr>
            <w:tcW w:w="66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BM MN</w:t>
            </w:r>
          </w:p>
        </w:tc>
        <w:tc>
          <w:tcPr>
            <w:tcW w:w="629"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mouse</w:t>
            </w:r>
          </w:p>
        </w:tc>
        <w:tc>
          <w:tcPr>
            <w:tcW w:w="545"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i.p.</w:t>
            </w:r>
          </w:p>
        </w:tc>
        <w:tc>
          <w:tcPr>
            <w:tcW w:w="711"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1000</w:t>
            </w:r>
          </w:p>
        </w:tc>
        <w:tc>
          <w:tcPr>
            <w:tcW w:w="40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T</w:t>
            </w:r>
          </w:p>
        </w:tc>
        <w:tc>
          <w:tcPr>
            <w:tcW w:w="456"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S</w:t>
            </w:r>
          </w:p>
        </w:tc>
        <w:tc>
          <w:tcPr>
            <w:tcW w:w="557" w:type="pct"/>
            <w:tcMar>
              <w:top w:w="43" w:type="dxa"/>
              <w:left w:w="115" w:type="dxa"/>
              <w:bottom w:w="43" w:type="dxa"/>
              <w:right w:w="115" w:type="dxa"/>
            </w:tcMar>
          </w:tcPr>
          <w:p w:rsidR="00C275D9" w:rsidRPr="00585C51" w:rsidRDefault="00C275D9" w:rsidP="00585C51">
            <w:pPr>
              <w:spacing w:after="0" w:afterAutospacing="0" w:line="240" w:lineRule="auto"/>
              <w:rPr>
                <w:rFonts w:cs="Arial"/>
                <w:sz w:val="18"/>
                <w:szCs w:val="18"/>
                <w:lang w:val="en-US"/>
              </w:rPr>
            </w:pPr>
            <w:r w:rsidRPr="00585C51">
              <w:rPr>
                <w:rFonts w:cs="Arial"/>
                <w:sz w:val="18"/>
                <w:szCs w:val="18"/>
                <w:lang w:val="en-US"/>
              </w:rPr>
              <w:t>neg</w:t>
            </w:r>
            <w:r w:rsidRPr="00585C51">
              <w:rPr>
                <w:rFonts w:cs="Arial"/>
                <w:sz w:val="18"/>
                <w:szCs w:val="18"/>
                <w:vertAlign w:val="superscript"/>
                <w:lang w:val="en-US"/>
              </w:rPr>
              <w:t>fg</w:t>
            </w:r>
          </w:p>
        </w:tc>
        <w:tc>
          <w:tcPr>
            <w:tcW w:w="1027" w:type="pct"/>
            <w:tcMar>
              <w:top w:w="43" w:type="dxa"/>
              <w:left w:w="115" w:type="dxa"/>
              <w:bottom w:w="43" w:type="dxa"/>
              <w:right w:w="115" w:type="dxa"/>
            </w:tcMar>
          </w:tcPr>
          <w:p w:rsidR="00C275D9" w:rsidRPr="00585C51" w:rsidRDefault="00C275D9" w:rsidP="00585C51">
            <w:pPr>
              <w:spacing w:after="0" w:afterAutospacing="0" w:line="240" w:lineRule="auto"/>
              <w:rPr>
                <w:rFonts w:cs="Arial"/>
                <w:noProof/>
                <w:sz w:val="18"/>
                <w:szCs w:val="18"/>
                <w:lang w:val="en-US"/>
              </w:rPr>
            </w:pPr>
            <w:r w:rsidRPr="00585C51">
              <w:rPr>
                <w:rFonts w:cs="Arial"/>
                <w:sz w:val="18"/>
                <w:szCs w:val="18"/>
                <w:lang w:val="en-US"/>
              </w:rPr>
              <w:t>*</w:t>
            </w:r>
            <w:r w:rsidRPr="00585C51">
              <w:rPr>
                <w:rFonts w:cs="Arial"/>
                <w:noProof/>
                <w:sz w:val="18"/>
                <w:szCs w:val="18"/>
                <w:lang w:val="en-US"/>
              </w:rPr>
              <w:t>Kier and Stegeman (1993)</w:t>
            </w:r>
          </w:p>
        </w:tc>
      </w:tr>
    </w:tbl>
    <w:p w:rsidR="0027553B" w:rsidRPr="00FC4E47" w:rsidRDefault="0027553B" w:rsidP="00FC4E47">
      <w:pPr>
        <w:spacing w:after="0" w:afterAutospacing="0" w:line="240" w:lineRule="auto"/>
        <w:rPr>
          <w:rFonts w:eastAsia="Calibri"/>
          <w:sz w:val="18"/>
          <w:lang w:val="en-US"/>
        </w:rPr>
      </w:pPr>
      <w:r w:rsidRPr="00FC4E47">
        <w:rPr>
          <w:rFonts w:eastAsia="Calibri"/>
          <w:sz w:val="18"/>
          <w:vertAlign w:val="superscript"/>
          <w:lang w:val="en-US"/>
        </w:rPr>
        <w:t>a</w:t>
      </w:r>
      <w:r w:rsidRPr="00FC4E47">
        <w:rPr>
          <w:rFonts w:eastAsia="Calibri"/>
          <w:sz w:val="18"/>
          <w:lang w:val="en-US"/>
        </w:rPr>
        <w:t xml:space="preserve">  Endpoint:  BM MN, bone marrow polychromatic erythrocyte micronucleus; BM CA, bone marrow chromosomal aberration; PB MN, normochromatic erythrocyte micronucleus in peripheral blood; SC CA, spermatocyte chromosomal aberration; BM SCE, bone marrow sister chromatid exchange.</w:t>
      </w:r>
    </w:p>
    <w:p w:rsidR="0027553B" w:rsidRPr="00FC4E47" w:rsidRDefault="0027553B" w:rsidP="00FC4E47">
      <w:pPr>
        <w:spacing w:after="0" w:afterAutospacing="0" w:line="240" w:lineRule="auto"/>
        <w:rPr>
          <w:rFonts w:eastAsia="Calibri"/>
          <w:sz w:val="18"/>
          <w:lang w:val="en-US"/>
        </w:rPr>
      </w:pPr>
      <w:r w:rsidRPr="00FC4E47">
        <w:rPr>
          <w:rFonts w:eastAsia="Calibri"/>
          <w:sz w:val="18"/>
          <w:vertAlign w:val="superscript"/>
          <w:lang w:val="en-US"/>
        </w:rPr>
        <w:t>b</w:t>
      </w:r>
      <w:r w:rsidRPr="00FC4E47">
        <w:rPr>
          <w:rFonts w:eastAsia="Calibri"/>
          <w:sz w:val="18"/>
          <w:lang w:val="en-US"/>
        </w:rPr>
        <w:t xml:space="preserve">  Rte--Route of administration: p.o. oral (gavage); i.p., intraperitoneal injection; d.w., drinking water.  Except as noted by footnote acute dosing (single or two doses 24 hours apart were used)</w:t>
      </w:r>
    </w:p>
    <w:p w:rsidR="0027553B" w:rsidRPr="00FC4E47" w:rsidRDefault="0027553B" w:rsidP="00FC4E47">
      <w:pPr>
        <w:spacing w:after="0" w:afterAutospacing="0" w:line="240" w:lineRule="auto"/>
        <w:ind w:left="360"/>
        <w:rPr>
          <w:rFonts w:eastAsia="Calibri"/>
          <w:sz w:val="18"/>
          <w:lang w:val="en-US"/>
        </w:rPr>
      </w:pPr>
      <w:r w:rsidRPr="00FC4E47">
        <w:rPr>
          <w:rFonts w:eastAsia="Calibri"/>
          <w:sz w:val="18"/>
          <w:vertAlign w:val="superscript"/>
          <w:lang w:val="en-US"/>
        </w:rPr>
        <w:t>ba</w:t>
      </w:r>
      <w:r w:rsidRPr="00FC4E47">
        <w:rPr>
          <w:rFonts w:eastAsia="Calibri"/>
          <w:sz w:val="18"/>
          <w:lang w:val="en-US"/>
        </w:rPr>
        <w:t xml:space="preserve">  13 week feeding study.</w:t>
      </w:r>
    </w:p>
    <w:p w:rsidR="0027553B" w:rsidRPr="00FC4E47" w:rsidRDefault="0027553B" w:rsidP="00FC4E47">
      <w:pPr>
        <w:spacing w:after="0" w:afterAutospacing="0" w:line="240" w:lineRule="auto"/>
        <w:ind w:left="360"/>
        <w:rPr>
          <w:rFonts w:eastAsia="Calibri"/>
          <w:sz w:val="18"/>
          <w:lang w:val="en-US"/>
        </w:rPr>
      </w:pPr>
      <w:r w:rsidRPr="00FC4E47">
        <w:rPr>
          <w:rFonts w:eastAsia="Calibri"/>
          <w:sz w:val="18"/>
          <w:vertAlign w:val="superscript"/>
          <w:lang w:val="en-US"/>
        </w:rPr>
        <w:t>bb</w:t>
      </w:r>
      <w:r w:rsidRPr="00FC4E47">
        <w:rPr>
          <w:rFonts w:eastAsia="Calibri"/>
          <w:sz w:val="18"/>
          <w:lang w:val="en-US"/>
        </w:rPr>
        <w:t xml:space="preserve">  60 days drinking water study.</w:t>
      </w:r>
    </w:p>
    <w:p w:rsidR="0027553B" w:rsidRPr="00FC4E47" w:rsidRDefault="0027553B" w:rsidP="00FC4E47">
      <w:pPr>
        <w:spacing w:after="0" w:afterAutospacing="0" w:line="240" w:lineRule="auto"/>
        <w:ind w:left="360"/>
        <w:rPr>
          <w:rFonts w:eastAsia="Calibri"/>
          <w:sz w:val="18"/>
          <w:lang w:val="en-US"/>
        </w:rPr>
      </w:pPr>
      <w:r w:rsidRPr="00FC4E47">
        <w:rPr>
          <w:rFonts w:eastAsia="Calibri"/>
          <w:sz w:val="18"/>
          <w:vertAlign w:val="superscript"/>
          <w:lang w:val="en-US"/>
        </w:rPr>
        <w:t>bc</w:t>
      </w:r>
      <w:r w:rsidRPr="00FC4E47">
        <w:rPr>
          <w:rFonts w:eastAsia="Calibri"/>
          <w:sz w:val="18"/>
          <w:lang w:val="en-US"/>
        </w:rPr>
        <w:t xml:space="preserve"> 1, 3 and 5 days i.p.; 1, 7, 14 and 21 days p.o.</w:t>
      </w:r>
    </w:p>
    <w:p w:rsidR="0027553B" w:rsidRPr="00FC4E47" w:rsidRDefault="0027553B" w:rsidP="00FC4E47">
      <w:pPr>
        <w:spacing w:after="0" w:afterAutospacing="0" w:line="240" w:lineRule="auto"/>
        <w:rPr>
          <w:rFonts w:eastAsia="Calibri"/>
          <w:sz w:val="18"/>
          <w:lang w:val="en-US"/>
        </w:rPr>
      </w:pPr>
      <w:r w:rsidRPr="00FC4E47">
        <w:rPr>
          <w:rFonts w:eastAsia="Calibri"/>
          <w:sz w:val="18"/>
          <w:vertAlign w:val="superscript"/>
          <w:lang w:val="en-US"/>
        </w:rPr>
        <w:t>c</w:t>
      </w:r>
      <w:r w:rsidRPr="00FC4E47">
        <w:rPr>
          <w:rFonts w:eastAsia="Calibri"/>
          <w:sz w:val="18"/>
          <w:lang w:val="en-US"/>
        </w:rPr>
        <w:t xml:space="preserve">  Maximum glyphosate, GBF or AMPA treatment dose level in mg/kg body weight except for ppm which indicates amount in drinking water.  </w:t>
      </w:r>
    </w:p>
    <w:p w:rsidR="0027553B" w:rsidRPr="00FC4E47" w:rsidRDefault="0027553B" w:rsidP="00FC4E47">
      <w:pPr>
        <w:spacing w:after="0" w:afterAutospacing="0" w:line="240" w:lineRule="auto"/>
        <w:ind w:left="360"/>
        <w:rPr>
          <w:rFonts w:eastAsia="Calibri"/>
          <w:sz w:val="18"/>
          <w:lang w:val="en-US"/>
        </w:rPr>
      </w:pPr>
      <w:r w:rsidRPr="00FC4E47">
        <w:rPr>
          <w:rFonts w:eastAsia="Calibri"/>
          <w:sz w:val="18"/>
          <w:vertAlign w:val="superscript"/>
          <w:lang w:val="en-US"/>
        </w:rPr>
        <w:t>ca</w:t>
      </w:r>
      <w:r w:rsidRPr="00FC4E47">
        <w:rPr>
          <w:rFonts w:eastAsia="Calibri"/>
          <w:sz w:val="18"/>
          <w:lang w:val="en-US"/>
        </w:rPr>
        <w:t xml:space="preserve">  dose units were reported as mg/kg body weight of glyphosate (gly)</w:t>
      </w:r>
    </w:p>
    <w:p w:rsidR="0027553B" w:rsidRPr="00FC4E47" w:rsidRDefault="0027553B" w:rsidP="00FC4E47">
      <w:pPr>
        <w:spacing w:after="0" w:afterAutospacing="0" w:line="240" w:lineRule="auto"/>
        <w:rPr>
          <w:rFonts w:eastAsia="Calibri"/>
          <w:sz w:val="18"/>
          <w:lang w:val="en-US"/>
        </w:rPr>
      </w:pPr>
      <w:r w:rsidRPr="00FC4E47">
        <w:rPr>
          <w:rFonts w:eastAsia="Calibri"/>
          <w:sz w:val="18"/>
          <w:vertAlign w:val="superscript"/>
          <w:lang w:val="en-US"/>
        </w:rPr>
        <w:t xml:space="preserve">d  </w:t>
      </w:r>
      <w:r w:rsidRPr="00FC4E47">
        <w:rPr>
          <w:rFonts w:eastAsia="Calibri"/>
          <w:sz w:val="18"/>
          <w:lang w:val="en-US"/>
        </w:rPr>
        <w:t xml:space="preserve">Observations relevant to maximum dose level tested </w:t>
      </w:r>
    </w:p>
    <w:p w:rsidR="0027553B" w:rsidRPr="00FC4E47" w:rsidRDefault="0027553B" w:rsidP="00FC4E47">
      <w:pPr>
        <w:spacing w:after="0" w:afterAutospacing="0" w:line="240" w:lineRule="auto"/>
        <w:ind w:left="360"/>
        <w:rPr>
          <w:rFonts w:eastAsia="Calibri"/>
          <w:sz w:val="18"/>
          <w:lang w:val="en-US"/>
        </w:rPr>
      </w:pPr>
      <w:r w:rsidRPr="00FC4E47">
        <w:rPr>
          <w:rFonts w:eastAsia="Calibri"/>
          <w:sz w:val="18"/>
          <w:lang w:val="en-US"/>
        </w:rPr>
        <w:t xml:space="preserve">L  Meets or exceeds current OECD guideline maximum recommended dose </w:t>
      </w:r>
      <w:r w:rsidRPr="00FC4E47">
        <w:rPr>
          <w:rFonts w:eastAsia="Calibri"/>
          <w:noProof/>
          <w:sz w:val="18"/>
          <w:lang w:val="en-US"/>
        </w:rPr>
        <w:t>(OECD, 2014</w:t>
      </w:r>
      <w:r w:rsidR="00FB6F00">
        <w:rPr>
          <w:rFonts w:eastAsia="Calibri"/>
          <w:noProof/>
          <w:sz w:val="18"/>
          <w:lang w:val="en-US"/>
        </w:rPr>
        <w:t>c</w:t>
      </w:r>
      <w:r w:rsidRPr="00FC4E47">
        <w:rPr>
          <w:rFonts w:eastAsia="Calibri"/>
          <w:noProof/>
          <w:sz w:val="18"/>
          <w:lang w:val="en-US"/>
        </w:rPr>
        <w:t>)</w:t>
      </w:r>
      <w:r w:rsidRPr="00FC4E47">
        <w:rPr>
          <w:rFonts w:eastAsia="Calibri"/>
          <w:sz w:val="18"/>
          <w:lang w:val="en-US"/>
        </w:rPr>
        <w:t xml:space="preserve">. </w:t>
      </w:r>
    </w:p>
    <w:p w:rsidR="0027553B" w:rsidRPr="00FC4E47" w:rsidRDefault="0027553B" w:rsidP="00FC4E47">
      <w:pPr>
        <w:spacing w:after="0" w:afterAutospacing="0" w:line="240" w:lineRule="auto"/>
        <w:ind w:left="360"/>
        <w:rPr>
          <w:rFonts w:eastAsia="Calibri"/>
          <w:sz w:val="18"/>
          <w:lang w:val="en-US"/>
        </w:rPr>
      </w:pPr>
      <w:bookmarkStart w:id="7" w:name="_Toc437976035"/>
      <w:bookmarkStart w:id="8" w:name="_Toc438064031"/>
      <w:r w:rsidRPr="00FC4E47">
        <w:rPr>
          <w:rFonts w:eastAsia="Calibri"/>
          <w:sz w:val="18"/>
          <w:lang w:val="en-US"/>
        </w:rPr>
        <w:t>T  Signs of general or target organ toxicity observed at highest dose level.</w:t>
      </w:r>
      <w:bookmarkEnd w:id="7"/>
      <w:bookmarkEnd w:id="8"/>
    </w:p>
    <w:p w:rsidR="0027553B" w:rsidRPr="00FC4E47" w:rsidRDefault="0027553B" w:rsidP="00FC4E47">
      <w:pPr>
        <w:spacing w:after="0" w:afterAutospacing="0" w:line="240" w:lineRule="auto"/>
        <w:ind w:left="360"/>
        <w:rPr>
          <w:rFonts w:eastAsia="Calibri"/>
          <w:sz w:val="18"/>
          <w:lang w:val="en-US"/>
        </w:rPr>
      </w:pPr>
      <w:r w:rsidRPr="00FC4E47">
        <w:rPr>
          <w:rFonts w:eastAsia="Calibri"/>
          <w:sz w:val="18"/>
          <w:vertAlign w:val="superscript"/>
          <w:lang w:val="en-US"/>
        </w:rPr>
        <w:t xml:space="preserve">da  </w:t>
      </w:r>
      <w:r w:rsidRPr="00FC4E47">
        <w:rPr>
          <w:rFonts w:eastAsia="Calibri"/>
          <w:sz w:val="18"/>
          <w:lang w:val="en-US"/>
        </w:rPr>
        <w:t>Maximum concentration close to reported LD</w:t>
      </w:r>
      <w:r w:rsidRPr="00FC4E47">
        <w:rPr>
          <w:rFonts w:eastAsia="Calibri"/>
          <w:sz w:val="18"/>
          <w:vertAlign w:val="subscript"/>
          <w:lang w:val="en-US"/>
        </w:rPr>
        <w:t>50</w:t>
      </w:r>
      <w:r w:rsidRPr="00FC4E47">
        <w:rPr>
          <w:rFonts w:eastAsia="Calibri"/>
          <w:sz w:val="18"/>
          <w:lang w:val="en-US"/>
        </w:rPr>
        <w:t xml:space="preserve"> of 750 mg/kg</w:t>
      </w:r>
    </w:p>
    <w:p w:rsidR="0027553B" w:rsidRPr="00FC4E47" w:rsidRDefault="0027553B" w:rsidP="00FC4E47">
      <w:pPr>
        <w:spacing w:after="0" w:afterAutospacing="0" w:line="240" w:lineRule="auto"/>
        <w:ind w:left="360"/>
        <w:rPr>
          <w:rFonts w:eastAsia="Calibri"/>
          <w:sz w:val="18"/>
          <w:lang w:val="en-US"/>
        </w:rPr>
      </w:pPr>
      <w:r w:rsidRPr="00FC4E47">
        <w:rPr>
          <w:rFonts w:eastAsia="Calibri"/>
          <w:sz w:val="18"/>
          <w:vertAlign w:val="superscript"/>
          <w:lang w:val="en-US"/>
        </w:rPr>
        <w:t>db</w:t>
      </w:r>
      <w:r w:rsidRPr="00FC4E47">
        <w:rPr>
          <w:rFonts w:eastAsia="Calibri"/>
          <w:sz w:val="18"/>
          <w:lang w:val="en-US"/>
        </w:rPr>
        <w:t xml:space="preserve">  Indicated as “maximal dose succeeded in administration” </w:t>
      </w:r>
    </w:p>
    <w:p w:rsidR="0027553B" w:rsidRPr="00FC4E47" w:rsidRDefault="0027553B" w:rsidP="00FC4E47">
      <w:pPr>
        <w:spacing w:after="0" w:afterAutospacing="0" w:line="240" w:lineRule="auto"/>
        <w:ind w:left="360"/>
        <w:rPr>
          <w:rFonts w:eastAsia="Calibri"/>
          <w:sz w:val="18"/>
          <w:lang w:val="en-US"/>
        </w:rPr>
      </w:pPr>
      <w:r w:rsidRPr="00FC4E47">
        <w:rPr>
          <w:rFonts w:eastAsia="Calibri"/>
          <w:sz w:val="18"/>
          <w:vertAlign w:val="superscript"/>
          <w:lang w:val="en-US"/>
        </w:rPr>
        <w:t>dc</w:t>
      </w:r>
      <w:r w:rsidRPr="00FC4E47">
        <w:rPr>
          <w:rFonts w:eastAsia="Calibri"/>
          <w:sz w:val="18"/>
          <w:lang w:val="en-US"/>
        </w:rPr>
        <w:t xml:space="preserve">  Indicated as 70% of the LD</w:t>
      </w:r>
      <w:r w:rsidRPr="00FC4E47">
        <w:rPr>
          <w:rFonts w:eastAsia="Calibri"/>
          <w:sz w:val="18"/>
          <w:vertAlign w:val="subscript"/>
          <w:lang w:val="en-US"/>
        </w:rPr>
        <w:t>50</w:t>
      </w:r>
    </w:p>
    <w:p w:rsidR="0027553B" w:rsidRPr="00FC4E47" w:rsidRDefault="0027553B" w:rsidP="00FC4E47">
      <w:pPr>
        <w:spacing w:after="0" w:afterAutospacing="0" w:line="240" w:lineRule="auto"/>
        <w:ind w:left="360"/>
        <w:rPr>
          <w:rFonts w:eastAsia="Calibri"/>
          <w:sz w:val="18"/>
          <w:lang w:val="en-US"/>
        </w:rPr>
      </w:pPr>
      <w:r w:rsidRPr="00FC4E47">
        <w:rPr>
          <w:rFonts w:eastAsia="Calibri"/>
          <w:sz w:val="18"/>
          <w:vertAlign w:val="superscript"/>
          <w:lang w:val="en-US"/>
        </w:rPr>
        <w:t>dd</w:t>
      </w:r>
      <w:r w:rsidRPr="00FC4E47">
        <w:rPr>
          <w:rFonts w:eastAsia="Calibri"/>
          <w:sz w:val="18"/>
          <w:lang w:val="en-US"/>
        </w:rPr>
        <w:t xml:space="preserve">  Reduction in PCE/NCE ratio observed but not indicated as statistically significant.</w:t>
      </w:r>
    </w:p>
    <w:p w:rsidR="0027553B" w:rsidRPr="00FC4E47" w:rsidRDefault="0027553B" w:rsidP="00FC4E47">
      <w:pPr>
        <w:spacing w:after="0" w:afterAutospacing="0" w:line="240" w:lineRule="auto"/>
        <w:ind w:left="360"/>
        <w:rPr>
          <w:rFonts w:eastAsia="Calibri"/>
          <w:sz w:val="18"/>
          <w:lang w:val="en-US"/>
        </w:rPr>
      </w:pPr>
      <w:r w:rsidRPr="00FC4E47">
        <w:rPr>
          <w:rFonts w:eastAsia="Calibri"/>
          <w:sz w:val="18"/>
          <w:vertAlign w:val="superscript"/>
          <w:lang w:val="en-US"/>
        </w:rPr>
        <w:t>de</w:t>
      </w:r>
      <w:r w:rsidRPr="00FC4E47">
        <w:rPr>
          <w:rFonts w:eastAsia="Calibri"/>
          <w:sz w:val="18"/>
          <w:lang w:val="en-US"/>
        </w:rPr>
        <w:t xml:space="preserve">  Statistically significant increases in abnormal sperm observed at p.o. doses of 100 and 200 mg/kg gly</w:t>
      </w:r>
    </w:p>
    <w:p w:rsidR="0027553B" w:rsidRPr="00FC4E47" w:rsidRDefault="0027553B" w:rsidP="00FC4E47">
      <w:pPr>
        <w:spacing w:after="0" w:afterAutospacing="0" w:line="240" w:lineRule="auto"/>
        <w:rPr>
          <w:rFonts w:eastAsia="Calibri"/>
          <w:sz w:val="18"/>
          <w:lang w:val="en-US"/>
        </w:rPr>
      </w:pPr>
      <w:r w:rsidRPr="00FC4E47">
        <w:rPr>
          <w:rFonts w:eastAsia="Calibri"/>
          <w:sz w:val="18"/>
          <w:vertAlign w:val="superscript"/>
          <w:lang w:val="en-US"/>
        </w:rPr>
        <w:t>e</w:t>
      </w:r>
      <w:r w:rsidRPr="00FC4E47">
        <w:rPr>
          <w:rFonts w:eastAsia="Calibri"/>
          <w:sz w:val="18"/>
          <w:lang w:val="en-US"/>
        </w:rPr>
        <w:t xml:space="preserve">  Statistical analysis method and results indication in supplement, publication or publicly available report.</w:t>
      </w:r>
    </w:p>
    <w:p w:rsidR="0027553B" w:rsidRPr="00FC4E47" w:rsidRDefault="0027553B" w:rsidP="00A971F6">
      <w:pPr>
        <w:spacing w:after="0" w:afterAutospacing="0" w:line="240" w:lineRule="auto"/>
        <w:ind w:left="360"/>
        <w:rPr>
          <w:rFonts w:eastAsia="Calibri"/>
          <w:sz w:val="18"/>
          <w:lang w:val="en-US"/>
        </w:rPr>
      </w:pPr>
      <w:r w:rsidRPr="00FC4E47">
        <w:rPr>
          <w:rFonts w:eastAsia="Calibri"/>
          <w:sz w:val="18"/>
          <w:lang w:val="en-US"/>
        </w:rPr>
        <w:t>N  Statistical analysis not indicated</w:t>
      </w:r>
    </w:p>
    <w:p w:rsidR="0027553B" w:rsidRPr="00FC4E47" w:rsidRDefault="0027553B" w:rsidP="00FC4E47">
      <w:pPr>
        <w:spacing w:after="0" w:afterAutospacing="0" w:line="240" w:lineRule="auto"/>
        <w:ind w:left="360"/>
        <w:rPr>
          <w:rFonts w:eastAsia="Calibri"/>
          <w:sz w:val="18"/>
          <w:lang w:val="en-US"/>
        </w:rPr>
      </w:pPr>
      <w:r w:rsidRPr="00FC4E47">
        <w:rPr>
          <w:rFonts w:eastAsia="Calibri"/>
          <w:sz w:val="18"/>
          <w:lang w:val="en-US"/>
        </w:rPr>
        <w:t>S  Statistical analysis method and results presented</w:t>
      </w:r>
    </w:p>
    <w:p w:rsidR="0027553B" w:rsidRPr="00FC4E47" w:rsidRDefault="0027553B" w:rsidP="00FC4E47">
      <w:pPr>
        <w:spacing w:after="0" w:afterAutospacing="0" w:line="240" w:lineRule="auto"/>
        <w:rPr>
          <w:rFonts w:eastAsia="Calibri"/>
          <w:sz w:val="18"/>
          <w:lang w:val="en-US"/>
        </w:rPr>
      </w:pPr>
      <w:r w:rsidRPr="00FC4E47">
        <w:rPr>
          <w:rFonts w:eastAsia="Calibri"/>
          <w:sz w:val="18"/>
          <w:vertAlign w:val="superscript"/>
          <w:lang w:val="en-US"/>
        </w:rPr>
        <w:t>f</w:t>
      </w:r>
      <w:r w:rsidRPr="00FC4E47">
        <w:rPr>
          <w:rFonts w:eastAsia="Calibri"/>
          <w:sz w:val="18"/>
          <w:lang w:val="en-US"/>
        </w:rPr>
        <w:t xml:space="preserve">  Assay result</w:t>
      </w:r>
    </w:p>
    <w:p w:rsidR="0027553B" w:rsidRPr="00FC4E47" w:rsidRDefault="0027553B" w:rsidP="00FC4E47">
      <w:pPr>
        <w:spacing w:after="0" w:afterAutospacing="0" w:line="240" w:lineRule="auto"/>
        <w:ind w:left="360"/>
        <w:rPr>
          <w:rFonts w:eastAsia="Calibri"/>
          <w:sz w:val="18"/>
          <w:lang w:val="en-US"/>
        </w:rPr>
      </w:pPr>
      <w:r w:rsidRPr="00FC4E47">
        <w:rPr>
          <w:rFonts w:eastAsia="Calibri"/>
          <w:sz w:val="18"/>
          <w:lang w:val="en-US"/>
        </w:rPr>
        <w:t>neg—negative</w:t>
      </w:r>
    </w:p>
    <w:p w:rsidR="0027553B" w:rsidRPr="00FC4E47" w:rsidRDefault="0027553B" w:rsidP="00FC4E47">
      <w:pPr>
        <w:spacing w:after="0" w:afterAutospacing="0" w:line="240" w:lineRule="auto"/>
        <w:ind w:left="360"/>
        <w:rPr>
          <w:rFonts w:eastAsia="Calibri"/>
          <w:sz w:val="18"/>
          <w:lang w:val="en-US"/>
        </w:rPr>
      </w:pPr>
      <w:r w:rsidRPr="00FC4E47">
        <w:rPr>
          <w:rFonts w:eastAsia="Calibri"/>
          <w:sz w:val="18"/>
          <w:lang w:val="en-US"/>
        </w:rPr>
        <w:t>pos—positive</w:t>
      </w:r>
    </w:p>
    <w:p w:rsidR="0027553B" w:rsidRPr="00FC4E47" w:rsidRDefault="0027553B" w:rsidP="00FC4E47">
      <w:pPr>
        <w:spacing w:after="0" w:afterAutospacing="0" w:line="240" w:lineRule="auto"/>
        <w:ind w:left="360"/>
        <w:rPr>
          <w:rFonts w:eastAsia="Calibri"/>
          <w:sz w:val="18"/>
          <w:lang w:val="en-US"/>
        </w:rPr>
      </w:pPr>
      <w:r w:rsidRPr="00FC4E47">
        <w:rPr>
          <w:rFonts w:eastAsia="Calibri"/>
          <w:sz w:val="18"/>
          <w:lang w:val="en-US"/>
        </w:rPr>
        <w:t>inc—inconclusive</w:t>
      </w:r>
    </w:p>
    <w:p w:rsidR="0027553B" w:rsidRPr="00FC4E47" w:rsidRDefault="0027553B" w:rsidP="00FC4E47">
      <w:pPr>
        <w:spacing w:after="0" w:afterAutospacing="0" w:line="240" w:lineRule="auto"/>
        <w:ind w:left="360"/>
        <w:rPr>
          <w:rFonts w:eastAsia="Calibri"/>
          <w:sz w:val="18"/>
          <w:lang w:val="en-US"/>
        </w:rPr>
      </w:pPr>
      <w:r w:rsidRPr="00FC4E47">
        <w:rPr>
          <w:rFonts w:eastAsia="Calibri"/>
          <w:sz w:val="18"/>
          <w:vertAlign w:val="superscript"/>
          <w:lang w:val="en-US"/>
        </w:rPr>
        <w:t>fa</w:t>
      </w:r>
      <w:r w:rsidRPr="00FC4E47">
        <w:rPr>
          <w:rFonts w:eastAsia="Calibri"/>
          <w:sz w:val="18"/>
          <w:lang w:val="en-US"/>
        </w:rPr>
        <w:t xml:space="preserve">  Statistically significant increase in MN erythr</w:t>
      </w:r>
      <w:r w:rsidR="00A971F6">
        <w:rPr>
          <w:rFonts w:eastAsia="Calibri"/>
          <w:sz w:val="18"/>
          <w:lang w:val="en-US"/>
        </w:rPr>
        <w:t xml:space="preserve">ocytes for high dose females.  </w:t>
      </w:r>
      <w:r w:rsidRPr="00FC4E47">
        <w:rPr>
          <w:rFonts w:eastAsia="Calibri"/>
          <w:sz w:val="18"/>
          <w:lang w:val="en-US"/>
        </w:rPr>
        <w:t>Control MN frequencies were unusually high and historical control data not presented.</w:t>
      </w:r>
    </w:p>
    <w:p w:rsidR="0027553B" w:rsidRPr="00FC4E47" w:rsidRDefault="0027553B" w:rsidP="00FC4E47">
      <w:pPr>
        <w:spacing w:after="0" w:afterAutospacing="0" w:line="240" w:lineRule="auto"/>
        <w:ind w:left="360"/>
        <w:rPr>
          <w:rFonts w:eastAsia="Calibri"/>
          <w:sz w:val="18"/>
          <w:lang w:val="en-US"/>
        </w:rPr>
      </w:pPr>
      <w:r w:rsidRPr="00FC4E47">
        <w:rPr>
          <w:rFonts w:eastAsia="Calibri"/>
          <w:sz w:val="18"/>
          <w:vertAlign w:val="superscript"/>
          <w:lang w:val="en-US"/>
        </w:rPr>
        <w:t>fb</w:t>
      </w:r>
      <w:r w:rsidRPr="00FC4E47">
        <w:rPr>
          <w:rFonts w:eastAsia="Calibri"/>
          <w:sz w:val="18"/>
          <w:lang w:val="en-US"/>
        </w:rPr>
        <w:t xml:space="preserve">  Statistically significant increase in MN PCE frequency at 24 h only, within historical control, not judged to be treatment-related.</w:t>
      </w:r>
    </w:p>
    <w:p w:rsidR="0027553B" w:rsidRPr="00FC4E47" w:rsidRDefault="0027553B" w:rsidP="00FC4E47">
      <w:pPr>
        <w:spacing w:after="0" w:afterAutospacing="0" w:line="240" w:lineRule="auto"/>
        <w:ind w:left="360"/>
        <w:rPr>
          <w:rFonts w:eastAsia="Calibri"/>
          <w:sz w:val="18"/>
          <w:lang w:val="en-US"/>
        </w:rPr>
      </w:pPr>
      <w:r w:rsidRPr="00FC4E47">
        <w:rPr>
          <w:rFonts w:eastAsia="Calibri"/>
          <w:sz w:val="18"/>
          <w:vertAlign w:val="superscript"/>
          <w:lang w:val="en-US"/>
        </w:rPr>
        <w:t>fc</w:t>
      </w:r>
      <w:r w:rsidRPr="00FC4E47">
        <w:rPr>
          <w:rFonts w:eastAsia="Calibri"/>
          <w:sz w:val="18"/>
          <w:lang w:val="en-US"/>
        </w:rPr>
        <w:t xml:space="preserve">  Statistically significant increase in MN PCE frequency only for 24 h high dose, within historical control , not judged to be treatment-related.</w:t>
      </w:r>
    </w:p>
    <w:p w:rsidR="0027553B" w:rsidRPr="00FC4E47" w:rsidRDefault="0027553B" w:rsidP="00FC4E47">
      <w:pPr>
        <w:spacing w:after="0" w:afterAutospacing="0" w:line="240" w:lineRule="auto"/>
        <w:ind w:left="360"/>
        <w:rPr>
          <w:rFonts w:eastAsia="Calibri"/>
          <w:sz w:val="18"/>
          <w:lang w:val="en-US"/>
        </w:rPr>
      </w:pPr>
      <w:r w:rsidRPr="00FC4E47">
        <w:rPr>
          <w:rFonts w:eastAsia="Calibri"/>
          <w:sz w:val="18"/>
          <w:vertAlign w:val="superscript"/>
          <w:lang w:val="en-US"/>
        </w:rPr>
        <w:t>fd</w:t>
      </w:r>
      <w:r w:rsidRPr="00FC4E47">
        <w:rPr>
          <w:rFonts w:eastAsia="Calibri"/>
          <w:sz w:val="18"/>
          <w:lang w:val="en-US"/>
        </w:rPr>
        <w:t xml:space="preserve">  Statistically significant increase for high dose MN PCE frequency, within historical control , not judged to be treatment-related.</w:t>
      </w:r>
    </w:p>
    <w:p w:rsidR="0027553B" w:rsidRPr="00FC4E47" w:rsidRDefault="0027553B" w:rsidP="00FC4E47">
      <w:pPr>
        <w:spacing w:after="0" w:afterAutospacing="0" w:line="240" w:lineRule="auto"/>
        <w:ind w:left="360"/>
        <w:rPr>
          <w:rFonts w:eastAsia="Calibri"/>
          <w:sz w:val="18"/>
          <w:lang w:val="en-US"/>
        </w:rPr>
      </w:pPr>
      <w:r w:rsidRPr="00FC4E47">
        <w:rPr>
          <w:rFonts w:eastAsia="Calibri"/>
          <w:sz w:val="18"/>
          <w:vertAlign w:val="superscript"/>
          <w:lang w:val="en-US"/>
        </w:rPr>
        <w:t>fe</w:t>
      </w:r>
      <w:r w:rsidRPr="00FC4E47">
        <w:rPr>
          <w:rFonts w:eastAsia="Calibri"/>
          <w:sz w:val="18"/>
          <w:lang w:val="en-US"/>
        </w:rPr>
        <w:t xml:space="preserve">  Statistically significant increase for high dose at 48 hours, within historical control,  but judged to be due to a low control group value and not treatment-related.</w:t>
      </w:r>
    </w:p>
    <w:p w:rsidR="0027553B" w:rsidRPr="00FC4E47" w:rsidRDefault="0027553B" w:rsidP="00FC4E47">
      <w:pPr>
        <w:spacing w:after="0" w:afterAutospacing="0" w:line="240" w:lineRule="auto"/>
        <w:ind w:left="360"/>
        <w:rPr>
          <w:rFonts w:eastAsia="Calibri"/>
          <w:sz w:val="18"/>
          <w:lang w:val="en-US"/>
        </w:rPr>
      </w:pPr>
      <w:r w:rsidRPr="00FC4E47">
        <w:rPr>
          <w:rFonts w:eastAsia="Calibri"/>
          <w:sz w:val="18"/>
          <w:vertAlign w:val="superscript"/>
          <w:lang w:val="en-US"/>
        </w:rPr>
        <w:t xml:space="preserve">ff  </w:t>
      </w:r>
      <w:r w:rsidRPr="00FC4E47">
        <w:rPr>
          <w:rFonts w:eastAsia="Calibri"/>
          <w:sz w:val="18"/>
          <w:lang w:val="en-US"/>
        </w:rPr>
        <w:t>For BM CA by p.o route increases in abnormal metaphases not statistically significant excluding gaps from aberrant cells.  Authors conclude positive result based on statistically significant increases in abnormal metaphases including gaps.</w:t>
      </w:r>
    </w:p>
    <w:p w:rsidR="0027553B" w:rsidRPr="00FC4E47" w:rsidRDefault="0027553B" w:rsidP="00FC4E47">
      <w:pPr>
        <w:spacing w:after="0" w:afterAutospacing="0" w:line="240" w:lineRule="auto"/>
        <w:ind w:left="360"/>
        <w:rPr>
          <w:rFonts w:eastAsia="Calibri"/>
          <w:sz w:val="18"/>
          <w:lang w:val="en-US"/>
        </w:rPr>
      </w:pPr>
      <w:r w:rsidRPr="00FC4E47">
        <w:rPr>
          <w:rFonts w:eastAsia="Calibri"/>
          <w:sz w:val="18"/>
          <w:vertAlign w:val="superscript"/>
          <w:lang w:val="en-US"/>
        </w:rPr>
        <w:t xml:space="preserve">fg  </w:t>
      </w:r>
      <w:r w:rsidRPr="00FC4E47">
        <w:rPr>
          <w:rFonts w:eastAsia="Calibri"/>
          <w:sz w:val="18"/>
          <w:lang w:val="en-US"/>
        </w:rPr>
        <w:t>Statistically significant increase in MN PCE for low dose females at 72 h.  Increase was within historical control and statistically significant increases were not observed at higher dose levels, not judged to be treatment-related.</w:t>
      </w:r>
    </w:p>
    <w:p w:rsidR="0027553B" w:rsidRPr="00FC4E47" w:rsidRDefault="00D43786" w:rsidP="00FC4E47">
      <w:pPr>
        <w:spacing w:after="0" w:afterAutospacing="0" w:line="240" w:lineRule="auto"/>
        <w:rPr>
          <w:rFonts w:eastAsia="Calibri"/>
          <w:sz w:val="18"/>
          <w:lang w:val="en-US"/>
        </w:rPr>
      </w:pPr>
      <w:r w:rsidRPr="00FC4E47">
        <w:rPr>
          <w:rFonts w:eastAsia="Calibri"/>
          <w:sz w:val="18"/>
          <w:vertAlign w:val="superscript"/>
          <w:lang w:val="en-US"/>
        </w:rPr>
        <w:t xml:space="preserve">g  </w:t>
      </w:r>
      <w:r w:rsidRPr="00FC4E47">
        <w:rPr>
          <w:rFonts w:eastAsia="Calibri"/>
          <w:sz w:val="18"/>
          <w:lang w:val="en-US"/>
        </w:rPr>
        <w:t xml:space="preserve">References listed in Table 3 that are not found in </w:t>
      </w:r>
      <w:r w:rsidRPr="00FC4E47">
        <w:rPr>
          <w:rFonts w:eastAsia="Calibri"/>
          <w:noProof/>
          <w:sz w:val="18"/>
          <w:lang w:val="en-US"/>
        </w:rPr>
        <w:t>Kier and Kirkland (2013)</w:t>
      </w:r>
      <w:r w:rsidRPr="00FC4E47">
        <w:rPr>
          <w:rFonts w:eastAsia="Calibri"/>
          <w:sz w:val="18"/>
          <w:lang w:val="en-US"/>
        </w:rPr>
        <w:t xml:space="preserve"> are marked with an * and listed within the bibliography.</w:t>
      </w:r>
    </w:p>
    <w:p w:rsidR="0027553B" w:rsidRPr="00FC4E47" w:rsidRDefault="0027553B" w:rsidP="00FC4E47">
      <w:pPr>
        <w:spacing w:after="0" w:afterAutospacing="0" w:line="240" w:lineRule="auto"/>
        <w:rPr>
          <w:sz w:val="18"/>
          <w:lang w:val="en-US"/>
        </w:rPr>
      </w:pPr>
    </w:p>
    <w:p w:rsidR="0027553B" w:rsidRPr="00DA4F96" w:rsidRDefault="0027553B" w:rsidP="0027553B">
      <w:pPr>
        <w:rPr>
          <w:lang w:val="en-US"/>
        </w:rPr>
      </w:pPr>
    </w:p>
    <w:p w:rsidR="0027553B" w:rsidRPr="00DA4F96" w:rsidRDefault="0027553B" w:rsidP="0027553B">
      <w:pPr>
        <w:rPr>
          <w:b/>
          <w:lang w:val="en-US"/>
        </w:rPr>
        <w:sectPr w:rsidR="0027553B" w:rsidRPr="00DA4F96" w:rsidSect="00F67613">
          <w:footerReference w:type="default" r:id="rId8"/>
          <w:pgSz w:w="12240" w:h="15840"/>
          <w:pgMar w:top="1440" w:right="1440" w:bottom="1440" w:left="1440" w:header="720" w:footer="720" w:gutter="0"/>
          <w:cols w:space="720"/>
          <w:docGrid w:linePitch="360"/>
        </w:sectPr>
      </w:pPr>
    </w:p>
    <w:p w:rsidR="0027553B" w:rsidRPr="00DA4F96" w:rsidRDefault="0027553B" w:rsidP="00A41555">
      <w:pPr>
        <w:keepNext/>
        <w:widowControl w:val="0"/>
        <w:rPr>
          <w:b/>
          <w:lang w:val="en-US"/>
        </w:rPr>
      </w:pPr>
      <w:r w:rsidRPr="00DA4F96">
        <w:rPr>
          <w:b/>
          <w:lang w:val="en-US"/>
        </w:rPr>
        <w:lastRenderedPageBreak/>
        <w:t>References</w:t>
      </w:r>
    </w:p>
    <w:p w:rsidR="006B4814" w:rsidRDefault="006B4814" w:rsidP="00642A1F">
      <w:pPr>
        <w:rPr>
          <w:rFonts w:cs="Arial"/>
          <w:szCs w:val="22"/>
        </w:rPr>
      </w:pPr>
      <w:r w:rsidRPr="00797748">
        <w:rPr>
          <w:rFonts w:cs="Arial"/>
          <w:szCs w:val="22"/>
        </w:rPr>
        <w:t>Akanuma M. 1995. HR-001 reverse mutation test. [Unpublished Regulatory Study]. (Report Identification Number: IET 94-0142).</w:t>
      </w:r>
    </w:p>
    <w:p w:rsidR="00426AF7" w:rsidRDefault="00426AF7" w:rsidP="00642A1F">
      <w:pPr>
        <w:pStyle w:val="EndNoteBibliography"/>
        <w:spacing w:line="480" w:lineRule="auto"/>
        <w:rPr>
          <w:rFonts w:ascii="Arial" w:hAnsi="Arial" w:cs="Arial"/>
          <w:szCs w:val="22"/>
        </w:rPr>
      </w:pPr>
      <w:r w:rsidRPr="00D651E5">
        <w:rPr>
          <w:rFonts w:ascii="Arial" w:hAnsi="Arial" w:cs="Arial"/>
          <w:szCs w:val="22"/>
        </w:rPr>
        <w:t xml:space="preserve">Amer SM, Aly FAE, Farghaly AA, Ibrahim AAE. 2006. In vitro and in vivo evaluation of the genotoxicity of the herbicide glyphosate in mice. </w:t>
      </w:r>
      <w:r w:rsidRPr="00D651E5">
        <w:rPr>
          <w:rFonts w:ascii="Arial" w:eastAsiaTheme="minorHAnsi" w:hAnsi="Arial" w:cs="Arial"/>
          <w:color w:val="000000"/>
          <w:szCs w:val="22"/>
        </w:rPr>
        <w:t>Bull Natl Res Centre Egypt</w:t>
      </w:r>
      <w:r w:rsidRPr="00D651E5">
        <w:rPr>
          <w:rFonts w:ascii="Arial" w:hAnsi="Arial" w:cs="Arial"/>
          <w:szCs w:val="22"/>
        </w:rPr>
        <w:t xml:space="preserve"> (Cairo). </w:t>
      </w:r>
      <w:r w:rsidRPr="00D651E5">
        <w:rPr>
          <w:rStyle w:val="CommentReference"/>
          <w:rFonts w:ascii="Arial" w:hAnsi="Arial" w:cs="Arial"/>
          <w:noProof w:val="0"/>
          <w:sz w:val="22"/>
          <w:szCs w:val="22"/>
        </w:rPr>
        <w:t>3</w:t>
      </w:r>
      <w:r w:rsidRPr="00D651E5">
        <w:rPr>
          <w:rFonts w:ascii="Arial" w:hAnsi="Arial" w:cs="Arial"/>
          <w:szCs w:val="22"/>
        </w:rPr>
        <w:t>1(5):427-446.</w:t>
      </w:r>
    </w:p>
    <w:p w:rsidR="00D77837" w:rsidRPr="00797748" w:rsidRDefault="00D77837" w:rsidP="00D77837">
      <w:pPr>
        <w:autoSpaceDE w:val="0"/>
        <w:autoSpaceDN w:val="0"/>
        <w:adjustRightInd w:val="0"/>
        <w:rPr>
          <w:rFonts w:cs="Arial"/>
          <w:szCs w:val="22"/>
        </w:rPr>
      </w:pPr>
      <w:r w:rsidRPr="00797748">
        <w:rPr>
          <w:rFonts w:cs="Arial"/>
          <w:szCs w:val="22"/>
        </w:rPr>
        <w:t xml:space="preserve">Bakke JP. 1991. </w:t>
      </w:r>
      <w:r w:rsidRPr="00797748">
        <w:rPr>
          <w:rFonts w:cs="Arial"/>
          <w:iCs/>
          <w:szCs w:val="22"/>
        </w:rPr>
        <w:t>Evaluation of the potential of AMPA to induce unscheduled DNA synthesis in the in vitro hepatocyte DNA repair assay using the male F344 rat</w:t>
      </w:r>
      <w:r w:rsidRPr="00797748">
        <w:rPr>
          <w:rFonts w:cs="Arial"/>
          <w:szCs w:val="22"/>
        </w:rPr>
        <w:t>. [Unpublished Report]. Menlo Park (CA): SRI International.</w:t>
      </w:r>
      <w:r w:rsidRPr="00797748">
        <w:rPr>
          <w:rFonts w:eastAsia="Calibri" w:cs="Arial"/>
          <w:color w:val="000000"/>
          <w:szCs w:val="22"/>
        </w:rPr>
        <w:t xml:space="preserve"> Regulatory Study. </w:t>
      </w:r>
      <w:r w:rsidRPr="00797748">
        <w:rPr>
          <w:rFonts w:cs="Arial"/>
          <w:szCs w:val="22"/>
        </w:rPr>
        <w:t>(Report Identification Number: SR-91-234).</w:t>
      </w:r>
    </w:p>
    <w:p w:rsidR="006B4814" w:rsidRPr="00797748" w:rsidRDefault="006B4814" w:rsidP="00642A1F">
      <w:pPr>
        <w:rPr>
          <w:rFonts w:cs="Arial"/>
          <w:color w:val="000000"/>
          <w:szCs w:val="22"/>
        </w:rPr>
      </w:pPr>
      <w:r w:rsidRPr="00797748">
        <w:rPr>
          <w:rFonts w:cs="Arial"/>
          <w:color w:val="000000"/>
          <w:szCs w:val="22"/>
        </w:rPr>
        <w:t>Callander RD. 1996. Glyphosate acid: an evaluation of mutagenic potential using S. Typhimurium and E. Coli. [Unpublished Regulatory Study]. (Report Identification Number: CTL/P/4874).</w:t>
      </w:r>
    </w:p>
    <w:p w:rsidR="006B4814" w:rsidRPr="00797748" w:rsidRDefault="006B4814" w:rsidP="00642A1F">
      <w:pPr>
        <w:rPr>
          <w:rFonts w:cs="Arial"/>
          <w:color w:val="000000"/>
          <w:szCs w:val="22"/>
        </w:rPr>
      </w:pPr>
      <w:r w:rsidRPr="00797748">
        <w:rPr>
          <w:rFonts w:cs="Arial"/>
          <w:color w:val="000000"/>
          <w:szCs w:val="22"/>
        </w:rPr>
        <w:t>Callander RD. 1999. Potassium salt of glyphosate: bacterial mutation assay in S. Typhimurium and E. Coli. [Unpublished Regulatory Study]. (Report Identification Number: CTL/P/6184).</w:t>
      </w:r>
    </w:p>
    <w:p w:rsidR="006B4814" w:rsidRPr="00797748" w:rsidRDefault="006B4814" w:rsidP="00642A1F">
      <w:pPr>
        <w:rPr>
          <w:rFonts w:cs="Arial"/>
          <w:color w:val="000000"/>
          <w:szCs w:val="22"/>
        </w:rPr>
      </w:pPr>
      <w:r w:rsidRPr="00797748">
        <w:rPr>
          <w:rFonts w:cs="Arial"/>
          <w:color w:val="000000"/>
          <w:szCs w:val="22"/>
        </w:rPr>
        <w:t>Camolesi MR. 2009. [Glyphosate 480 g/l liquid formulation] bacterial reverse mutation test (Ames Test). [Unpublished Regulatory Study]. (Report Identification Number: RL8563/2008 6.0AM-B).</w:t>
      </w:r>
    </w:p>
    <w:p w:rsidR="006B4814" w:rsidRPr="00797748" w:rsidRDefault="006B4814" w:rsidP="00642A1F">
      <w:pPr>
        <w:rPr>
          <w:rFonts w:cs="Arial"/>
          <w:color w:val="000000"/>
          <w:szCs w:val="22"/>
        </w:rPr>
      </w:pPr>
      <w:r w:rsidRPr="00797748">
        <w:rPr>
          <w:rFonts w:cs="Arial"/>
          <w:color w:val="000000"/>
          <w:szCs w:val="22"/>
        </w:rPr>
        <w:t>Camolesi MR. 2010. MON 77280 bacterial reverse mutation test (Ames Test). [Unpublished Regulatory Study]. (Report Identification Number: XX-2010-501).</w:t>
      </w:r>
    </w:p>
    <w:p w:rsidR="006B4814" w:rsidRDefault="006B4814" w:rsidP="00642A1F">
      <w:pPr>
        <w:rPr>
          <w:rFonts w:cs="Arial"/>
          <w:color w:val="000000"/>
          <w:szCs w:val="22"/>
        </w:rPr>
      </w:pPr>
      <w:r w:rsidRPr="00797748">
        <w:rPr>
          <w:rFonts w:cs="Arial"/>
          <w:color w:val="000000"/>
          <w:szCs w:val="22"/>
        </w:rPr>
        <w:t>Catoyra JM. 2009. [Reverse mutation assay of Roundup full II M in Salmonella typhimurium]. [Unpublished Regulatory Study]. (Report Identification Number: Study Number XX-2011-0622).</w:t>
      </w:r>
    </w:p>
    <w:p w:rsidR="00D77837" w:rsidRDefault="00D77837" w:rsidP="00D77837">
      <w:pPr>
        <w:pStyle w:val="EndNoteBibliography"/>
        <w:spacing w:line="480" w:lineRule="auto"/>
        <w:rPr>
          <w:rFonts w:ascii="Arial" w:hAnsi="Arial" w:cs="Arial"/>
          <w:szCs w:val="22"/>
        </w:rPr>
      </w:pPr>
      <w:r w:rsidRPr="00797748">
        <w:rPr>
          <w:rFonts w:ascii="Arial" w:hAnsi="Arial" w:cs="Arial"/>
          <w:szCs w:val="22"/>
        </w:rPr>
        <w:lastRenderedPageBreak/>
        <w:t>Chan P, Mahler J. 1992. Toxicity studies of glyphosate (CASRN 1071-83-6) administered in dosed feed to F344/N rats and B6C3F</w:t>
      </w:r>
      <w:r w:rsidRPr="00797748">
        <w:rPr>
          <w:rFonts w:ascii="Arial" w:hAnsi="Arial" w:cs="Arial"/>
          <w:szCs w:val="22"/>
          <w:vertAlign w:val="subscript"/>
        </w:rPr>
        <w:t>1</w:t>
      </w:r>
      <w:r w:rsidRPr="00797748">
        <w:rPr>
          <w:rFonts w:ascii="Arial" w:hAnsi="Arial" w:cs="Arial"/>
          <w:szCs w:val="22"/>
        </w:rPr>
        <w:t xml:space="preserve"> mice. Research Triangle Park (NC): National Toxicology Program (NTP). (Toxicity Report Series, no 16; NIH Publication 92­3135). Available from: </w:t>
      </w:r>
      <w:hyperlink r:id="rId9" w:history="1">
        <w:r w:rsidRPr="00797748">
          <w:rPr>
            <w:rStyle w:val="Hyperlink"/>
            <w:rFonts w:ascii="Arial" w:hAnsi="Arial" w:cs="Arial"/>
            <w:szCs w:val="22"/>
          </w:rPr>
          <w:t>http://ntp.niehs.nih.gov/results/pubs/shortterm/reports/abstracts/tox016/index.html</w:t>
        </w:r>
      </w:hyperlink>
      <w:r w:rsidRPr="00797748">
        <w:rPr>
          <w:rFonts w:ascii="Arial" w:hAnsi="Arial" w:cs="Arial"/>
          <w:szCs w:val="22"/>
        </w:rPr>
        <w:t>.</w:t>
      </w:r>
    </w:p>
    <w:p w:rsidR="006B4814" w:rsidRPr="00797748" w:rsidRDefault="006B4814" w:rsidP="00642A1F">
      <w:pPr>
        <w:autoSpaceDE w:val="0"/>
        <w:autoSpaceDN w:val="0"/>
        <w:adjustRightInd w:val="0"/>
        <w:rPr>
          <w:rFonts w:cs="Arial"/>
          <w:szCs w:val="22"/>
        </w:rPr>
      </w:pPr>
      <w:r w:rsidRPr="00797748">
        <w:rPr>
          <w:rFonts w:cs="Arial"/>
          <w:szCs w:val="22"/>
        </w:rPr>
        <w:t>Chruscielska K, Brzezinski J, Kita K, Kalhorn D, Kita I, Graffstein B, Korzeniowski P. 2000. Glyphosate – evaluation of chronic activity and possible far-reaching effects. Part 1. Studies on chronic toxicity. Pestycydy (Warsaw). (3/4):11-20.</w:t>
      </w:r>
    </w:p>
    <w:p w:rsidR="006B4814" w:rsidRPr="00797748" w:rsidRDefault="006B4814" w:rsidP="00642A1F">
      <w:pPr>
        <w:rPr>
          <w:rFonts w:cs="Arial"/>
          <w:color w:val="000000"/>
          <w:szCs w:val="22"/>
        </w:rPr>
      </w:pPr>
      <w:r w:rsidRPr="00797748">
        <w:rPr>
          <w:rFonts w:cs="Arial"/>
          <w:color w:val="000000"/>
          <w:szCs w:val="22"/>
        </w:rPr>
        <w:t>Clay P. 1996. Glyphosate acid: L5178Y TKþ/– mouse lymphoma gene mutation assay. [Unpublished Regulatory Study]. (Report Identification Number: CTL/P/4991).</w:t>
      </w:r>
    </w:p>
    <w:p w:rsidR="006B4814" w:rsidRPr="00797748" w:rsidRDefault="006B4814" w:rsidP="00642A1F">
      <w:pPr>
        <w:rPr>
          <w:rFonts w:cs="Arial"/>
          <w:color w:val="000000"/>
          <w:szCs w:val="22"/>
        </w:rPr>
      </w:pPr>
      <w:r w:rsidRPr="00797748">
        <w:rPr>
          <w:rFonts w:cs="Arial"/>
          <w:color w:val="000000"/>
          <w:szCs w:val="22"/>
        </w:rPr>
        <w:t>Costa KC. 2008. Evaluation of the mutagenic potential of GLYPHOSATE TECHNICAL by micronucleus assay in mice. [Unpublished Regulatory Study]. (Report Identification Number: 3996.402.395.07).</w:t>
      </w:r>
    </w:p>
    <w:p w:rsidR="006B4814" w:rsidRPr="00797748" w:rsidRDefault="006B4814" w:rsidP="00642A1F">
      <w:pPr>
        <w:rPr>
          <w:rFonts w:cs="Arial"/>
          <w:color w:val="000000"/>
          <w:szCs w:val="22"/>
        </w:rPr>
      </w:pPr>
      <w:r w:rsidRPr="00797748">
        <w:rPr>
          <w:rFonts w:cs="Arial"/>
          <w:color w:val="000000"/>
          <w:szCs w:val="22"/>
        </w:rPr>
        <w:t xml:space="preserve">Coutinho do Nascimento A, Grisolia C. 2000. Comparative analysis between micronuclei tests in mice and in peripheral erythrocytes of </w:t>
      </w:r>
      <w:r w:rsidRPr="00797748">
        <w:rPr>
          <w:rFonts w:cs="Arial"/>
          <w:i/>
          <w:color w:val="000000"/>
          <w:szCs w:val="22"/>
        </w:rPr>
        <w:t>Oreochromis niloticus</w:t>
      </w:r>
      <w:r w:rsidRPr="00797748">
        <w:rPr>
          <w:rFonts w:cs="Arial"/>
          <w:color w:val="000000"/>
          <w:szCs w:val="22"/>
        </w:rPr>
        <w:t xml:space="preserve"> in evaluation of mutagenic potential of the agrotoxins deltamethrin, dicofol, glyphosate, and imazapyr. </w:t>
      </w:r>
      <w:r w:rsidR="00760C06" w:rsidRPr="00760C06">
        <w:rPr>
          <w:rFonts w:cs="Arial"/>
          <w:color w:val="000000"/>
          <w:szCs w:val="22"/>
        </w:rPr>
        <w:t>Pestic. Ecotoxicol Meio Ambiente</w:t>
      </w:r>
      <w:r w:rsidRPr="00797748">
        <w:rPr>
          <w:rFonts w:cs="Arial"/>
          <w:color w:val="000000"/>
          <w:szCs w:val="22"/>
        </w:rPr>
        <w:t xml:space="preserve"> 10:41-48.</w:t>
      </w:r>
    </w:p>
    <w:p w:rsidR="006B4814" w:rsidRPr="00797748" w:rsidRDefault="006B4814" w:rsidP="00642A1F">
      <w:pPr>
        <w:rPr>
          <w:rFonts w:cs="Arial"/>
          <w:color w:val="000000"/>
          <w:szCs w:val="22"/>
        </w:rPr>
      </w:pPr>
      <w:r w:rsidRPr="00797748">
        <w:rPr>
          <w:rFonts w:cs="Arial"/>
          <w:color w:val="000000"/>
          <w:szCs w:val="22"/>
        </w:rPr>
        <w:t>Durward R. 2006. Glyphosate technical: micronucleus test in the mouse. [Unpublished Regulatory Study]. (Report Identification Number: 2060/014).</w:t>
      </w:r>
    </w:p>
    <w:p w:rsidR="006B4814" w:rsidRPr="00797748" w:rsidRDefault="006B4814" w:rsidP="00642A1F">
      <w:pPr>
        <w:rPr>
          <w:rFonts w:cs="Arial"/>
          <w:color w:val="000000"/>
          <w:szCs w:val="22"/>
        </w:rPr>
      </w:pPr>
      <w:r w:rsidRPr="00797748">
        <w:rPr>
          <w:rFonts w:cs="Arial"/>
          <w:color w:val="000000"/>
          <w:szCs w:val="22"/>
        </w:rPr>
        <w:t>Erexson GL. 2003a. In vivo mouse micronucleus assay with MON 78239. [Unpublished Regulatory Study]. (Report Identification Number: CV-2002-187).</w:t>
      </w:r>
    </w:p>
    <w:p w:rsidR="006B4814" w:rsidRPr="00797748" w:rsidRDefault="006B4814" w:rsidP="00642A1F">
      <w:pPr>
        <w:rPr>
          <w:rFonts w:cs="Arial"/>
          <w:color w:val="000000"/>
          <w:szCs w:val="22"/>
        </w:rPr>
      </w:pPr>
      <w:bookmarkStart w:id="9" w:name="_ENREF_29"/>
      <w:r w:rsidRPr="00797748">
        <w:rPr>
          <w:rFonts w:cs="Arial"/>
          <w:color w:val="000000"/>
          <w:szCs w:val="22"/>
        </w:rPr>
        <w:t>Erexson GL. 2003b. In vivo mouse micronucleus assay with Mon 78634. [Unpublished Regulatory Study]. (Report Identification Number: CV-2002-189).</w:t>
      </w:r>
    </w:p>
    <w:p w:rsidR="006B4814" w:rsidRPr="00797748" w:rsidRDefault="006B4814" w:rsidP="00642A1F">
      <w:pPr>
        <w:rPr>
          <w:rFonts w:cs="Arial"/>
          <w:color w:val="000000"/>
          <w:szCs w:val="22"/>
        </w:rPr>
      </w:pPr>
      <w:r w:rsidRPr="00797748">
        <w:rPr>
          <w:rFonts w:cs="Arial"/>
          <w:color w:val="000000"/>
          <w:szCs w:val="22"/>
        </w:rPr>
        <w:lastRenderedPageBreak/>
        <w:t>Erexson GL. 2006. In vivo mouse bone marrow micronucleus assay. [Unpublished Regulatory Study]. (Report Identification Number: CV-2005-120).</w:t>
      </w:r>
    </w:p>
    <w:p w:rsidR="006B4814" w:rsidRPr="00797748" w:rsidRDefault="006B4814" w:rsidP="00642A1F">
      <w:pPr>
        <w:rPr>
          <w:rFonts w:cs="Arial"/>
          <w:color w:val="000000"/>
          <w:szCs w:val="22"/>
        </w:rPr>
      </w:pPr>
      <w:r w:rsidRPr="00797748">
        <w:rPr>
          <w:rFonts w:cs="Arial"/>
          <w:color w:val="000000"/>
          <w:szCs w:val="22"/>
        </w:rPr>
        <w:t>Flugge C. 2009a. Mutagenicity study of glyphosate TC in the Salmonella typhimurium reverse mutation assay (in vitro). [Unpublished Regulatory Study]. (Report Identification Number: 23916).</w:t>
      </w:r>
    </w:p>
    <w:p w:rsidR="006B4814" w:rsidRPr="00797748" w:rsidRDefault="006B4814" w:rsidP="00642A1F">
      <w:pPr>
        <w:rPr>
          <w:rFonts w:cs="Arial"/>
          <w:color w:val="000000"/>
          <w:szCs w:val="22"/>
        </w:rPr>
      </w:pPr>
      <w:r w:rsidRPr="00797748">
        <w:rPr>
          <w:rFonts w:cs="Arial"/>
          <w:color w:val="000000"/>
          <w:szCs w:val="22"/>
        </w:rPr>
        <w:t>Flugge C. 2009b. Micronucleus test of glyphosate TC in bone marrow cells of the CD rat by oral administration. [Unpublished Regulatory Study]. (Report Identification Number: 23917).</w:t>
      </w:r>
    </w:p>
    <w:p w:rsidR="006B4814" w:rsidRPr="00797748" w:rsidRDefault="006B4814" w:rsidP="00642A1F">
      <w:pPr>
        <w:rPr>
          <w:rFonts w:cs="Arial"/>
          <w:color w:val="000000"/>
          <w:szCs w:val="22"/>
        </w:rPr>
      </w:pPr>
      <w:r w:rsidRPr="00797748">
        <w:rPr>
          <w:rFonts w:cs="Arial"/>
          <w:color w:val="000000"/>
          <w:szCs w:val="22"/>
        </w:rPr>
        <w:t>Flugge C. 2010a. Mutagenicity study of trop M (glyphosate 480) in the Salmonella typhimurium reverse mutation assay (in vitro). [Unpublished Regulatory Study]. (Report Identification Number: 24753).</w:t>
      </w:r>
    </w:p>
    <w:p w:rsidR="006B4814" w:rsidRPr="00797748" w:rsidRDefault="006B4814" w:rsidP="00642A1F">
      <w:pPr>
        <w:rPr>
          <w:rFonts w:cs="Arial"/>
          <w:color w:val="000000"/>
          <w:szCs w:val="22"/>
        </w:rPr>
      </w:pPr>
      <w:r w:rsidRPr="00797748">
        <w:rPr>
          <w:rFonts w:cs="Arial"/>
          <w:color w:val="000000"/>
          <w:szCs w:val="22"/>
        </w:rPr>
        <w:t>Flugge C. 2010b. Mutagenicity study of glyphosate TC in the Salmonella typhimurium reverse mutation assay (in vitro). [Unpublished Regulatory Study]. (Report Identification Number: 24880).</w:t>
      </w:r>
    </w:p>
    <w:p w:rsidR="006B4814" w:rsidRPr="00797748" w:rsidRDefault="006B4814" w:rsidP="00642A1F">
      <w:pPr>
        <w:rPr>
          <w:rFonts w:cs="Arial"/>
          <w:color w:val="000000"/>
          <w:szCs w:val="22"/>
        </w:rPr>
      </w:pPr>
      <w:r w:rsidRPr="00797748">
        <w:rPr>
          <w:rFonts w:cs="Arial"/>
          <w:color w:val="000000"/>
          <w:szCs w:val="22"/>
        </w:rPr>
        <w:t>Flugge C. 2010c. Micronucleus test of trop M (glyphosate 480) in bone marrow cells of the NMRI mouse by oral administration. [Unpublished Regulatory Study]. (Report Identification Number: 24754).</w:t>
      </w:r>
    </w:p>
    <w:p w:rsidR="006B4814" w:rsidRPr="00797748" w:rsidRDefault="006B4814" w:rsidP="00642A1F">
      <w:pPr>
        <w:rPr>
          <w:rFonts w:cs="Arial"/>
          <w:color w:val="000000"/>
          <w:szCs w:val="22"/>
        </w:rPr>
      </w:pPr>
      <w:r w:rsidRPr="00797748">
        <w:rPr>
          <w:rFonts w:cs="Arial"/>
          <w:color w:val="000000"/>
          <w:szCs w:val="22"/>
        </w:rPr>
        <w:t>Flugge C. 2010d. Mutagenicity study of [glyphosate 757 g/kg granular formulation] in the Salmonella typhimurium reverse mutation assay (in vitro). [Unpublished Regulatory Study]. (Report Identification Number: 25631).</w:t>
      </w:r>
    </w:p>
    <w:p w:rsidR="006B4814" w:rsidRPr="00797748" w:rsidRDefault="006B4814" w:rsidP="00642A1F">
      <w:pPr>
        <w:rPr>
          <w:rFonts w:cs="Arial"/>
          <w:color w:val="000000"/>
          <w:szCs w:val="22"/>
        </w:rPr>
      </w:pPr>
      <w:r w:rsidRPr="00797748">
        <w:rPr>
          <w:rFonts w:cs="Arial"/>
          <w:color w:val="000000"/>
          <w:szCs w:val="22"/>
        </w:rPr>
        <w:t>Flugge C. 2010e. Micronucleus test of [glyphosate 757 g/kg granular formulation] in bone marrow cells of the CD rat by oral administration. [Unpublished Regulatory Study]. (Report Identification Number: 25632).</w:t>
      </w:r>
    </w:p>
    <w:p w:rsidR="006B4814" w:rsidRPr="00797748" w:rsidRDefault="006B4814" w:rsidP="00642A1F">
      <w:pPr>
        <w:rPr>
          <w:rFonts w:cs="Arial"/>
          <w:color w:val="000000"/>
          <w:szCs w:val="22"/>
        </w:rPr>
      </w:pPr>
      <w:r w:rsidRPr="00797748">
        <w:rPr>
          <w:rFonts w:cs="Arial"/>
          <w:color w:val="000000"/>
          <w:szCs w:val="22"/>
        </w:rPr>
        <w:lastRenderedPageBreak/>
        <w:t>Fox V. 1998. Glyphosate acid: in vitro cytogenetic assay in human lymphocytes. [Unpublished Regulatory Study]. (Report Identification Number: CTL/P/6050).</w:t>
      </w:r>
    </w:p>
    <w:p w:rsidR="006B4814" w:rsidRPr="00797748" w:rsidRDefault="006B4814" w:rsidP="00642A1F">
      <w:pPr>
        <w:rPr>
          <w:rFonts w:cs="Arial"/>
          <w:color w:val="000000"/>
          <w:szCs w:val="22"/>
        </w:rPr>
      </w:pPr>
      <w:r w:rsidRPr="00797748">
        <w:rPr>
          <w:rFonts w:cs="Arial"/>
          <w:color w:val="000000"/>
          <w:szCs w:val="22"/>
        </w:rPr>
        <w:t>Fox V, Mackay JM. 1996. Glyphosate acid: mouse bone marrow micronucleus test. [Unpublished Regulatory Study]. (Report Identification Number: SM0796).</w:t>
      </w:r>
    </w:p>
    <w:bookmarkEnd w:id="9"/>
    <w:p w:rsidR="006B4814" w:rsidRPr="00797748" w:rsidRDefault="006B4814" w:rsidP="00642A1F">
      <w:pPr>
        <w:rPr>
          <w:rFonts w:cs="Arial"/>
          <w:color w:val="000000"/>
          <w:szCs w:val="22"/>
        </w:rPr>
      </w:pPr>
      <w:r w:rsidRPr="00797748">
        <w:rPr>
          <w:rFonts w:cs="Arial"/>
          <w:color w:val="000000"/>
          <w:szCs w:val="22"/>
        </w:rPr>
        <w:t>Gava MA. 2000. Evaluation of the mutagenic potential of the test substance GLIFOSTO IPA TECNICO NUFARM by micronucleus assay in mice. [Unpublished Regulatory Study]. (Report Identification Number: RF-G12.022/00).</w:t>
      </w:r>
    </w:p>
    <w:p w:rsidR="006B4814" w:rsidRPr="00797748" w:rsidRDefault="006B4814" w:rsidP="00642A1F">
      <w:pPr>
        <w:rPr>
          <w:rFonts w:cs="Arial"/>
          <w:color w:val="000000"/>
          <w:szCs w:val="22"/>
        </w:rPr>
      </w:pPr>
      <w:r w:rsidRPr="00797748">
        <w:rPr>
          <w:rFonts w:cs="Arial"/>
          <w:color w:val="000000"/>
          <w:szCs w:val="22"/>
        </w:rPr>
        <w:t>Helal A, Moussa H. 2005. Chromosomal aberrations induced by glyphosate isopropylamine herbicide and trials for diminuting its toxicity using some chemical inactivators and antioxidant. Vet Med J Giza. 53:169-187.</w:t>
      </w:r>
    </w:p>
    <w:p w:rsidR="006B4814" w:rsidRPr="00797748" w:rsidRDefault="006B4814" w:rsidP="00642A1F">
      <w:pPr>
        <w:rPr>
          <w:rFonts w:cs="Arial"/>
          <w:color w:val="000000"/>
          <w:szCs w:val="22"/>
        </w:rPr>
      </w:pPr>
      <w:r w:rsidRPr="00797748">
        <w:rPr>
          <w:rFonts w:cs="Arial"/>
          <w:color w:val="000000"/>
          <w:szCs w:val="22"/>
        </w:rPr>
        <w:t>Holeckova B. 2006. Evaluation of the in vitro effect of glyphosate-based herbicide on boving lymphocytes using chromosome painting. Bull Vet Inst Pulawy. 50:533-536.</w:t>
      </w:r>
    </w:p>
    <w:p w:rsidR="006B4814" w:rsidRPr="00797748" w:rsidRDefault="006B4814" w:rsidP="00642A1F">
      <w:pPr>
        <w:rPr>
          <w:rFonts w:cs="Arial"/>
          <w:color w:val="000000"/>
          <w:szCs w:val="22"/>
        </w:rPr>
      </w:pPr>
      <w:r w:rsidRPr="00797748">
        <w:rPr>
          <w:rFonts w:cs="Arial"/>
          <w:color w:val="000000"/>
          <w:szCs w:val="22"/>
        </w:rPr>
        <w:t>Honarvar N. 2005. Micronucleus assay in bone marrow cells of the mouse with glyphosate technical. [Unpublished Regulatory Study]. (Report Identification Number: 872000).</w:t>
      </w:r>
    </w:p>
    <w:p w:rsidR="006B4814" w:rsidRPr="00797748" w:rsidRDefault="006B4814" w:rsidP="00642A1F">
      <w:pPr>
        <w:rPr>
          <w:rFonts w:cs="Arial"/>
          <w:color w:val="000000"/>
          <w:szCs w:val="22"/>
        </w:rPr>
      </w:pPr>
      <w:r w:rsidRPr="00797748">
        <w:rPr>
          <w:rFonts w:cs="Arial"/>
          <w:color w:val="000000"/>
          <w:szCs w:val="22"/>
        </w:rPr>
        <w:t>Honarvar N. 2008. Glyphosate technical – micronucleus assay in bone marrow cells of the mouse. [Unpublished Regulatory Study]. (Report Identification Number: 1158500).</w:t>
      </w:r>
    </w:p>
    <w:p w:rsidR="006B4814" w:rsidRPr="00797748" w:rsidRDefault="006B4814" w:rsidP="00642A1F">
      <w:pPr>
        <w:rPr>
          <w:rFonts w:cs="Arial"/>
          <w:color w:val="000000"/>
          <w:szCs w:val="22"/>
        </w:rPr>
      </w:pPr>
      <w:r w:rsidRPr="00797748">
        <w:rPr>
          <w:rFonts w:cs="Arial"/>
          <w:color w:val="000000"/>
          <w:szCs w:val="22"/>
        </w:rPr>
        <w:t>Jensen JC. 1991a. Mutagenicity test: Ames Salmonella assay with glyphosate, batch 206-JaK-25-1. [Unpublished Regulatory Study]. (Report Identification Number: 12323).</w:t>
      </w:r>
    </w:p>
    <w:p w:rsidR="006B4814" w:rsidRPr="00797748" w:rsidRDefault="006B4814" w:rsidP="00642A1F">
      <w:pPr>
        <w:rPr>
          <w:rFonts w:cs="Arial"/>
          <w:color w:val="000000"/>
          <w:szCs w:val="22"/>
        </w:rPr>
      </w:pPr>
      <w:r w:rsidRPr="00797748">
        <w:rPr>
          <w:rFonts w:cs="Arial"/>
          <w:color w:val="000000"/>
          <w:szCs w:val="22"/>
        </w:rPr>
        <w:t>Jensen JC. 1991b. Mutagenicity test: in vitro mammalian cell gene mutation test with glyphosate, batch 206-JaK-25-1. [Unpublished Regulatory Study]. (Report Identification Number: 12325).</w:t>
      </w:r>
    </w:p>
    <w:p w:rsidR="006B4814" w:rsidRPr="00797748" w:rsidRDefault="006B4814" w:rsidP="00642A1F">
      <w:pPr>
        <w:rPr>
          <w:rFonts w:cs="Arial"/>
          <w:color w:val="000000"/>
          <w:szCs w:val="22"/>
        </w:rPr>
      </w:pPr>
      <w:r w:rsidRPr="00797748">
        <w:rPr>
          <w:rFonts w:cs="Arial"/>
          <w:color w:val="000000"/>
          <w:szCs w:val="22"/>
        </w:rPr>
        <w:lastRenderedPageBreak/>
        <w:t>Jensen JC. 1991c. Mutagenicity test: micronucleus test with glyphosate, batch 206-JaK-25-1. [Unpublished Regulatory Study]. (Report Identification Number: 12324).</w:t>
      </w:r>
    </w:p>
    <w:p w:rsidR="006B4814" w:rsidRPr="00797748" w:rsidRDefault="006B4814" w:rsidP="00642A1F">
      <w:pPr>
        <w:rPr>
          <w:rFonts w:cs="Arial"/>
          <w:color w:val="000000"/>
          <w:szCs w:val="22"/>
        </w:rPr>
      </w:pPr>
      <w:r w:rsidRPr="00797748">
        <w:rPr>
          <w:rFonts w:cs="Arial"/>
          <w:color w:val="000000"/>
          <w:szCs w:val="22"/>
        </w:rPr>
        <w:t>Jones E. 1999. Potassium salt of glyphosate: mouse bone marrow micronucleus test. [Unpublished Regulatory Study]. (Report Identification Number: CTL/P/6242).</w:t>
      </w:r>
    </w:p>
    <w:p w:rsidR="006B4814" w:rsidRPr="00797748" w:rsidRDefault="006B4814" w:rsidP="00642A1F">
      <w:pPr>
        <w:autoSpaceDE w:val="0"/>
        <w:autoSpaceDN w:val="0"/>
        <w:adjustRightInd w:val="0"/>
        <w:rPr>
          <w:rFonts w:cs="Arial"/>
          <w:szCs w:val="22"/>
        </w:rPr>
      </w:pPr>
      <w:r w:rsidRPr="00797748">
        <w:rPr>
          <w:rFonts w:cs="Arial"/>
          <w:szCs w:val="22"/>
        </w:rPr>
        <w:t>Kier LD, Kirkland DJ. 2013. Review of genotoxicity studies of glyphosate and glyphosate-based formulations. Crit Rev Toxicol. 43:283-315.</w:t>
      </w:r>
    </w:p>
    <w:p w:rsidR="006B4814" w:rsidRPr="00797748" w:rsidRDefault="006B4814" w:rsidP="00642A1F">
      <w:pPr>
        <w:autoSpaceDE w:val="0"/>
        <w:autoSpaceDN w:val="0"/>
        <w:adjustRightInd w:val="0"/>
        <w:jc w:val="both"/>
        <w:rPr>
          <w:rFonts w:eastAsia="Calibri" w:cs="Arial"/>
          <w:szCs w:val="22"/>
        </w:rPr>
      </w:pPr>
      <w:r w:rsidRPr="00797748">
        <w:rPr>
          <w:rFonts w:cs="Arial"/>
          <w:szCs w:val="22"/>
        </w:rPr>
        <w:t xml:space="preserve">Kier LD, Stegeman S. 1993. Mouse micronucleus study of AMPA. [Unpublished Regulatory Study]. (Report Identification Number: </w:t>
      </w:r>
      <w:r w:rsidRPr="00797748">
        <w:rPr>
          <w:rFonts w:eastAsia="Calibri" w:cs="Arial"/>
          <w:szCs w:val="22"/>
        </w:rPr>
        <w:t>MSL-13243).</w:t>
      </w:r>
    </w:p>
    <w:p w:rsidR="006B4814" w:rsidRPr="00797748" w:rsidRDefault="006B4814" w:rsidP="00642A1F">
      <w:pPr>
        <w:rPr>
          <w:rFonts w:cs="Arial"/>
          <w:szCs w:val="22"/>
        </w:rPr>
      </w:pPr>
      <w:r w:rsidRPr="00797748">
        <w:rPr>
          <w:rFonts w:cs="Arial"/>
          <w:szCs w:val="22"/>
        </w:rPr>
        <w:t>Kier LD, Stegeman SD, Costello JG, Shermes S. 1992a. Ames/Salmonella mutagenicity assay of MON 2139 (Roundup® herbicide formulation). [Unpublished Regulatory Study]. (Report Identification Number: MSL-11729).</w:t>
      </w:r>
    </w:p>
    <w:p w:rsidR="006B4814" w:rsidRPr="00797748" w:rsidRDefault="006B4814" w:rsidP="00642A1F">
      <w:pPr>
        <w:rPr>
          <w:rFonts w:cs="Arial"/>
          <w:szCs w:val="22"/>
        </w:rPr>
      </w:pPr>
      <w:r w:rsidRPr="00797748">
        <w:rPr>
          <w:rFonts w:cs="Arial"/>
          <w:szCs w:val="22"/>
        </w:rPr>
        <w:t>Kier LD, Stegeman SD, Costello JG, Shermes S. 1992b. Ames/Salmonella mutagenticity assay of RODEO®. [Unpublished Regulatory Study]. (Report Identification Number: MSL-11730).</w:t>
      </w:r>
    </w:p>
    <w:p w:rsidR="006B4814" w:rsidRPr="00797748" w:rsidRDefault="006B4814" w:rsidP="00642A1F">
      <w:pPr>
        <w:rPr>
          <w:rFonts w:cs="Arial"/>
          <w:szCs w:val="22"/>
        </w:rPr>
      </w:pPr>
      <w:r w:rsidRPr="00797748">
        <w:rPr>
          <w:rFonts w:cs="Arial"/>
          <w:szCs w:val="22"/>
        </w:rPr>
        <w:t>Kier LD, Stegeman SD, Costello JG, Shermes S. 1992c. Ames/Salmonella mutagenticity assay of MON 14445 Direct® herbicide formation. [Unpublished Regulatory Study]. (Report Identification Number: MSL-11731).</w:t>
      </w:r>
    </w:p>
    <w:p w:rsidR="006B4814" w:rsidRPr="00797748" w:rsidRDefault="006B4814" w:rsidP="00642A1F">
      <w:pPr>
        <w:rPr>
          <w:rFonts w:cs="Arial"/>
          <w:color w:val="000000"/>
          <w:szCs w:val="22"/>
        </w:rPr>
      </w:pPr>
      <w:r w:rsidRPr="00797748">
        <w:rPr>
          <w:rFonts w:cs="Arial"/>
          <w:color w:val="000000"/>
          <w:szCs w:val="22"/>
        </w:rPr>
        <w:t>Koller VJ, Fürhacker M, Nersesyan A, Mišík M, Eisenbauer M, Knasmueller S. 2012. Cytotoxic and DNA-damaging properties of glyphosate and Roundup in human-derived buccal epithelial cells. Arch Toxicol. 86:805-813.</w:t>
      </w:r>
    </w:p>
    <w:p w:rsidR="006B4814" w:rsidRPr="00797748" w:rsidRDefault="006B4814" w:rsidP="00642A1F">
      <w:pPr>
        <w:autoSpaceDE w:val="0"/>
        <w:autoSpaceDN w:val="0"/>
        <w:adjustRightInd w:val="0"/>
        <w:rPr>
          <w:rFonts w:cs="Arial"/>
          <w:szCs w:val="22"/>
        </w:rPr>
      </w:pPr>
      <w:r w:rsidRPr="00797748">
        <w:rPr>
          <w:rFonts w:cs="Arial"/>
          <w:szCs w:val="22"/>
        </w:rPr>
        <w:lastRenderedPageBreak/>
        <w:t>Lioi MB, Scarfi MR, Santoro A, Barbieri R, Zeni O, Salvemini F, Di Berardino D, Ursini MV. 1998. Cytogenetic damage and induction of pro-oxidant state in human lymphocytes exposed in vitro to gliphosate, vinclozolin, atrazine, and DPX-EP636. Environ Mol Mutagen. 32:39-46.</w:t>
      </w:r>
    </w:p>
    <w:p w:rsidR="006B4814" w:rsidRPr="00797748" w:rsidRDefault="006B4814" w:rsidP="00642A1F">
      <w:pPr>
        <w:rPr>
          <w:rFonts w:cs="Arial"/>
          <w:color w:val="000000"/>
          <w:szCs w:val="22"/>
        </w:rPr>
      </w:pPr>
      <w:r w:rsidRPr="00797748">
        <w:rPr>
          <w:rFonts w:cs="Arial"/>
          <w:color w:val="000000"/>
          <w:szCs w:val="22"/>
        </w:rPr>
        <w:t>Lope N. 2008. Reverse mutation assay of Roundup Ultramax (MON 79672) in Salmonella typhimurium. [Unpublished Regulatory Study]. (Report Identification Number: XX-2011-0621).</w:t>
      </w:r>
    </w:p>
    <w:p w:rsidR="006B4814" w:rsidRPr="00797748" w:rsidRDefault="006B4814" w:rsidP="00642A1F">
      <w:pPr>
        <w:rPr>
          <w:rFonts w:cs="Arial"/>
          <w:color w:val="000000"/>
          <w:szCs w:val="22"/>
        </w:rPr>
      </w:pPr>
      <w:r w:rsidRPr="00797748">
        <w:rPr>
          <w:rFonts w:cs="Arial"/>
          <w:color w:val="000000"/>
          <w:szCs w:val="22"/>
        </w:rPr>
        <w:t>Marques MFC. 1999. A micronucleus study in mice for glifosate tecnico nufarm. [Unpublished Regulatory Study]. (Report Identification Number: RF-G12.79/99).</w:t>
      </w:r>
    </w:p>
    <w:p w:rsidR="006B4814" w:rsidRPr="00797748" w:rsidRDefault="006B4814" w:rsidP="00642A1F">
      <w:pPr>
        <w:rPr>
          <w:rFonts w:cs="Arial"/>
          <w:color w:val="000000"/>
          <w:szCs w:val="22"/>
        </w:rPr>
      </w:pPr>
      <w:r w:rsidRPr="00797748">
        <w:rPr>
          <w:rFonts w:cs="Arial"/>
          <w:color w:val="000000"/>
          <w:szCs w:val="22"/>
        </w:rPr>
        <w:t>Matsumoto K. 1995. HR-001: in vitro cytogenetics test. [Unpublished Regulatory Study]. (Report Identification Number: IET 94-0143).</w:t>
      </w:r>
    </w:p>
    <w:p w:rsidR="006B4814" w:rsidRPr="00797748" w:rsidRDefault="006B4814" w:rsidP="00642A1F">
      <w:pPr>
        <w:rPr>
          <w:rFonts w:cs="Arial"/>
          <w:color w:val="000000"/>
          <w:szCs w:val="22"/>
        </w:rPr>
      </w:pPr>
      <w:r w:rsidRPr="00797748">
        <w:rPr>
          <w:rFonts w:cs="Arial"/>
          <w:color w:val="000000"/>
          <w:szCs w:val="22"/>
        </w:rPr>
        <w:t>Mecchi MS. 2003a. Salmonella–Escherichia coli/mammalian–microsome reverse mutation assay with a confirmatory assay. [Unpublished Regulatory Study]. (Report Identification Number: CV-2002-186).</w:t>
      </w:r>
    </w:p>
    <w:p w:rsidR="006B4814" w:rsidRPr="00797748" w:rsidRDefault="006B4814" w:rsidP="00642A1F">
      <w:pPr>
        <w:rPr>
          <w:rFonts w:cs="Arial"/>
          <w:color w:val="000000"/>
          <w:szCs w:val="22"/>
        </w:rPr>
      </w:pPr>
      <w:r w:rsidRPr="00797748">
        <w:rPr>
          <w:rFonts w:cs="Arial"/>
          <w:color w:val="000000"/>
          <w:szCs w:val="22"/>
        </w:rPr>
        <w:t>Mecchi MS. 2003b. Salmonella–Escherichia coli/mammalian–microsome reverse mutation assay with a confirmatory assay. [Unpublished Regulatory Study]. (Report Identification Number: CV-2002-188).</w:t>
      </w:r>
    </w:p>
    <w:p w:rsidR="006B4814" w:rsidRPr="00797748" w:rsidRDefault="006B4814" w:rsidP="00642A1F">
      <w:pPr>
        <w:rPr>
          <w:rFonts w:cs="Arial"/>
          <w:color w:val="000000"/>
          <w:szCs w:val="22"/>
        </w:rPr>
      </w:pPr>
      <w:r w:rsidRPr="00797748">
        <w:rPr>
          <w:rFonts w:cs="Arial"/>
          <w:color w:val="000000"/>
          <w:szCs w:val="22"/>
        </w:rPr>
        <w:t>Mecchi MS. 2008a. Bacterial reverse mutation assay with a confirmatory assay. [Unpublished Regulatory Study]. (Report Identification Number: CV-08-030).</w:t>
      </w:r>
    </w:p>
    <w:p w:rsidR="006B4814" w:rsidRPr="00797748" w:rsidRDefault="006B4814" w:rsidP="00642A1F">
      <w:pPr>
        <w:rPr>
          <w:rFonts w:cs="Arial"/>
          <w:color w:val="000000"/>
          <w:szCs w:val="22"/>
        </w:rPr>
      </w:pPr>
      <w:r w:rsidRPr="00797748">
        <w:rPr>
          <w:rFonts w:cs="Arial"/>
          <w:color w:val="000000"/>
          <w:szCs w:val="22"/>
        </w:rPr>
        <w:t>Mecchi MS. 2008b. Bacterial reverse mutation assay with a confirmatory assay. [Unpublished Regulatory Study]. (Report Identification Number: CV-08-242).</w:t>
      </w:r>
    </w:p>
    <w:p w:rsidR="006B4814" w:rsidRPr="00797748" w:rsidRDefault="006B4814" w:rsidP="00642A1F">
      <w:pPr>
        <w:rPr>
          <w:rFonts w:cs="Arial"/>
          <w:color w:val="000000"/>
          <w:szCs w:val="22"/>
        </w:rPr>
      </w:pPr>
      <w:r w:rsidRPr="00797748">
        <w:rPr>
          <w:rFonts w:cs="Arial"/>
          <w:color w:val="000000"/>
          <w:szCs w:val="22"/>
        </w:rPr>
        <w:lastRenderedPageBreak/>
        <w:t>Mecchi MS. 2008c. Salmonella–Escherichia coli/mammalian–microsome reverse mutation asay with a confirmatory assay with MON 76171. [Unpublished Regulatory Study]. (Report Identification Number: CV-2007-102).</w:t>
      </w:r>
    </w:p>
    <w:p w:rsidR="006B4814" w:rsidRPr="00797748" w:rsidRDefault="006B4814" w:rsidP="00642A1F">
      <w:pPr>
        <w:rPr>
          <w:rFonts w:cs="Arial"/>
          <w:color w:val="000000"/>
          <w:szCs w:val="22"/>
        </w:rPr>
      </w:pPr>
      <w:r w:rsidRPr="00797748">
        <w:rPr>
          <w:rFonts w:cs="Arial"/>
          <w:color w:val="000000"/>
          <w:szCs w:val="22"/>
        </w:rPr>
        <w:t>Mecchi MS. 2009a. Salmonella–Escherichia coli/mammalian–microsome reverse mutation assay with a confirmatory assay. [Unpublished Regulatory Study]. (Report Identification Number: CV-2007-082).</w:t>
      </w:r>
    </w:p>
    <w:p w:rsidR="006B4814" w:rsidRPr="00797748" w:rsidRDefault="006B4814" w:rsidP="00642A1F">
      <w:pPr>
        <w:rPr>
          <w:rFonts w:cs="Arial"/>
          <w:color w:val="000000"/>
          <w:szCs w:val="22"/>
        </w:rPr>
      </w:pPr>
      <w:r w:rsidRPr="00797748">
        <w:rPr>
          <w:rFonts w:cs="Arial"/>
          <w:color w:val="000000"/>
          <w:szCs w:val="22"/>
        </w:rPr>
        <w:t>Mecchi MS. 2009b. Salmonella–Escherichia coli/mammalian–microsome reverse mutation assay with a confirmatory assay with MON 76138. [Unpublished Regulatory Study]. (Report Identification Number: CV-2007-094).</w:t>
      </w:r>
    </w:p>
    <w:p w:rsidR="006B4814" w:rsidRPr="00797748" w:rsidRDefault="006B4814" w:rsidP="00642A1F">
      <w:pPr>
        <w:rPr>
          <w:rFonts w:cs="Arial"/>
          <w:color w:val="000000"/>
          <w:szCs w:val="22"/>
        </w:rPr>
      </w:pPr>
      <w:r w:rsidRPr="00797748">
        <w:rPr>
          <w:rFonts w:cs="Arial"/>
          <w:color w:val="000000"/>
          <w:szCs w:val="22"/>
        </w:rPr>
        <w:t>Miyaji CK. 2008. Evaluation of the mutagenic potential of the test substance glyphosate technical by reverse mutation assay in Salmonella typhimurium (Ames test). [Unpublished Regulatory Study]. (Report Identification Number: 3996.401.392.07).</w:t>
      </w:r>
    </w:p>
    <w:p w:rsidR="006B4814" w:rsidRPr="00797748" w:rsidRDefault="006B4814" w:rsidP="00642A1F">
      <w:pPr>
        <w:rPr>
          <w:rFonts w:cs="Arial"/>
          <w:color w:val="000000"/>
          <w:szCs w:val="22"/>
        </w:rPr>
      </w:pPr>
      <w:r w:rsidRPr="00797748">
        <w:rPr>
          <w:rFonts w:cs="Arial"/>
          <w:color w:val="000000"/>
          <w:szCs w:val="22"/>
        </w:rPr>
        <w:t>Mladinic M, Perkovic P, Zeljezic D. 2009. Characterization of chromatin instabilities induced by glyphosate, terbuthylazine and carbofuran using cytome FISH assay. Toxicol Lett. 189:130-137.</w:t>
      </w:r>
    </w:p>
    <w:p w:rsidR="006B4814" w:rsidRPr="00797748" w:rsidRDefault="006B4814" w:rsidP="00642A1F">
      <w:pPr>
        <w:autoSpaceDE w:val="0"/>
        <w:autoSpaceDN w:val="0"/>
        <w:adjustRightInd w:val="0"/>
        <w:rPr>
          <w:rFonts w:cs="Arial"/>
          <w:szCs w:val="22"/>
        </w:rPr>
      </w:pPr>
      <w:r w:rsidRPr="00797748">
        <w:rPr>
          <w:rFonts w:cs="Arial"/>
          <w:szCs w:val="22"/>
        </w:rPr>
        <w:t>Moriya M, Ohta T, Watanabe K, Miyazawa T, Kato K, Shirasu Y. 1983. Further mutagenicity studies on pesticides in bacterial reversion assay systems. Mutat Res. 116:185-216.</w:t>
      </w:r>
    </w:p>
    <w:p w:rsidR="006B4814" w:rsidRPr="00797748" w:rsidRDefault="006B4814" w:rsidP="00642A1F">
      <w:pPr>
        <w:rPr>
          <w:rFonts w:cs="Arial"/>
          <w:color w:val="000000"/>
          <w:szCs w:val="22"/>
        </w:rPr>
      </w:pPr>
      <w:r w:rsidRPr="00797748">
        <w:rPr>
          <w:rFonts w:cs="Arial"/>
          <w:color w:val="000000"/>
          <w:szCs w:val="22"/>
        </w:rPr>
        <w:t>Negro Silva LF. 2009. A17035A – mammalian erythrocyte micronucleus test. [Unpublished Regulatory Study]. (Report Identification Number: RL7459/2008 – 14.0MN-B).</w:t>
      </w:r>
    </w:p>
    <w:p w:rsidR="006B4814" w:rsidRPr="00797748" w:rsidRDefault="006B4814" w:rsidP="00642A1F">
      <w:pPr>
        <w:rPr>
          <w:rFonts w:cs="Arial"/>
          <w:color w:val="000000"/>
          <w:szCs w:val="22"/>
        </w:rPr>
      </w:pPr>
      <w:r w:rsidRPr="00797748">
        <w:rPr>
          <w:rFonts w:cs="Arial"/>
          <w:color w:val="000000"/>
          <w:szCs w:val="22"/>
        </w:rPr>
        <w:t>Negro Silva LF. 2011. Glyphosate SL (A13013Z) – mammalian erythrocyte micronucleus test. [Unpublished Regulatory Study]. (Report Identification Number: RL69575MN-B).</w:t>
      </w:r>
    </w:p>
    <w:p w:rsidR="006B4814" w:rsidRPr="00797748" w:rsidRDefault="006B4814" w:rsidP="00642A1F">
      <w:pPr>
        <w:pStyle w:val="EndNoteBibliography"/>
        <w:spacing w:line="480" w:lineRule="auto"/>
        <w:rPr>
          <w:rFonts w:ascii="Arial" w:hAnsi="Arial" w:cs="Arial"/>
          <w:szCs w:val="22"/>
        </w:rPr>
      </w:pPr>
      <w:r w:rsidRPr="00797748">
        <w:rPr>
          <w:rFonts w:ascii="Arial" w:hAnsi="Arial" w:cs="Arial"/>
          <w:szCs w:val="22"/>
        </w:rPr>
        <w:lastRenderedPageBreak/>
        <w:t xml:space="preserve">OECD. 1986. Genetic toxicology: DNA damage and repair, unscheduled DNA synthesis in mammalian cells in vitro. In: OECD Guidelines for the Testing of Chemicals. Paris (France): Organisation for Economic Co-operation and Development (OECD). (OECD Guideline no 482) [23 October 1986]. Available from: </w:t>
      </w:r>
      <w:hyperlink r:id="rId10" w:history="1">
        <w:r w:rsidRPr="00797748">
          <w:rPr>
            <w:rStyle w:val="Hyperlink"/>
            <w:rFonts w:ascii="Arial" w:hAnsi="Arial" w:cs="Arial"/>
            <w:szCs w:val="22"/>
          </w:rPr>
          <w:t>http://www.oecd-ilibrary.org/environment/test-no-482-genetic-toxicology-dna-damage-and-repair-unscheduled-dna-synthesis-in-mammalian-cells-in-vitro_9789264071445-en</w:t>
        </w:r>
      </w:hyperlink>
      <w:r w:rsidRPr="00797748">
        <w:rPr>
          <w:rFonts w:ascii="Arial" w:hAnsi="Arial" w:cs="Arial"/>
          <w:szCs w:val="22"/>
        </w:rPr>
        <w:t>.</w:t>
      </w:r>
    </w:p>
    <w:p w:rsidR="006B4814" w:rsidRPr="00797748" w:rsidRDefault="006B4814" w:rsidP="00642A1F">
      <w:pPr>
        <w:pStyle w:val="EndNoteBibliography"/>
        <w:spacing w:line="480" w:lineRule="auto"/>
        <w:rPr>
          <w:rFonts w:ascii="Arial" w:hAnsi="Arial" w:cs="Arial"/>
          <w:szCs w:val="22"/>
        </w:rPr>
      </w:pPr>
      <w:r w:rsidRPr="00797748">
        <w:rPr>
          <w:rFonts w:ascii="Arial" w:hAnsi="Arial" w:cs="Arial"/>
          <w:szCs w:val="22"/>
        </w:rPr>
        <w:t xml:space="preserve">OECD. 1997. Bacterial reverse mutation test. In: OECD Guidelines for the Testing of Chemicals. Paris (France): Organisation for Economic Co-operation and Development (OECD). (OECD Guideline no 471) [Adopted: 21 July 1997]. Available from: </w:t>
      </w:r>
      <w:hyperlink r:id="rId11" w:history="1">
        <w:r w:rsidRPr="00797748">
          <w:rPr>
            <w:rStyle w:val="Hyperlink"/>
            <w:rFonts w:ascii="Arial" w:hAnsi="Arial" w:cs="Arial"/>
            <w:szCs w:val="22"/>
          </w:rPr>
          <w:t>http://www.oecd-ilibrary.org/environment/test-no-471-bacterial-reverse-mutation-test_9789264071247-en</w:t>
        </w:r>
      </w:hyperlink>
      <w:r w:rsidRPr="00797748">
        <w:rPr>
          <w:rFonts w:ascii="Arial" w:hAnsi="Arial" w:cs="Arial"/>
          <w:szCs w:val="22"/>
        </w:rPr>
        <w:t>.</w:t>
      </w:r>
    </w:p>
    <w:p w:rsidR="006B4814" w:rsidRPr="00797748" w:rsidRDefault="006B4814" w:rsidP="00642A1F">
      <w:pPr>
        <w:pStyle w:val="EndNoteBibliography"/>
        <w:spacing w:line="480" w:lineRule="auto"/>
        <w:rPr>
          <w:rFonts w:ascii="Arial" w:hAnsi="Arial" w:cs="Arial"/>
          <w:szCs w:val="22"/>
        </w:rPr>
      </w:pPr>
      <w:r w:rsidRPr="00797748">
        <w:rPr>
          <w:rFonts w:ascii="Arial" w:hAnsi="Arial" w:cs="Arial"/>
          <w:szCs w:val="22"/>
        </w:rPr>
        <w:t xml:space="preserve">OECD. 2014a. In vitro mammalian chromosome aberration tested. In: OECD Guidelines for the Testing of Chemicals. Paris (France): Organisation for Economic Co-operation and Development (OECD). (OECD Guideline no 473) [Adopted: 26 September 2014]. Available from: </w:t>
      </w:r>
      <w:hyperlink r:id="rId12" w:history="1">
        <w:r w:rsidRPr="00797748">
          <w:rPr>
            <w:rStyle w:val="Hyperlink"/>
            <w:rFonts w:ascii="Arial" w:hAnsi="Arial" w:cs="Arial"/>
            <w:szCs w:val="22"/>
          </w:rPr>
          <w:t>http://www.oecd-ilibrary.org/environment/test-no-473-in-vitro-mammalian-chromosomal-aberration-test_9789264224223-en</w:t>
        </w:r>
      </w:hyperlink>
      <w:r w:rsidRPr="00797748">
        <w:rPr>
          <w:rFonts w:ascii="Arial" w:hAnsi="Arial" w:cs="Arial"/>
          <w:szCs w:val="22"/>
        </w:rPr>
        <w:t>.</w:t>
      </w:r>
    </w:p>
    <w:p w:rsidR="006B4814" w:rsidRPr="00797748" w:rsidRDefault="006B4814" w:rsidP="00642A1F">
      <w:pPr>
        <w:pStyle w:val="EndNoteBibliography"/>
        <w:spacing w:line="480" w:lineRule="auto"/>
        <w:rPr>
          <w:rFonts w:ascii="Arial" w:hAnsi="Arial" w:cs="Arial"/>
          <w:szCs w:val="22"/>
        </w:rPr>
      </w:pPr>
      <w:bookmarkStart w:id="10" w:name="_ENREF_70"/>
      <w:r w:rsidRPr="00797748">
        <w:rPr>
          <w:rFonts w:ascii="Arial" w:hAnsi="Arial" w:cs="Arial"/>
          <w:szCs w:val="22"/>
        </w:rPr>
        <w:t xml:space="preserve">OECD. 2014b. In vitro mammalian cell micronucleus test. </w:t>
      </w:r>
      <w:bookmarkEnd w:id="10"/>
      <w:r w:rsidRPr="00797748">
        <w:rPr>
          <w:rFonts w:ascii="Arial" w:hAnsi="Arial" w:cs="Arial"/>
          <w:szCs w:val="22"/>
        </w:rPr>
        <w:t xml:space="preserve">OECD Guidelines for the Testing of Chemicals. Paris (France): Organisation for Economic Co-operation and Development (OECD). (OECD Guideline no 487) [Adopted: 26 September 2014]. Available from: </w:t>
      </w:r>
      <w:hyperlink r:id="rId13" w:history="1">
        <w:r w:rsidRPr="00797748">
          <w:rPr>
            <w:rStyle w:val="Hyperlink"/>
            <w:rFonts w:ascii="Arial" w:hAnsi="Arial" w:cs="Arial"/>
            <w:szCs w:val="22"/>
          </w:rPr>
          <w:t>http://www.oecd-ilibrary.org/environment/test-no-487-in-vitro-mammalian-cell-micronucleus-test_9789264224438-en</w:t>
        </w:r>
      </w:hyperlink>
      <w:r w:rsidRPr="00797748">
        <w:rPr>
          <w:rFonts w:ascii="Arial" w:hAnsi="Arial" w:cs="Arial"/>
          <w:szCs w:val="22"/>
        </w:rPr>
        <w:t>.</w:t>
      </w:r>
    </w:p>
    <w:p w:rsidR="006B4814" w:rsidRPr="00797748" w:rsidRDefault="006B4814" w:rsidP="00642A1F">
      <w:pPr>
        <w:pStyle w:val="EndNoteBibliography"/>
        <w:spacing w:line="480" w:lineRule="auto"/>
        <w:rPr>
          <w:rFonts w:ascii="Arial" w:hAnsi="Arial" w:cs="Arial"/>
          <w:szCs w:val="22"/>
        </w:rPr>
      </w:pPr>
      <w:r w:rsidRPr="00797748">
        <w:rPr>
          <w:rFonts w:ascii="Arial" w:hAnsi="Arial" w:cs="Arial"/>
          <w:szCs w:val="22"/>
        </w:rPr>
        <w:t xml:space="preserve">OECD. 2014c. Mammalian erythrocyte miconucleus test. In: OECD Guidelines for the Testing of Chemicals. Paris (France): Organisation for Economic Co-operation and Development (OECD). (OECD Guideline no 474) [Adopted: 26 September 2014]. Available from: </w:t>
      </w:r>
      <w:hyperlink r:id="rId14" w:history="1">
        <w:r w:rsidRPr="00797748">
          <w:rPr>
            <w:rStyle w:val="Hyperlink"/>
            <w:rFonts w:ascii="Arial" w:hAnsi="Arial" w:cs="Arial"/>
            <w:szCs w:val="22"/>
          </w:rPr>
          <w:t>http://www.oecd-</w:t>
        </w:r>
        <w:r w:rsidRPr="00797748">
          <w:rPr>
            <w:rStyle w:val="Hyperlink"/>
            <w:rFonts w:ascii="Arial" w:hAnsi="Arial" w:cs="Arial"/>
            <w:szCs w:val="22"/>
          </w:rPr>
          <w:lastRenderedPageBreak/>
          <w:t>ilibrary.org/environment/test-no-474-mammalian-erythrocyte-micronucleus-test_9789264224292-en</w:t>
        </w:r>
      </w:hyperlink>
      <w:r w:rsidRPr="00797748">
        <w:rPr>
          <w:rFonts w:ascii="Arial" w:hAnsi="Arial" w:cs="Arial"/>
          <w:szCs w:val="22"/>
        </w:rPr>
        <w:t>.</w:t>
      </w:r>
      <w:bookmarkStart w:id="11" w:name="_ENREF_69"/>
    </w:p>
    <w:bookmarkEnd w:id="11"/>
    <w:p w:rsidR="006B4814" w:rsidRPr="00797748" w:rsidRDefault="006B4814" w:rsidP="00642A1F">
      <w:pPr>
        <w:pStyle w:val="EndNoteBibliography"/>
        <w:spacing w:line="480" w:lineRule="auto"/>
        <w:rPr>
          <w:rFonts w:ascii="Arial" w:hAnsi="Arial" w:cs="Arial"/>
          <w:szCs w:val="22"/>
        </w:rPr>
      </w:pPr>
      <w:r w:rsidRPr="00797748">
        <w:rPr>
          <w:rFonts w:ascii="Arial" w:hAnsi="Arial" w:cs="Arial"/>
          <w:szCs w:val="22"/>
        </w:rPr>
        <w:t xml:space="preserve">OECD. 2015. In vitro mammalian cell gene mutation tests using the thymidine kinase gene. oecd guidelines for the testing of chemicals. Paris (France): Organisation for Economic Co-operation and Development (OECD). (OECD Guideline no 490) [Adopted: 28 July 2015]. Available from: </w:t>
      </w:r>
      <w:hyperlink r:id="rId15" w:history="1">
        <w:r w:rsidRPr="00797748">
          <w:rPr>
            <w:rStyle w:val="Hyperlink"/>
            <w:rFonts w:ascii="Arial" w:hAnsi="Arial" w:cs="Arial"/>
            <w:szCs w:val="22"/>
          </w:rPr>
          <w:t>http://www.oecd-ilibrary.org/environment/test-no-490-in-vitro-mammalian-cell-gene-mutation-tests-using-the-thymidine-kinase-gene_9789264242241-en</w:t>
        </w:r>
      </w:hyperlink>
      <w:r w:rsidRPr="00797748">
        <w:rPr>
          <w:rFonts w:ascii="Arial" w:hAnsi="Arial" w:cs="Arial"/>
          <w:szCs w:val="22"/>
        </w:rPr>
        <w:t>.</w:t>
      </w:r>
    </w:p>
    <w:p w:rsidR="006B4814" w:rsidRPr="00797748" w:rsidRDefault="006B4814" w:rsidP="00642A1F">
      <w:pPr>
        <w:rPr>
          <w:rFonts w:cs="Arial"/>
          <w:color w:val="000000"/>
          <w:szCs w:val="22"/>
        </w:rPr>
      </w:pPr>
      <w:r w:rsidRPr="00797748">
        <w:rPr>
          <w:rFonts w:cs="Arial"/>
          <w:color w:val="000000"/>
          <w:szCs w:val="22"/>
        </w:rPr>
        <w:t>Piesova E. 2004. The influence of different treatment length on the induction of micronuclei in bovine lymphocytes after exposure to glyphosate. Folia Vet Lat. 48:130-134.</w:t>
      </w:r>
    </w:p>
    <w:p w:rsidR="006B4814" w:rsidRPr="00797748" w:rsidRDefault="006B4814" w:rsidP="00642A1F">
      <w:pPr>
        <w:rPr>
          <w:rFonts w:cs="Arial"/>
          <w:color w:val="000000"/>
          <w:szCs w:val="22"/>
        </w:rPr>
      </w:pPr>
      <w:r w:rsidRPr="00797748">
        <w:rPr>
          <w:rFonts w:cs="Arial"/>
          <w:color w:val="000000"/>
          <w:szCs w:val="22"/>
        </w:rPr>
        <w:t>Piesova E. 2005. The effect of glyphosate on the frequency of micronuclei in bovine lymphocytes in vitro. Acta Vet (Beogr). 55:101-109.</w:t>
      </w:r>
    </w:p>
    <w:p w:rsidR="006B4814" w:rsidRPr="00797748" w:rsidRDefault="006B4814" w:rsidP="00642A1F">
      <w:pPr>
        <w:rPr>
          <w:rFonts w:cs="Arial"/>
          <w:color w:val="000000"/>
          <w:szCs w:val="22"/>
        </w:rPr>
      </w:pPr>
      <w:r w:rsidRPr="00797748">
        <w:rPr>
          <w:rFonts w:cs="Arial"/>
          <w:color w:val="000000"/>
          <w:szCs w:val="22"/>
        </w:rPr>
        <w:t>Ranzani MRTC. 2000. Evaluation of the mutagenic potential of the test substance Glifosato IPA Tecnico Nufarm. [Unpublished Regulatory Study]. (Report Identification Number: Study No. RF-G11.040/00).</w:t>
      </w:r>
    </w:p>
    <w:p w:rsidR="00426AF7" w:rsidRDefault="006B4814" w:rsidP="00642A1F">
      <w:pPr>
        <w:rPr>
          <w:rFonts w:cs="Arial"/>
          <w:color w:val="000000"/>
          <w:szCs w:val="22"/>
        </w:rPr>
      </w:pPr>
      <w:r w:rsidRPr="00797748">
        <w:rPr>
          <w:rFonts w:cs="Arial"/>
          <w:color w:val="000000"/>
          <w:szCs w:val="22"/>
        </w:rPr>
        <w:t>Ribeiro do Val R. 2007. Bacterial reverse mutation test (Ames test) for [glyphosate technical]. [Unpublished Regulatory Study]. (Report Identification Number: RL3393/2007 - 2.0AM-B).</w:t>
      </w:r>
    </w:p>
    <w:p w:rsidR="006B4814" w:rsidRPr="00797748" w:rsidRDefault="006B4814" w:rsidP="00642A1F">
      <w:pPr>
        <w:rPr>
          <w:rFonts w:cs="Arial"/>
          <w:color w:val="000000"/>
          <w:szCs w:val="22"/>
        </w:rPr>
      </w:pPr>
      <w:r w:rsidRPr="00797748">
        <w:rPr>
          <w:rFonts w:cs="Arial"/>
          <w:color w:val="000000"/>
          <w:szCs w:val="22"/>
        </w:rPr>
        <w:t>Rossberger S. 1994). DNA repair test with primary rat hepatocytes. [Unpublished Regulatory Study]. (Report Identification Number: 931564).</w:t>
      </w:r>
    </w:p>
    <w:p w:rsidR="006B4814" w:rsidRPr="00797748" w:rsidRDefault="006B4814" w:rsidP="00642A1F">
      <w:pPr>
        <w:rPr>
          <w:rFonts w:cs="Arial"/>
          <w:color w:val="000000"/>
          <w:szCs w:val="22"/>
        </w:rPr>
      </w:pPr>
      <w:r w:rsidRPr="00797748">
        <w:rPr>
          <w:rFonts w:cs="Arial"/>
          <w:color w:val="000000"/>
          <w:szCs w:val="22"/>
        </w:rPr>
        <w:t>Schreib G. 2010. Reverse mutation assay using bacteria (Salmonella typhimurium and Escherichia coli) with glyphosate technical. [Unpublished Regulatory Study]. (Report Identification Number: 102025).</w:t>
      </w:r>
    </w:p>
    <w:p w:rsidR="006B4814" w:rsidRPr="00797748" w:rsidRDefault="006B4814" w:rsidP="00642A1F">
      <w:pPr>
        <w:autoSpaceDE w:val="0"/>
        <w:autoSpaceDN w:val="0"/>
        <w:adjustRightInd w:val="0"/>
        <w:rPr>
          <w:rFonts w:cs="Arial"/>
          <w:szCs w:val="22"/>
        </w:rPr>
      </w:pPr>
      <w:r w:rsidRPr="00797748">
        <w:rPr>
          <w:rFonts w:cs="Arial"/>
          <w:szCs w:val="22"/>
        </w:rPr>
        <w:lastRenderedPageBreak/>
        <w:t>Shirasu Y, Moriya M, Ohta T. 1980. [Aminomethylphosphonic acid]: microbial mutagenicity study. [Unpublished Report].</w:t>
      </w:r>
    </w:p>
    <w:p w:rsidR="006B4814" w:rsidRPr="00797748" w:rsidRDefault="006B4814" w:rsidP="00642A1F">
      <w:pPr>
        <w:rPr>
          <w:rFonts w:cs="Arial"/>
          <w:color w:val="000000"/>
          <w:szCs w:val="22"/>
        </w:rPr>
      </w:pPr>
      <w:r w:rsidRPr="00797748">
        <w:rPr>
          <w:rFonts w:cs="Arial"/>
          <w:color w:val="000000"/>
          <w:szCs w:val="22"/>
        </w:rPr>
        <w:t>Sokolowski A. 2007a. Salmonella typhimurium and Escherichia coli reverse mutation assay with glyphosate technical. [Unpublished Regulatory Study]. (Report Identification Number: 1061401).</w:t>
      </w:r>
    </w:p>
    <w:p w:rsidR="006B4814" w:rsidRPr="00797748" w:rsidRDefault="006B4814" w:rsidP="00642A1F">
      <w:pPr>
        <w:rPr>
          <w:rFonts w:cs="Arial"/>
          <w:color w:val="000000"/>
          <w:szCs w:val="22"/>
        </w:rPr>
      </w:pPr>
      <w:r w:rsidRPr="00797748">
        <w:rPr>
          <w:rFonts w:cs="Arial"/>
          <w:color w:val="000000"/>
          <w:szCs w:val="22"/>
        </w:rPr>
        <w:t>Sokolowski A. 2007b. Salmonella typhimurium and Escherichia coli reverse mutation assay with glyphosate technical. [Unpublished Regulatory Study]. (Report Identification Number: 1061402).</w:t>
      </w:r>
    </w:p>
    <w:p w:rsidR="006B4814" w:rsidRPr="00797748" w:rsidRDefault="006B4814" w:rsidP="00642A1F">
      <w:pPr>
        <w:rPr>
          <w:rFonts w:cs="Arial"/>
          <w:color w:val="000000"/>
          <w:szCs w:val="22"/>
        </w:rPr>
      </w:pPr>
      <w:r w:rsidRPr="00797748">
        <w:rPr>
          <w:rFonts w:cs="Arial"/>
          <w:color w:val="000000"/>
          <w:szCs w:val="22"/>
        </w:rPr>
        <w:t>Sokolowski A. 2007c. Salmonella typhimurium and Escherichia coli reverse mutation assay glyphosate technical. [Unpublished Regulatory Study]. (Report Identification Number: 1061403).</w:t>
      </w:r>
    </w:p>
    <w:p w:rsidR="006B4814" w:rsidRPr="00797748" w:rsidRDefault="006B4814" w:rsidP="00642A1F">
      <w:pPr>
        <w:rPr>
          <w:rFonts w:cs="Arial"/>
          <w:color w:val="000000"/>
          <w:szCs w:val="22"/>
        </w:rPr>
      </w:pPr>
      <w:r w:rsidRPr="00797748">
        <w:rPr>
          <w:rFonts w:cs="Arial"/>
          <w:color w:val="000000"/>
          <w:szCs w:val="22"/>
        </w:rPr>
        <w:t>Sokolowski A. 2009a. Salmonella typhimurium and Escherichia coli reverse mutation assay with glyphosate technical. [Unpublished Regulatory Study]. (Report Identification Number: 1236400).</w:t>
      </w:r>
    </w:p>
    <w:p w:rsidR="006B4814" w:rsidRPr="00797748" w:rsidRDefault="006B4814" w:rsidP="00642A1F">
      <w:pPr>
        <w:rPr>
          <w:rFonts w:cs="Arial"/>
          <w:color w:val="000000"/>
          <w:szCs w:val="22"/>
        </w:rPr>
      </w:pPr>
      <w:r w:rsidRPr="00797748">
        <w:rPr>
          <w:rFonts w:cs="Arial"/>
          <w:color w:val="000000"/>
          <w:szCs w:val="22"/>
        </w:rPr>
        <w:t>Sokolowski A. 2009b. Glyphosate technical Salmonella typhimurium and Escherichia coli reverse mutation assay. [Unpublished Regulatory Study]. (Report Identification Number: 1264500).</w:t>
      </w:r>
    </w:p>
    <w:p w:rsidR="006B4814" w:rsidRPr="00797748" w:rsidRDefault="006B4814" w:rsidP="00642A1F">
      <w:pPr>
        <w:rPr>
          <w:rFonts w:cs="Arial"/>
          <w:color w:val="000000"/>
          <w:szCs w:val="22"/>
        </w:rPr>
      </w:pPr>
      <w:r w:rsidRPr="00797748">
        <w:rPr>
          <w:rFonts w:cs="Arial"/>
          <w:color w:val="000000"/>
          <w:szCs w:val="22"/>
        </w:rPr>
        <w:t>Suresh TP. 1993a. Mutagenicity – Salmonella typhimurium reverse mutation assay (Ames test). [Unpublished Regulatory Study]. (Report Identification Number: TOXI: 887-MUT.AMES).</w:t>
      </w:r>
    </w:p>
    <w:p w:rsidR="006B4814" w:rsidRPr="00797748" w:rsidRDefault="006B4814" w:rsidP="00642A1F">
      <w:pPr>
        <w:rPr>
          <w:rFonts w:cs="Arial"/>
          <w:color w:val="000000"/>
          <w:szCs w:val="22"/>
        </w:rPr>
      </w:pPr>
      <w:r w:rsidRPr="00797748">
        <w:rPr>
          <w:rFonts w:cs="Arial"/>
          <w:color w:val="000000"/>
          <w:szCs w:val="22"/>
        </w:rPr>
        <w:t>Suresh TP. 1993b. Mutagenicity–micronucleus test in Swiss albino mice. [Unpublished Regulatory Study]. (Report Identification Number: TOXI: 889-MUT.MN).</w:t>
      </w:r>
    </w:p>
    <w:p w:rsidR="006B4814" w:rsidRPr="00797748" w:rsidRDefault="006B4814" w:rsidP="00642A1F">
      <w:pPr>
        <w:rPr>
          <w:rFonts w:cs="Arial"/>
          <w:color w:val="000000"/>
          <w:szCs w:val="22"/>
        </w:rPr>
      </w:pPr>
      <w:r w:rsidRPr="00797748">
        <w:rPr>
          <w:rFonts w:cs="Arial"/>
          <w:color w:val="000000"/>
          <w:szCs w:val="22"/>
        </w:rPr>
        <w:t>Suresh TP. 1994. Genetic toxicology – in vivo mammalian bone marrow cytogenetic test – chromosomal analysis. [Unpublished Regulatory Study]. (Report Identification Number: TOXI:890-MUTCH. AB).</w:t>
      </w:r>
    </w:p>
    <w:p w:rsidR="006B4814" w:rsidRPr="00797748" w:rsidRDefault="006B4814" w:rsidP="00642A1F">
      <w:pPr>
        <w:rPr>
          <w:rFonts w:cs="Arial"/>
          <w:color w:val="000000"/>
          <w:szCs w:val="22"/>
        </w:rPr>
      </w:pPr>
      <w:r w:rsidRPr="00797748">
        <w:rPr>
          <w:rFonts w:cs="Arial"/>
          <w:color w:val="000000"/>
          <w:szCs w:val="22"/>
        </w:rPr>
        <w:lastRenderedPageBreak/>
        <w:t>Thompson PW. 1996. Technical glyphosate reverse mutation assay (Ames test) using Salmonella typhimurium and Escherichia coli. [Unpublished Regulatory Study]. (Report Identification Number: SPL Proj. No. 434/014).</w:t>
      </w:r>
    </w:p>
    <w:p w:rsidR="006B4814" w:rsidRDefault="006B4814" w:rsidP="00642A1F">
      <w:pPr>
        <w:rPr>
          <w:rFonts w:cs="Arial"/>
          <w:color w:val="000000"/>
          <w:szCs w:val="22"/>
        </w:rPr>
      </w:pPr>
      <w:r w:rsidRPr="00797748">
        <w:rPr>
          <w:rFonts w:cs="Arial"/>
          <w:color w:val="000000"/>
          <w:szCs w:val="22"/>
        </w:rPr>
        <w:t>Uhde H. 2004. Mutagenicity study of FSG 03090 H-1 in the Salmonella typhimurium reverse mutation assay (in vitro). [Unpublished Regulatory Study]. (Report Identification Number: 18487/04).</w:t>
      </w:r>
    </w:p>
    <w:p w:rsidR="00D77837" w:rsidRPr="00A02037" w:rsidRDefault="00D77837" w:rsidP="00D77837">
      <w:pPr>
        <w:rPr>
          <w:rFonts w:cs="Arial"/>
        </w:rPr>
      </w:pPr>
      <w:r>
        <w:rPr>
          <w:rFonts w:cs="Arial"/>
        </w:rPr>
        <w:t>v</w:t>
      </w:r>
      <w:r w:rsidRPr="00A02037">
        <w:rPr>
          <w:rFonts w:cs="Arial"/>
        </w:rPr>
        <w:t xml:space="preserve">an de Waart EJ. 1995. </w:t>
      </w:r>
      <w:r w:rsidRPr="00A02037">
        <w:rPr>
          <w:rFonts w:cs="Arial"/>
          <w:iCs/>
        </w:rPr>
        <w:t xml:space="preserve">Evaluation of the ability of glyphosate to induce chromosome aberrations in cultured peripheral human lymphocytes. [Unpublished Report]. </w:t>
      </w:r>
      <w:r w:rsidRPr="00A02037">
        <w:rPr>
          <w:rFonts w:cs="Arial"/>
        </w:rPr>
        <w:t>NOTOX, The Netherlands. (Report Identification Number: Project 141918.</w:t>
      </w:r>
    </w:p>
    <w:p w:rsidR="006B4814" w:rsidRPr="00797748" w:rsidRDefault="006B4814" w:rsidP="00642A1F">
      <w:pPr>
        <w:rPr>
          <w:rFonts w:cs="Arial"/>
          <w:color w:val="000000"/>
          <w:szCs w:val="22"/>
        </w:rPr>
      </w:pPr>
      <w:r w:rsidRPr="00797748">
        <w:rPr>
          <w:rFonts w:cs="Arial"/>
          <w:color w:val="000000"/>
          <w:szCs w:val="22"/>
        </w:rPr>
        <w:t>Wallner B. 2010. Reverse mutation assay using bacteria (Salmonella typhimurium) with glyphosate TC. [Unpublished Regulatory Study]. (Report Identification Number: 101268).</w:t>
      </w:r>
    </w:p>
    <w:p w:rsidR="006B4814" w:rsidRPr="00797748" w:rsidRDefault="006B4814" w:rsidP="00642A1F">
      <w:pPr>
        <w:rPr>
          <w:rFonts w:cs="Arial"/>
          <w:color w:val="000000"/>
          <w:szCs w:val="22"/>
        </w:rPr>
      </w:pPr>
      <w:r w:rsidRPr="00797748">
        <w:rPr>
          <w:rFonts w:cs="Arial"/>
          <w:color w:val="000000"/>
          <w:szCs w:val="22"/>
        </w:rPr>
        <w:t>Williams GM, Kroes R, Munro IC. 2000. Safety evaluation and risk assessment of the herbicide roundup and its active ingredient, glyphosate, for humans. Regul Toxicol Pharmacol. 31:117</w:t>
      </w:r>
      <w:r w:rsidRPr="00797748">
        <w:rPr>
          <w:rFonts w:cs="Arial"/>
          <w:color w:val="000000"/>
          <w:szCs w:val="22"/>
        </w:rPr>
        <w:noBreakHyphen/>
        <w:t>165.</w:t>
      </w:r>
    </w:p>
    <w:p w:rsidR="006B4814" w:rsidRPr="00797748" w:rsidRDefault="006B4814" w:rsidP="00642A1F">
      <w:pPr>
        <w:rPr>
          <w:rFonts w:cs="Arial"/>
          <w:color w:val="000000"/>
          <w:szCs w:val="22"/>
        </w:rPr>
      </w:pPr>
      <w:r w:rsidRPr="00797748">
        <w:rPr>
          <w:rFonts w:cs="Arial"/>
          <w:color w:val="000000"/>
          <w:szCs w:val="22"/>
        </w:rPr>
        <w:t>Wright NP. 1996. Technical glyphosate: chromosome aberration test in CHL cells in vitro. [Unpublished Regulatory Study]. (Report Identification Number: 434/015).</w:t>
      </w:r>
    </w:p>
    <w:p w:rsidR="006B4814" w:rsidRPr="00797748" w:rsidRDefault="006B4814" w:rsidP="00642A1F">
      <w:pPr>
        <w:rPr>
          <w:rFonts w:cs="Arial"/>
          <w:color w:val="000000"/>
          <w:szCs w:val="22"/>
        </w:rPr>
      </w:pPr>
      <w:r w:rsidRPr="00797748">
        <w:rPr>
          <w:rFonts w:cs="Arial"/>
          <w:color w:val="000000"/>
          <w:szCs w:val="22"/>
        </w:rPr>
        <w:t>Xu Y. 2006. Salmonella–Escherichia coli/mammalian–microsome reverse mutation assay with a confirmatory assay with MON 78910. [Unpublished Regulatory Study]. (Report Identification Number: CV-2005-119).</w:t>
      </w:r>
    </w:p>
    <w:p w:rsidR="006B4814" w:rsidRPr="00797748" w:rsidRDefault="006B4814" w:rsidP="00642A1F">
      <w:pPr>
        <w:rPr>
          <w:rFonts w:cs="Arial"/>
          <w:color w:val="000000"/>
          <w:szCs w:val="22"/>
        </w:rPr>
      </w:pPr>
      <w:r w:rsidRPr="00797748">
        <w:rPr>
          <w:rFonts w:cs="Arial"/>
          <w:color w:val="000000"/>
          <w:szCs w:val="22"/>
        </w:rPr>
        <w:t>Xu Y. 2008a. In vivo mouse bone marrow micronucleus assay. [Unpublished Regulatory Study]. (Report Identification Number: CV-08-031).</w:t>
      </w:r>
    </w:p>
    <w:p w:rsidR="006B4814" w:rsidRPr="00797748" w:rsidRDefault="006B4814" w:rsidP="00642A1F">
      <w:pPr>
        <w:rPr>
          <w:rFonts w:cs="Arial"/>
          <w:color w:val="000000"/>
          <w:szCs w:val="22"/>
        </w:rPr>
      </w:pPr>
      <w:r w:rsidRPr="00797748">
        <w:rPr>
          <w:rFonts w:cs="Arial"/>
          <w:color w:val="000000"/>
          <w:szCs w:val="22"/>
        </w:rPr>
        <w:lastRenderedPageBreak/>
        <w:t>Xu Y. 2008b. In vivo mouse bone marrow micronucleus assay with MON 76171. [Unpublished Regulatory Study]. (Report Identification Number: CV-2007-103).</w:t>
      </w:r>
    </w:p>
    <w:p w:rsidR="006B4814" w:rsidRPr="00797748" w:rsidRDefault="006B4814" w:rsidP="00642A1F">
      <w:pPr>
        <w:rPr>
          <w:rFonts w:cs="Arial"/>
          <w:color w:val="000000"/>
          <w:szCs w:val="22"/>
        </w:rPr>
      </w:pPr>
      <w:r w:rsidRPr="00797748">
        <w:rPr>
          <w:rFonts w:cs="Arial"/>
          <w:color w:val="000000"/>
          <w:szCs w:val="22"/>
        </w:rPr>
        <w:t>Xu Y. 2009a. In vivo mouse bone marrow micronucleus assay with MON 79991. [Unpublished Regulatory Study]. (Report Identification Number: CV-2007-083).</w:t>
      </w:r>
    </w:p>
    <w:p w:rsidR="006B4814" w:rsidRPr="00797748" w:rsidRDefault="006B4814" w:rsidP="00642A1F">
      <w:pPr>
        <w:rPr>
          <w:rFonts w:cs="Arial"/>
          <w:color w:val="000000"/>
          <w:szCs w:val="22"/>
        </w:rPr>
      </w:pPr>
      <w:r w:rsidRPr="00797748">
        <w:rPr>
          <w:rFonts w:cs="Arial"/>
          <w:color w:val="000000"/>
          <w:szCs w:val="22"/>
        </w:rPr>
        <w:t>Xu Y. 2009b. In vivo mouse bone marrow micronucleus assay with MON 76138. [Unpublished Regulatory Study]. (Report Identification Number: CV-2007-095).</w:t>
      </w:r>
    </w:p>
    <w:p w:rsidR="006B4814" w:rsidRPr="00797748" w:rsidRDefault="006B4814" w:rsidP="00642A1F">
      <w:pPr>
        <w:rPr>
          <w:rFonts w:cs="Arial"/>
          <w:color w:val="000000"/>
          <w:szCs w:val="22"/>
        </w:rPr>
      </w:pPr>
      <w:r w:rsidRPr="00797748">
        <w:rPr>
          <w:rFonts w:cs="Arial"/>
          <w:color w:val="000000"/>
          <w:szCs w:val="22"/>
        </w:rPr>
        <w:t>Xu Y. 2009c. In vivo mouse bone marrow micronucleus assay. [Unpublished Regulatory Study]. (Report Identification Number: CV-08-243).</w:t>
      </w:r>
    </w:p>
    <w:p w:rsidR="006B4814" w:rsidRPr="00797748" w:rsidRDefault="006B4814" w:rsidP="00642A1F">
      <w:pPr>
        <w:rPr>
          <w:rFonts w:cs="Arial"/>
          <w:color w:val="000000"/>
          <w:szCs w:val="22"/>
        </w:rPr>
      </w:pPr>
      <w:r w:rsidRPr="00797748">
        <w:rPr>
          <w:rFonts w:cs="Arial"/>
          <w:color w:val="000000"/>
          <w:szCs w:val="22"/>
        </w:rPr>
        <w:t>Zoriki Hosomi R. 2007. Mammalian erythrocyte micronucleus test for [glyphosate technical]. [Unpublished Regulatory Study]. (Report Identification Number: 3393/2007-3.0MN).</w:t>
      </w:r>
    </w:p>
    <w:p w:rsidR="00F67613" w:rsidRPr="00797748" w:rsidRDefault="00F67613" w:rsidP="00642A1F">
      <w:pPr>
        <w:rPr>
          <w:rFonts w:cs="Arial"/>
          <w:szCs w:val="22"/>
          <w:lang w:val="en-US"/>
        </w:rPr>
      </w:pPr>
    </w:p>
    <w:sectPr w:rsidR="00F67613" w:rsidRPr="00797748" w:rsidSect="00F676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0AA" w:rsidRDefault="004A30AA" w:rsidP="00BB7032">
      <w:pPr>
        <w:spacing w:after="0" w:line="240" w:lineRule="auto"/>
      </w:pPr>
      <w:r>
        <w:separator/>
      </w:r>
    </w:p>
  </w:endnote>
  <w:endnote w:type="continuationSeparator" w:id="0">
    <w:p w:rsidR="004A30AA" w:rsidRDefault="004A30AA" w:rsidP="00BB7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haker 2 Lancet Regular">
    <w:altName w:val="Shaker 2 Lancet 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471560"/>
      <w:docPartObj>
        <w:docPartGallery w:val="Page Numbers (Bottom of Page)"/>
        <w:docPartUnique/>
      </w:docPartObj>
    </w:sdtPr>
    <w:sdtEndPr>
      <w:rPr>
        <w:noProof/>
      </w:rPr>
    </w:sdtEndPr>
    <w:sdtContent>
      <w:p w:rsidR="003A4729" w:rsidRDefault="003A4729">
        <w:pPr>
          <w:pStyle w:val="Footer"/>
          <w:jc w:val="center"/>
        </w:pPr>
        <w:r>
          <w:fldChar w:fldCharType="begin"/>
        </w:r>
        <w:r>
          <w:instrText xml:space="preserve"> PAGE   \* MERGEFORMAT </w:instrText>
        </w:r>
        <w:r>
          <w:fldChar w:fldCharType="separate"/>
        </w:r>
        <w:r w:rsidR="009D4D8A">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0AA" w:rsidRDefault="004A30AA" w:rsidP="00BB7032">
      <w:pPr>
        <w:spacing w:after="0" w:line="240" w:lineRule="auto"/>
      </w:pPr>
      <w:r>
        <w:separator/>
      </w:r>
    </w:p>
  </w:footnote>
  <w:footnote w:type="continuationSeparator" w:id="0">
    <w:p w:rsidR="004A30AA" w:rsidRDefault="004A30AA" w:rsidP="00BB70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07E424E"/>
    <w:lvl w:ilvl="0">
      <w:start w:val="1"/>
      <w:numFmt w:val="decimal"/>
      <w:lvlText w:val="%1."/>
      <w:lvlJc w:val="left"/>
      <w:pPr>
        <w:tabs>
          <w:tab w:val="num" w:pos="1800"/>
        </w:tabs>
        <w:ind w:left="1800" w:hanging="360"/>
      </w:pPr>
    </w:lvl>
  </w:abstractNum>
  <w:abstractNum w:abstractNumId="1">
    <w:nsid w:val="FFFFFF7D"/>
    <w:multiLevelType w:val="singleLevel"/>
    <w:tmpl w:val="6F14B236"/>
    <w:lvl w:ilvl="0">
      <w:start w:val="1"/>
      <w:numFmt w:val="decimal"/>
      <w:lvlText w:val="%1."/>
      <w:lvlJc w:val="left"/>
      <w:pPr>
        <w:tabs>
          <w:tab w:val="num" w:pos="1440"/>
        </w:tabs>
        <w:ind w:left="1440" w:hanging="360"/>
      </w:pPr>
    </w:lvl>
  </w:abstractNum>
  <w:abstractNum w:abstractNumId="2">
    <w:nsid w:val="FFFFFF7E"/>
    <w:multiLevelType w:val="singleLevel"/>
    <w:tmpl w:val="0C44F27E"/>
    <w:lvl w:ilvl="0">
      <w:start w:val="1"/>
      <w:numFmt w:val="decimal"/>
      <w:lvlText w:val="%1."/>
      <w:lvlJc w:val="left"/>
      <w:pPr>
        <w:tabs>
          <w:tab w:val="num" w:pos="1080"/>
        </w:tabs>
        <w:ind w:left="1080" w:hanging="360"/>
      </w:pPr>
    </w:lvl>
  </w:abstractNum>
  <w:abstractNum w:abstractNumId="3">
    <w:nsid w:val="FFFFFF7F"/>
    <w:multiLevelType w:val="singleLevel"/>
    <w:tmpl w:val="978A2DF6"/>
    <w:lvl w:ilvl="0">
      <w:start w:val="1"/>
      <w:numFmt w:val="upperRoman"/>
      <w:pStyle w:val="ListNumber2"/>
      <w:lvlText w:val="%1."/>
      <w:lvlJc w:val="right"/>
      <w:pPr>
        <w:tabs>
          <w:tab w:val="num" w:pos="540"/>
        </w:tabs>
        <w:ind w:left="540" w:hanging="180"/>
      </w:pPr>
    </w:lvl>
  </w:abstractNum>
  <w:abstractNum w:abstractNumId="4">
    <w:nsid w:val="FFFFFF80"/>
    <w:multiLevelType w:val="singleLevel"/>
    <w:tmpl w:val="2EC6BAA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5FE5BF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AE43040"/>
    <w:lvl w:ilvl="0">
      <w:start w:val="1"/>
      <w:numFmt w:val="bullet"/>
      <w:pStyle w:val="ListBullet3"/>
      <w:lvlText w:val="o"/>
      <w:lvlJc w:val="left"/>
      <w:pPr>
        <w:tabs>
          <w:tab w:val="num" w:pos="1080"/>
        </w:tabs>
        <w:ind w:left="1080" w:hanging="360"/>
      </w:pPr>
      <w:rPr>
        <w:rFonts w:ascii="Courier New" w:hAnsi="Courier New" w:hint="default"/>
        <w:color w:val="auto"/>
      </w:rPr>
    </w:lvl>
  </w:abstractNum>
  <w:abstractNum w:abstractNumId="7">
    <w:nsid w:val="FFFFFF83"/>
    <w:multiLevelType w:val="singleLevel"/>
    <w:tmpl w:val="2E8C1570"/>
    <w:lvl w:ilvl="0">
      <w:numFmt w:val="bullet"/>
      <w:pStyle w:val="ListBullet2"/>
      <w:lvlText w:val="-"/>
      <w:lvlJc w:val="left"/>
      <w:pPr>
        <w:tabs>
          <w:tab w:val="num" w:pos="720"/>
        </w:tabs>
        <w:ind w:left="720" w:hanging="360"/>
      </w:pPr>
      <w:rPr>
        <w:rFonts w:ascii="Arial" w:eastAsia="Arial" w:hAnsi="Arial" w:cs="Arial" w:hint="default"/>
      </w:rPr>
    </w:lvl>
  </w:abstractNum>
  <w:abstractNum w:abstractNumId="8">
    <w:nsid w:val="FFFFFF88"/>
    <w:multiLevelType w:val="singleLevel"/>
    <w:tmpl w:val="6054042E"/>
    <w:lvl w:ilvl="0">
      <w:start w:val="1"/>
      <w:numFmt w:val="decimal"/>
      <w:pStyle w:val="ListNumber"/>
      <w:lvlText w:val="%1."/>
      <w:lvlJc w:val="left"/>
      <w:pPr>
        <w:tabs>
          <w:tab w:val="num" w:pos="360"/>
        </w:tabs>
        <w:ind w:left="360" w:hanging="360"/>
      </w:pPr>
    </w:lvl>
  </w:abstractNum>
  <w:abstractNum w:abstractNumId="9">
    <w:nsid w:val="FFFFFF89"/>
    <w:multiLevelType w:val="singleLevel"/>
    <w:tmpl w:val="98A68532"/>
    <w:lvl w:ilvl="0">
      <w:start w:val="1"/>
      <w:numFmt w:val="bullet"/>
      <w:lvlText w:val=""/>
      <w:lvlJc w:val="left"/>
      <w:pPr>
        <w:tabs>
          <w:tab w:val="num" w:pos="360"/>
        </w:tabs>
        <w:ind w:left="360" w:hanging="360"/>
      </w:pPr>
      <w:rPr>
        <w:rFonts w:ascii="Symbol" w:hAnsi="Symbol" w:hint="default"/>
      </w:rPr>
    </w:lvl>
  </w:abstractNum>
  <w:abstractNum w:abstractNumId="10">
    <w:nsid w:val="0A202326"/>
    <w:multiLevelType w:val="multilevel"/>
    <w:tmpl w:val="6A268F42"/>
    <w:lvl w:ilvl="0">
      <w:start w:val="1"/>
      <w:numFmt w:val="decimal"/>
      <w:lvlText w:val="%1"/>
      <w:lvlJc w:val="left"/>
      <w:pPr>
        <w:tabs>
          <w:tab w:val="num" w:pos="6249"/>
        </w:tabs>
        <w:ind w:left="6249" w:hanging="720"/>
      </w:pPr>
      <w:rPr>
        <w:rFonts w:hint="default"/>
      </w:rPr>
    </w:lvl>
    <w:lvl w:ilvl="1">
      <w:start w:val="1"/>
      <w:numFmt w:val="decimal"/>
      <w:lvlText w:val="%1.%2"/>
      <w:lvlJc w:val="left"/>
      <w:pPr>
        <w:tabs>
          <w:tab w:val="num" w:pos="1713"/>
        </w:tabs>
        <w:ind w:left="1713" w:hanging="720"/>
      </w:pPr>
      <w:rPr>
        <w:rFonts w:hint="default"/>
      </w:rPr>
    </w:lvl>
    <w:lvl w:ilvl="2">
      <w:start w:val="1"/>
      <w:numFmt w:val="decimal"/>
      <w:lvlText w:val="%1.%2.%3"/>
      <w:lvlJc w:val="left"/>
      <w:pPr>
        <w:tabs>
          <w:tab w:val="num" w:pos="720"/>
        </w:tabs>
        <w:ind w:left="72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15"/>
        </w:tabs>
        <w:ind w:left="171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13D91C7C"/>
    <w:multiLevelType w:val="hybridMultilevel"/>
    <w:tmpl w:val="113466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C7A1BBD"/>
    <w:multiLevelType w:val="hybridMultilevel"/>
    <w:tmpl w:val="AC6AD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5310C76"/>
    <w:multiLevelType w:val="hybridMultilevel"/>
    <w:tmpl w:val="F8BA98E6"/>
    <w:lvl w:ilvl="0" w:tplc="3376AB6C">
      <w:start w:val="1"/>
      <w:numFmt w:val="decimal"/>
      <w:pStyle w:val="Style1"/>
      <w:lvlText w:val="%1.0"/>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D64C06"/>
    <w:multiLevelType w:val="hybridMultilevel"/>
    <w:tmpl w:val="9BA81D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5FF6DEA"/>
    <w:multiLevelType w:val="multilevel"/>
    <w:tmpl w:val="F89AB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6B6452A"/>
    <w:multiLevelType w:val="hybridMultilevel"/>
    <w:tmpl w:val="4D2E4F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9E809E4"/>
    <w:multiLevelType w:val="hybridMultilevel"/>
    <w:tmpl w:val="2D56C99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Times New Roman"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Times New Roman"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Times New Roman" w:hint="default"/>
      </w:rPr>
    </w:lvl>
    <w:lvl w:ilvl="8" w:tplc="04090005">
      <w:start w:val="1"/>
      <w:numFmt w:val="bullet"/>
      <w:lvlText w:val=""/>
      <w:lvlJc w:val="left"/>
      <w:pPr>
        <w:ind w:left="7200" w:hanging="360"/>
      </w:pPr>
      <w:rPr>
        <w:rFonts w:ascii="Wingdings" w:hAnsi="Wingdings" w:hint="default"/>
      </w:rPr>
    </w:lvl>
  </w:abstractNum>
  <w:abstractNum w:abstractNumId="18">
    <w:nsid w:val="4C51149F"/>
    <w:multiLevelType w:val="hybridMultilevel"/>
    <w:tmpl w:val="CA40A028"/>
    <w:lvl w:ilvl="0" w:tplc="8B9AF9D4">
      <w:start w:val="1"/>
      <w:numFmt w:val="decimal"/>
      <w:lvlText w:val="(%1)"/>
      <w:lvlJc w:val="left"/>
      <w:pPr>
        <w:ind w:left="420" w:hanging="360"/>
      </w:pPr>
      <w:rPr>
        <w:b w:val="0"/>
      </w:r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19">
    <w:nsid w:val="4DFE5940"/>
    <w:multiLevelType w:val="hybridMultilevel"/>
    <w:tmpl w:val="122456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4E431E1C"/>
    <w:multiLevelType w:val="hybridMultilevel"/>
    <w:tmpl w:val="7214D6A6"/>
    <w:lvl w:ilvl="0" w:tplc="FDDC8220">
      <w:start w:val="1"/>
      <w:numFmt w:val="decimal"/>
      <w:lvlText w:val="(%1)"/>
      <w:lvlJc w:val="left"/>
      <w:pPr>
        <w:ind w:left="1110" w:hanging="360"/>
      </w:pPr>
      <w:rPr>
        <w:rFonts w:eastAsiaTheme="minorHAnsi" w:cstheme="minorBidi"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21">
    <w:nsid w:val="53E24262"/>
    <w:multiLevelType w:val="hybridMultilevel"/>
    <w:tmpl w:val="DC900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853E4B"/>
    <w:multiLevelType w:val="multilevel"/>
    <w:tmpl w:val="061EF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B117320"/>
    <w:multiLevelType w:val="hybridMultilevel"/>
    <w:tmpl w:val="9FB0BC8E"/>
    <w:lvl w:ilvl="0" w:tplc="02EA2554">
      <w:start w:val="1"/>
      <w:numFmt w:val="bullet"/>
      <w:pStyle w:val="ListBullet"/>
      <w:lvlText w:val=""/>
      <w:lvlJc w:val="left"/>
      <w:pPr>
        <w:tabs>
          <w:tab w:val="num" w:pos="981"/>
        </w:tabs>
        <w:ind w:left="981" w:hanging="261"/>
      </w:pPr>
      <w:rPr>
        <w:rFonts w:ascii="Symbol" w:hAnsi="Symbol" w:hint="default"/>
      </w:rPr>
    </w:lvl>
    <w:lvl w:ilvl="1" w:tplc="04090003" w:tentative="1">
      <w:start w:val="1"/>
      <w:numFmt w:val="bullet"/>
      <w:lvlText w:val="o"/>
      <w:lvlJc w:val="left"/>
      <w:pPr>
        <w:tabs>
          <w:tab w:val="num" w:pos="1899"/>
        </w:tabs>
        <w:ind w:left="1899" w:hanging="360"/>
      </w:pPr>
      <w:rPr>
        <w:rFonts w:ascii="Courier New" w:hAnsi="Courier New" w:cs="Courier New" w:hint="default"/>
      </w:rPr>
    </w:lvl>
    <w:lvl w:ilvl="2" w:tplc="04090005" w:tentative="1">
      <w:start w:val="1"/>
      <w:numFmt w:val="bullet"/>
      <w:lvlText w:val=""/>
      <w:lvlJc w:val="left"/>
      <w:pPr>
        <w:tabs>
          <w:tab w:val="num" w:pos="2619"/>
        </w:tabs>
        <w:ind w:left="2619" w:hanging="360"/>
      </w:pPr>
      <w:rPr>
        <w:rFonts w:ascii="Wingdings" w:hAnsi="Wingdings" w:hint="default"/>
      </w:rPr>
    </w:lvl>
    <w:lvl w:ilvl="3" w:tplc="04090001" w:tentative="1">
      <w:start w:val="1"/>
      <w:numFmt w:val="bullet"/>
      <w:lvlText w:val=""/>
      <w:lvlJc w:val="left"/>
      <w:pPr>
        <w:tabs>
          <w:tab w:val="num" w:pos="3339"/>
        </w:tabs>
        <w:ind w:left="3339" w:hanging="360"/>
      </w:pPr>
      <w:rPr>
        <w:rFonts w:ascii="Symbol" w:hAnsi="Symbol" w:hint="default"/>
      </w:rPr>
    </w:lvl>
    <w:lvl w:ilvl="4" w:tplc="04090003" w:tentative="1">
      <w:start w:val="1"/>
      <w:numFmt w:val="bullet"/>
      <w:lvlText w:val="o"/>
      <w:lvlJc w:val="left"/>
      <w:pPr>
        <w:tabs>
          <w:tab w:val="num" w:pos="4059"/>
        </w:tabs>
        <w:ind w:left="4059" w:hanging="360"/>
      </w:pPr>
      <w:rPr>
        <w:rFonts w:ascii="Courier New" w:hAnsi="Courier New" w:cs="Courier New" w:hint="default"/>
      </w:rPr>
    </w:lvl>
    <w:lvl w:ilvl="5" w:tplc="04090005" w:tentative="1">
      <w:start w:val="1"/>
      <w:numFmt w:val="bullet"/>
      <w:lvlText w:val=""/>
      <w:lvlJc w:val="left"/>
      <w:pPr>
        <w:tabs>
          <w:tab w:val="num" w:pos="4779"/>
        </w:tabs>
        <w:ind w:left="4779" w:hanging="360"/>
      </w:pPr>
      <w:rPr>
        <w:rFonts w:ascii="Wingdings" w:hAnsi="Wingdings" w:hint="default"/>
      </w:rPr>
    </w:lvl>
    <w:lvl w:ilvl="6" w:tplc="04090001" w:tentative="1">
      <w:start w:val="1"/>
      <w:numFmt w:val="bullet"/>
      <w:lvlText w:val=""/>
      <w:lvlJc w:val="left"/>
      <w:pPr>
        <w:tabs>
          <w:tab w:val="num" w:pos="5499"/>
        </w:tabs>
        <w:ind w:left="5499" w:hanging="360"/>
      </w:pPr>
      <w:rPr>
        <w:rFonts w:ascii="Symbol" w:hAnsi="Symbol" w:hint="default"/>
      </w:rPr>
    </w:lvl>
    <w:lvl w:ilvl="7" w:tplc="04090003" w:tentative="1">
      <w:start w:val="1"/>
      <w:numFmt w:val="bullet"/>
      <w:lvlText w:val="o"/>
      <w:lvlJc w:val="left"/>
      <w:pPr>
        <w:tabs>
          <w:tab w:val="num" w:pos="6219"/>
        </w:tabs>
        <w:ind w:left="6219" w:hanging="360"/>
      </w:pPr>
      <w:rPr>
        <w:rFonts w:ascii="Courier New" w:hAnsi="Courier New" w:cs="Courier New" w:hint="default"/>
      </w:rPr>
    </w:lvl>
    <w:lvl w:ilvl="8" w:tplc="04090005" w:tentative="1">
      <w:start w:val="1"/>
      <w:numFmt w:val="bullet"/>
      <w:lvlText w:val=""/>
      <w:lvlJc w:val="left"/>
      <w:pPr>
        <w:tabs>
          <w:tab w:val="num" w:pos="6939"/>
        </w:tabs>
        <w:ind w:left="6939" w:hanging="360"/>
      </w:pPr>
      <w:rPr>
        <w:rFonts w:ascii="Wingdings" w:hAnsi="Wingdings" w:hint="default"/>
      </w:rPr>
    </w:lvl>
  </w:abstractNum>
  <w:abstractNum w:abstractNumId="24">
    <w:nsid w:val="66FC2E48"/>
    <w:multiLevelType w:val="hybridMultilevel"/>
    <w:tmpl w:val="53544DCC"/>
    <w:lvl w:ilvl="0" w:tplc="08090001">
      <w:start w:val="1"/>
      <w:numFmt w:val="bullet"/>
      <w:lvlText w:val=""/>
      <w:lvlJc w:val="left"/>
      <w:pPr>
        <w:ind w:left="1077" w:hanging="360"/>
      </w:pPr>
      <w:rPr>
        <w:rFonts w:ascii="Symbol" w:hAnsi="Symbol" w:hint="default"/>
      </w:rPr>
    </w:lvl>
    <w:lvl w:ilvl="1" w:tplc="08090003">
      <w:start w:val="1"/>
      <w:numFmt w:val="bullet"/>
      <w:lvlText w:val="o"/>
      <w:lvlJc w:val="left"/>
      <w:pPr>
        <w:ind w:left="1797" w:hanging="360"/>
      </w:pPr>
      <w:rPr>
        <w:rFonts w:ascii="Courier New" w:hAnsi="Courier New" w:cs="Arial" w:hint="default"/>
      </w:rPr>
    </w:lvl>
    <w:lvl w:ilvl="2" w:tplc="08090005">
      <w:start w:val="1"/>
      <w:numFmt w:val="bullet"/>
      <w:lvlText w:val=""/>
      <w:lvlJc w:val="left"/>
      <w:pPr>
        <w:ind w:left="2517" w:hanging="360"/>
      </w:pPr>
      <w:rPr>
        <w:rFonts w:ascii="Wingdings" w:hAnsi="Wingdings" w:hint="default"/>
      </w:rPr>
    </w:lvl>
    <w:lvl w:ilvl="3" w:tplc="08090001">
      <w:start w:val="1"/>
      <w:numFmt w:val="bullet"/>
      <w:lvlText w:val=""/>
      <w:lvlJc w:val="left"/>
      <w:pPr>
        <w:ind w:left="3237" w:hanging="360"/>
      </w:pPr>
      <w:rPr>
        <w:rFonts w:ascii="Symbol" w:hAnsi="Symbol" w:hint="default"/>
      </w:rPr>
    </w:lvl>
    <w:lvl w:ilvl="4" w:tplc="08090003">
      <w:start w:val="1"/>
      <w:numFmt w:val="bullet"/>
      <w:lvlText w:val="o"/>
      <w:lvlJc w:val="left"/>
      <w:pPr>
        <w:ind w:left="3957" w:hanging="360"/>
      </w:pPr>
      <w:rPr>
        <w:rFonts w:ascii="Courier New" w:hAnsi="Courier New" w:cs="Arial" w:hint="default"/>
      </w:rPr>
    </w:lvl>
    <w:lvl w:ilvl="5" w:tplc="08090005">
      <w:start w:val="1"/>
      <w:numFmt w:val="bullet"/>
      <w:lvlText w:val=""/>
      <w:lvlJc w:val="left"/>
      <w:pPr>
        <w:ind w:left="4677" w:hanging="360"/>
      </w:pPr>
      <w:rPr>
        <w:rFonts w:ascii="Wingdings" w:hAnsi="Wingdings" w:hint="default"/>
      </w:rPr>
    </w:lvl>
    <w:lvl w:ilvl="6" w:tplc="08090001">
      <w:start w:val="1"/>
      <w:numFmt w:val="bullet"/>
      <w:lvlText w:val=""/>
      <w:lvlJc w:val="left"/>
      <w:pPr>
        <w:ind w:left="5397" w:hanging="360"/>
      </w:pPr>
      <w:rPr>
        <w:rFonts w:ascii="Symbol" w:hAnsi="Symbol" w:hint="default"/>
      </w:rPr>
    </w:lvl>
    <w:lvl w:ilvl="7" w:tplc="08090003">
      <w:start w:val="1"/>
      <w:numFmt w:val="bullet"/>
      <w:lvlText w:val="o"/>
      <w:lvlJc w:val="left"/>
      <w:pPr>
        <w:ind w:left="6117" w:hanging="360"/>
      </w:pPr>
      <w:rPr>
        <w:rFonts w:ascii="Courier New" w:hAnsi="Courier New" w:cs="Arial" w:hint="default"/>
      </w:rPr>
    </w:lvl>
    <w:lvl w:ilvl="8" w:tplc="08090005">
      <w:start w:val="1"/>
      <w:numFmt w:val="bullet"/>
      <w:lvlText w:val=""/>
      <w:lvlJc w:val="left"/>
      <w:pPr>
        <w:ind w:left="6837" w:hanging="360"/>
      </w:pPr>
      <w:rPr>
        <w:rFonts w:ascii="Wingdings" w:hAnsi="Wingdings" w:hint="default"/>
      </w:rPr>
    </w:lvl>
  </w:abstractNum>
  <w:abstractNum w:abstractNumId="25">
    <w:nsid w:val="6B2A055B"/>
    <w:multiLevelType w:val="hybridMultilevel"/>
    <w:tmpl w:val="27CAD4CE"/>
    <w:lvl w:ilvl="0" w:tplc="08090001">
      <w:start w:val="1"/>
      <w:numFmt w:val="bullet"/>
      <w:lvlText w:val=""/>
      <w:lvlJc w:val="left"/>
      <w:pPr>
        <w:ind w:left="834" w:hanging="360"/>
      </w:pPr>
      <w:rPr>
        <w:rFonts w:ascii="Symbol" w:hAnsi="Symbol" w:hint="default"/>
      </w:rPr>
    </w:lvl>
    <w:lvl w:ilvl="1" w:tplc="08090003">
      <w:start w:val="1"/>
      <w:numFmt w:val="bullet"/>
      <w:lvlText w:val="o"/>
      <w:lvlJc w:val="left"/>
      <w:pPr>
        <w:ind w:left="1554" w:hanging="360"/>
      </w:pPr>
      <w:rPr>
        <w:rFonts w:ascii="Courier New" w:hAnsi="Courier New" w:cs="Arial" w:hint="default"/>
      </w:rPr>
    </w:lvl>
    <w:lvl w:ilvl="2" w:tplc="08090005">
      <w:start w:val="1"/>
      <w:numFmt w:val="bullet"/>
      <w:lvlText w:val=""/>
      <w:lvlJc w:val="left"/>
      <w:pPr>
        <w:ind w:left="2274" w:hanging="360"/>
      </w:pPr>
      <w:rPr>
        <w:rFonts w:ascii="Wingdings" w:hAnsi="Wingdings" w:hint="default"/>
      </w:rPr>
    </w:lvl>
    <w:lvl w:ilvl="3" w:tplc="08090001">
      <w:start w:val="1"/>
      <w:numFmt w:val="bullet"/>
      <w:lvlText w:val=""/>
      <w:lvlJc w:val="left"/>
      <w:pPr>
        <w:ind w:left="2994" w:hanging="360"/>
      </w:pPr>
      <w:rPr>
        <w:rFonts w:ascii="Symbol" w:hAnsi="Symbol" w:hint="default"/>
      </w:rPr>
    </w:lvl>
    <w:lvl w:ilvl="4" w:tplc="08090003">
      <w:start w:val="1"/>
      <w:numFmt w:val="bullet"/>
      <w:lvlText w:val="o"/>
      <w:lvlJc w:val="left"/>
      <w:pPr>
        <w:ind w:left="3714" w:hanging="360"/>
      </w:pPr>
      <w:rPr>
        <w:rFonts w:ascii="Courier New" w:hAnsi="Courier New" w:cs="Arial" w:hint="default"/>
      </w:rPr>
    </w:lvl>
    <w:lvl w:ilvl="5" w:tplc="08090005">
      <w:start w:val="1"/>
      <w:numFmt w:val="bullet"/>
      <w:lvlText w:val=""/>
      <w:lvlJc w:val="left"/>
      <w:pPr>
        <w:ind w:left="4434" w:hanging="360"/>
      </w:pPr>
      <w:rPr>
        <w:rFonts w:ascii="Wingdings" w:hAnsi="Wingdings" w:hint="default"/>
      </w:rPr>
    </w:lvl>
    <w:lvl w:ilvl="6" w:tplc="08090001">
      <w:start w:val="1"/>
      <w:numFmt w:val="bullet"/>
      <w:lvlText w:val=""/>
      <w:lvlJc w:val="left"/>
      <w:pPr>
        <w:ind w:left="5154" w:hanging="360"/>
      </w:pPr>
      <w:rPr>
        <w:rFonts w:ascii="Symbol" w:hAnsi="Symbol" w:hint="default"/>
      </w:rPr>
    </w:lvl>
    <w:lvl w:ilvl="7" w:tplc="08090003">
      <w:start w:val="1"/>
      <w:numFmt w:val="bullet"/>
      <w:lvlText w:val="o"/>
      <w:lvlJc w:val="left"/>
      <w:pPr>
        <w:ind w:left="5874" w:hanging="360"/>
      </w:pPr>
      <w:rPr>
        <w:rFonts w:ascii="Courier New" w:hAnsi="Courier New" w:cs="Arial" w:hint="default"/>
      </w:rPr>
    </w:lvl>
    <w:lvl w:ilvl="8" w:tplc="08090005">
      <w:start w:val="1"/>
      <w:numFmt w:val="bullet"/>
      <w:lvlText w:val=""/>
      <w:lvlJc w:val="left"/>
      <w:pPr>
        <w:ind w:left="6594" w:hanging="360"/>
      </w:pPr>
      <w:rPr>
        <w:rFonts w:ascii="Wingdings" w:hAnsi="Wingdings" w:hint="default"/>
      </w:rPr>
    </w:lvl>
  </w:abstractNum>
  <w:abstractNum w:abstractNumId="26">
    <w:nsid w:val="73927B9F"/>
    <w:multiLevelType w:val="hybridMultilevel"/>
    <w:tmpl w:val="7D4A2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6237C9E"/>
    <w:multiLevelType w:val="hybridMultilevel"/>
    <w:tmpl w:val="D90C3A40"/>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nsid w:val="786A5803"/>
    <w:multiLevelType w:val="hybridMultilevel"/>
    <w:tmpl w:val="757A38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A334E81"/>
    <w:multiLevelType w:val="hybridMultilevel"/>
    <w:tmpl w:val="EEC824E6"/>
    <w:lvl w:ilvl="0" w:tplc="24424900">
      <w:start w:val="1"/>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F80284A"/>
    <w:multiLevelType w:val="hybridMultilevel"/>
    <w:tmpl w:val="A4781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12"/>
  </w:num>
  <w:num w:numId="3">
    <w:abstractNumId w:val="25"/>
  </w:num>
  <w:num w:numId="4">
    <w:abstractNumId w:val="15"/>
  </w:num>
  <w:num w:numId="5">
    <w:abstractNumId w:val="22"/>
  </w:num>
  <w:num w:numId="6">
    <w:abstractNumId w:val="21"/>
  </w:num>
  <w:num w:numId="7">
    <w:abstractNumId w:val="26"/>
  </w:num>
  <w:num w:numId="8">
    <w:abstractNumId w:val="24"/>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18"/>
  </w:num>
  <w:num w:numId="23">
    <w:abstractNumId w:val="14"/>
  </w:num>
  <w:num w:numId="24">
    <w:abstractNumId w:val="16"/>
  </w:num>
  <w:num w:numId="25">
    <w:abstractNumId w:val="28"/>
  </w:num>
  <w:num w:numId="26">
    <w:abstractNumId w:val="11"/>
  </w:num>
  <w:num w:numId="27">
    <w:abstractNumId w:val="29"/>
  </w:num>
  <w:num w:numId="28">
    <w:abstractNumId w:val="13"/>
  </w:num>
  <w:num w:numId="29">
    <w:abstractNumId w:val="23"/>
  </w:num>
  <w:num w:numId="30">
    <w:abstractNumId w:val="10"/>
  </w:num>
  <w:num w:numId="31">
    <w:abstractNumId w:val="27"/>
  </w:num>
  <w:num w:numId="32">
    <w:abstractNumId w:val="10"/>
    <w:lvlOverride w:ilvl="0">
      <w:startOverride w:val="2"/>
    </w:lvlOverride>
    <w:lvlOverride w:ilvl="1">
      <w:startOverride w:val="1"/>
    </w:lvlOverride>
    <w:lvlOverride w:ilvl="2">
      <w:startOverride w:val="1"/>
    </w:lvlOverride>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27553B"/>
    <w:rsid w:val="00014652"/>
    <w:rsid w:val="00076520"/>
    <w:rsid w:val="000A273D"/>
    <w:rsid w:val="000A59E1"/>
    <w:rsid w:val="000B2025"/>
    <w:rsid w:val="000B2EE1"/>
    <w:rsid w:val="000C40A5"/>
    <w:rsid w:val="000D10FA"/>
    <w:rsid w:val="000E42B6"/>
    <w:rsid w:val="00105F76"/>
    <w:rsid w:val="00124E7F"/>
    <w:rsid w:val="0014788A"/>
    <w:rsid w:val="001547E7"/>
    <w:rsid w:val="001716A0"/>
    <w:rsid w:val="001C57BE"/>
    <w:rsid w:val="001C6164"/>
    <w:rsid w:val="001D73AF"/>
    <w:rsid w:val="001E5B52"/>
    <w:rsid w:val="001E5D2F"/>
    <w:rsid w:val="00264310"/>
    <w:rsid w:val="0027553B"/>
    <w:rsid w:val="00282AFF"/>
    <w:rsid w:val="002875FF"/>
    <w:rsid w:val="002B5182"/>
    <w:rsid w:val="002B6BED"/>
    <w:rsid w:val="002E1AA4"/>
    <w:rsid w:val="002F48C3"/>
    <w:rsid w:val="003012EE"/>
    <w:rsid w:val="003216AE"/>
    <w:rsid w:val="00326538"/>
    <w:rsid w:val="003357F0"/>
    <w:rsid w:val="00337485"/>
    <w:rsid w:val="00354E10"/>
    <w:rsid w:val="00365C2C"/>
    <w:rsid w:val="003A4729"/>
    <w:rsid w:val="003B5053"/>
    <w:rsid w:val="004051E8"/>
    <w:rsid w:val="00405BB4"/>
    <w:rsid w:val="00406C43"/>
    <w:rsid w:val="004111CD"/>
    <w:rsid w:val="004268CA"/>
    <w:rsid w:val="00426AF7"/>
    <w:rsid w:val="00464AA2"/>
    <w:rsid w:val="00465BFD"/>
    <w:rsid w:val="004740CA"/>
    <w:rsid w:val="004A0ECC"/>
    <w:rsid w:val="004A23DF"/>
    <w:rsid w:val="004A30AA"/>
    <w:rsid w:val="004C4A26"/>
    <w:rsid w:val="004C57B7"/>
    <w:rsid w:val="00501468"/>
    <w:rsid w:val="0054394D"/>
    <w:rsid w:val="00547129"/>
    <w:rsid w:val="00585C51"/>
    <w:rsid w:val="005C09E4"/>
    <w:rsid w:val="005C2822"/>
    <w:rsid w:val="005E0B60"/>
    <w:rsid w:val="005E54DC"/>
    <w:rsid w:val="005F19A8"/>
    <w:rsid w:val="00605D8B"/>
    <w:rsid w:val="006248C6"/>
    <w:rsid w:val="00634835"/>
    <w:rsid w:val="00642A1F"/>
    <w:rsid w:val="00646304"/>
    <w:rsid w:val="00686619"/>
    <w:rsid w:val="00693E66"/>
    <w:rsid w:val="006A59FF"/>
    <w:rsid w:val="006A6A90"/>
    <w:rsid w:val="006B4814"/>
    <w:rsid w:val="006D56A1"/>
    <w:rsid w:val="006E40F9"/>
    <w:rsid w:val="006F22ED"/>
    <w:rsid w:val="00743538"/>
    <w:rsid w:val="00756E92"/>
    <w:rsid w:val="00760C06"/>
    <w:rsid w:val="00761B19"/>
    <w:rsid w:val="007734AE"/>
    <w:rsid w:val="007946B5"/>
    <w:rsid w:val="00797748"/>
    <w:rsid w:val="007A2C77"/>
    <w:rsid w:val="007A4719"/>
    <w:rsid w:val="007B2EEA"/>
    <w:rsid w:val="007B5C1F"/>
    <w:rsid w:val="007E7639"/>
    <w:rsid w:val="007F5B33"/>
    <w:rsid w:val="00841E05"/>
    <w:rsid w:val="008436B4"/>
    <w:rsid w:val="00844D86"/>
    <w:rsid w:val="0084536D"/>
    <w:rsid w:val="008A4FFF"/>
    <w:rsid w:val="008D3127"/>
    <w:rsid w:val="008D60AA"/>
    <w:rsid w:val="008F47CC"/>
    <w:rsid w:val="0090204F"/>
    <w:rsid w:val="009219D9"/>
    <w:rsid w:val="009D4D8A"/>
    <w:rsid w:val="009D5B16"/>
    <w:rsid w:val="009F48AD"/>
    <w:rsid w:val="00A05C11"/>
    <w:rsid w:val="00A1566E"/>
    <w:rsid w:val="00A26CF5"/>
    <w:rsid w:val="00A41555"/>
    <w:rsid w:val="00A6092A"/>
    <w:rsid w:val="00A64BB0"/>
    <w:rsid w:val="00A658F9"/>
    <w:rsid w:val="00A971F6"/>
    <w:rsid w:val="00AC4165"/>
    <w:rsid w:val="00AD3A6F"/>
    <w:rsid w:val="00AE6970"/>
    <w:rsid w:val="00AF3770"/>
    <w:rsid w:val="00B16C69"/>
    <w:rsid w:val="00B25049"/>
    <w:rsid w:val="00B44355"/>
    <w:rsid w:val="00B52E08"/>
    <w:rsid w:val="00B52E94"/>
    <w:rsid w:val="00B66AC4"/>
    <w:rsid w:val="00B833C5"/>
    <w:rsid w:val="00BB116D"/>
    <w:rsid w:val="00BB7032"/>
    <w:rsid w:val="00C20CC2"/>
    <w:rsid w:val="00C275D9"/>
    <w:rsid w:val="00C53A22"/>
    <w:rsid w:val="00C97C37"/>
    <w:rsid w:val="00CA4647"/>
    <w:rsid w:val="00CB0557"/>
    <w:rsid w:val="00CD715D"/>
    <w:rsid w:val="00CE2C99"/>
    <w:rsid w:val="00CE743F"/>
    <w:rsid w:val="00D179B7"/>
    <w:rsid w:val="00D20EBE"/>
    <w:rsid w:val="00D31CA8"/>
    <w:rsid w:val="00D35542"/>
    <w:rsid w:val="00D43786"/>
    <w:rsid w:val="00D622FB"/>
    <w:rsid w:val="00D62ECD"/>
    <w:rsid w:val="00D77837"/>
    <w:rsid w:val="00D92EF3"/>
    <w:rsid w:val="00DA4F96"/>
    <w:rsid w:val="00DF7D3A"/>
    <w:rsid w:val="00E03A58"/>
    <w:rsid w:val="00E37C47"/>
    <w:rsid w:val="00E504C5"/>
    <w:rsid w:val="00E87726"/>
    <w:rsid w:val="00E93DFA"/>
    <w:rsid w:val="00E97F6F"/>
    <w:rsid w:val="00EC73DA"/>
    <w:rsid w:val="00EE0254"/>
    <w:rsid w:val="00EF0986"/>
    <w:rsid w:val="00F2109D"/>
    <w:rsid w:val="00F426C9"/>
    <w:rsid w:val="00F448BC"/>
    <w:rsid w:val="00F47E48"/>
    <w:rsid w:val="00F53562"/>
    <w:rsid w:val="00F609E1"/>
    <w:rsid w:val="00F67613"/>
    <w:rsid w:val="00F74EBC"/>
    <w:rsid w:val="00FA74B4"/>
    <w:rsid w:val="00FB380A"/>
    <w:rsid w:val="00FB6F00"/>
    <w:rsid w:val="00FB6F21"/>
    <w:rsid w:val="00FC4E47"/>
    <w:rsid w:val="00FC6E33"/>
    <w:rsid w:val="00FF3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table of figures" w:uiPriority="0"/>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Bullet 2" w:uiPriority="0"/>
    <w:lsdException w:name="List Bullet 3" w:uiPriority="0"/>
    <w:lsdException w:name="List Number 2" w:uiPriority="0"/>
    <w:lsdException w:name="Title" w:semiHidden="0" w:uiPriority="0" w:unhideWhenUsed="0" w:qFormat="1"/>
    <w:lsdException w:name="Default Paragraph Font" w:uiPriority="1"/>
    <w:lsdException w:name="Subtitle" w:semiHidden="0" w:uiPriority="0" w:unhideWhenUsed="0" w:qFormat="1"/>
    <w:lsdException w:name="Hyperlink" w:qFormat="1"/>
    <w:lsdException w:name="Strong" w:semiHidden="0" w:uiPriority="22" w:unhideWhenUsed="0"/>
    <w:lsdException w:name="Emphasis" w:semiHidden="0" w:uiPriority="20" w:unhideWhenUsed="0"/>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1566E"/>
    <w:pPr>
      <w:spacing w:after="100" w:afterAutospacing="1" w:line="480" w:lineRule="auto"/>
    </w:pPr>
    <w:rPr>
      <w:rFonts w:ascii="Arial" w:eastAsia="Times New Roman" w:hAnsi="Arial" w:cs="Times New Roman"/>
      <w:szCs w:val="20"/>
      <w:lang w:val="en-CA"/>
    </w:rPr>
  </w:style>
  <w:style w:type="paragraph" w:styleId="Heading1">
    <w:name w:val="heading 1"/>
    <w:basedOn w:val="Title"/>
    <w:next w:val="Normal"/>
    <w:link w:val="Heading1Char"/>
    <w:qFormat/>
    <w:rsid w:val="00A1566E"/>
    <w:pPr>
      <w:keepLines w:val="0"/>
      <w:pBdr>
        <w:top w:val="none" w:sz="0" w:space="0" w:color="auto"/>
      </w:pBdr>
      <w:tabs>
        <w:tab w:val="left" w:pos="720"/>
      </w:tabs>
      <w:spacing w:after="100" w:line="480" w:lineRule="auto"/>
      <w:jc w:val="left"/>
      <w:outlineLvl w:val="0"/>
    </w:pPr>
    <w:rPr>
      <w:rFonts w:cs="Arial"/>
      <w:bCs/>
      <w:kern w:val="32"/>
      <w:sz w:val="22"/>
      <w:szCs w:val="22"/>
      <w:lang w:val="en-US"/>
    </w:rPr>
  </w:style>
  <w:style w:type="paragraph" w:styleId="Heading2">
    <w:name w:val="heading 2"/>
    <w:basedOn w:val="Normal"/>
    <w:next w:val="Normal"/>
    <w:link w:val="Heading2Char"/>
    <w:uiPriority w:val="9"/>
    <w:qFormat/>
    <w:rsid w:val="00A1566E"/>
    <w:pPr>
      <w:keepNext/>
      <w:outlineLvl w:val="1"/>
    </w:pPr>
    <w:rPr>
      <w:rFonts w:cs="Arial"/>
      <w:bCs/>
      <w:i/>
      <w:iCs/>
      <w:szCs w:val="22"/>
      <w:lang w:val="en-US"/>
    </w:rPr>
  </w:style>
  <w:style w:type="paragraph" w:styleId="Heading3">
    <w:name w:val="heading 3"/>
    <w:basedOn w:val="Normal"/>
    <w:next w:val="Normal"/>
    <w:link w:val="Heading3Char"/>
    <w:uiPriority w:val="9"/>
    <w:qFormat/>
    <w:rsid w:val="00A1566E"/>
    <w:pPr>
      <w:keepNext/>
      <w:keepLines/>
      <w:spacing w:before="100" w:beforeAutospacing="1"/>
      <w:ind w:left="720" w:hanging="720"/>
      <w:outlineLvl w:val="2"/>
    </w:pPr>
    <w:rPr>
      <w:b/>
    </w:rPr>
  </w:style>
  <w:style w:type="paragraph" w:styleId="Heading4">
    <w:name w:val="heading 4"/>
    <w:basedOn w:val="Normal"/>
    <w:next w:val="Normal"/>
    <w:link w:val="Heading4Char"/>
    <w:uiPriority w:val="9"/>
    <w:qFormat/>
    <w:rsid w:val="00A1566E"/>
    <w:pPr>
      <w:keepNext/>
      <w:keepLines/>
      <w:spacing w:before="100" w:beforeAutospacing="1"/>
      <w:ind w:left="1440" w:hanging="1440"/>
      <w:outlineLvl w:val="3"/>
    </w:pPr>
    <w:rPr>
      <w:i/>
    </w:rPr>
  </w:style>
  <w:style w:type="paragraph" w:styleId="Heading5">
    <w:name w:val="heading 5"/>
    <w:basedOn w:val="Normal"/>
    <w:next w:val="Normal"/>
    <w:link w:val="Heading5Char"/>
    <w:qFormat/>
    <w:rsid w:val="00A1566E"/>
    <w:pPr>
      <w:keepNext/>
      <w:spacing w:before="100" w:beforeAutospacing="1"/>
      <w:ind w:left="1440" w:hanging="1440"/>
      <w:outlineLvl w:val="4"/>
    </w:pPr>
  </w:style>
  <w:style w:type="paragraph" w:styleId="Heading6">
    <w:name w:val="heading 6"/>
    <w:basedOn w:val="Normal"/>
    <w:next w:val="Normal"/>
    <w:link w:val="Heading6Char"/>
    <w:qFormat/>
    <w:rsid w:val="00A1566E"/>
    <w:pPr>
      <w:keepNext/>
      <w:spacing w:line="240" w:lineRule="auto"/>
      <w:ind w:left="1440" w:hanging="1440"/>
      <w:outlineLvl w:val="5"/>
    </w:pPr>
    <w:rPr>
      <w:bCs/>
    </w:rPr>
  </w:style>
  <w:style w:type="paragraph" w:styleId="Heading7">
    <w:name w:val="heading 7"/>
    <w:basedOn w:val="Normal"/>
    <w:next w:val="Normal"/>
    <w:link w:val="Heading7Char"/>
    <w:qFormat/>
    <w:rsid w:val="00A1566E"/>
    <w:pPr>
      <w:keepNext/>
      <w:spacing w:line="240" w:lineRule="auto"/>
      <w:ind w:left="1440" w:hanging="1440"/>
      <w:outlineLvl w:val="6"/>
    </w:pPr>
    <w:rPr>
      <w:bCs/>
    </w:rPr>
  </w:style>
  <w:style w:type="paragraph" w:styleId="Heading8">
    <w:name w:val="heading 8"/>
    <w:basedOn w:val="Normal"/>
    <w:next w:val="Normal"/>
    <w:link w:val="Heading8Char"/>
    <w:qFormat/>
    <w:rsid w:val="00A1566E"/>
    <w:pPr>
      <w:keepNext/>
      <w:tabs>
        <w:tab w:val="num" w:pos="1800"/>
      </w:tabs>
      <w:spacing w:line="240" w:lineRule="auto"/>
      <w:ind w:left="1440" w:hanging="1440"/>
      <w:outlineLvl w:val="7"/>
    </w:pPr>
    <w:rPr>
      <w:iCs/>
      <w:szCs w:val="24"/>
    </w:rPr>
  </w:style>
  <w:style w:type="paragraph" w:styleId="Heading9">
    <w:name w:val="heading 9"/>
    <w:basedOn w:val="Normal"/>
    <w:next w:val="Normal"/>
    <w:link w:val="Heading9Char"/>
    <w:qFormat/>
    <w:rsid w:val="00A1566E"/>
    <w:pPr>
      <w:tabs>
        <w:tab w:val="num" w:pos="1944"/>
      </w:tabs>
      <w:spacing w:before="240" w:after="60"/>
      <w:ind w:left="1944" w:hanging="1584"/>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566E"/>
    <w:rPr>
      <w:rFonts w:ascii="Arial" w:eastAsia="Times New Roman" w:hAnsi="Arial" w:cs="Arial"/>
      <w:b/>
      <w:bCs/>
      <w:kern w:val="32"/>
    </w:rPr>
  </w:style>
  <w:style w:type="character" w:customStyle="1" w:styleId="Heading2Char">
    <w:name w:val="Heading 2 Char"/>
    <w:basedOn w:val="DefaultParagraphFont"/>
    <w:link w:val="Heading2"/>
    <w:uiPriority w:val="9"/>
    <w:rsid w:val="00A1566E"/>
    <w:rPr>
      <w:rFonts w:ascii="Arial" w:eastAsia="Times New Roman" w:hAnsi="Arial" w:cs="Arial"/>
      <w:bCs/>
      <w:i/>
      <w:iCs/>
    </w:rPr>
  </w:style>
  <w:style w:type="character" w:customStyle="1" w:styleId="Heading3Char">
    <w:name w:val="Heading 3 Char"/>
    <w:basedOn w:val="DefaultParagraphFont"/>
    <w:link w:val="Heading3"/>
    <w:uiPriority w:val="9"/>
    <w:rsid w:val="00A1566E"/>
    <w:rPr>
      <w:rFonts w:ascii="Arial" w:eastAsia="Times New Roman" w:hAnsi="Arial" w:cs="Times New Roman"/>
      <w:b/>
      <w:szCs w:val="20"/>
      <w:lang w:val="en-CA"/>
    </w:rPr>
  </w:style>
  <w:style w:type="character" w:customStyle="1" w:styleId="Heading4Char">
    <w:name w:val="Heading 4 Char"/>
    <w:basedOn w:val="DefaultParagraphFont"/>
    <w:link w:val="Heading4"/>
    <w:uiPriority w:val="9"/>
    <w:rsid w:val="00A1566E"/>
    <w:rPr>
      <w:rFonts w:ascii="Arial" w:eastAsia="Times New Roman" w:hAnsi="Arial" w:cs="Times New Roman"/>
      <w:i/>
      <w:szCs w:val="20"/>
      <w:lang w:val="en-CA"/>
    </w:rPr>
  </w:style>
  <w:style w:type="character" w:customStyle="1" w:styleId="Heading5Char">
    <w:name w:val="Heading 5 Char"/>
    <w:basedOn w:val="DefaultParagraphFont"/>
    <w:link w:val="Heading5"/>
    <w:rsid w:val="00A1566E"/>
    <w:rPr>
      <w:rFonts w:ascii="Arial" w:eastAsia="Times New Roman" w:hAnsi="Arial" w:cs="Times New Roman"/>
      <w:szCs w:val="20"/>
      <w:lang w:val="en-CA"/>
    </w:rPr>
  </w:style>
  <w:style w:type="character" w:customStyle="1" w:styleId="Heading6Char">
    <w:name w:val="Heading 6 Char"/>
    <w:basedOn w:val="DefaultParagraphFont"/>
    <w:link w:val="Heading6"/>
    <w:rsid w:val="00A1566E"/>
    <w:rPr>
      <w:rFonts w:ascii="Arial" w:eastAsia="Times New Roman" w:hAnsi="Arial" w:cs="Times New Roman"/>
      <w:bCs/>
      <w:szCs w:val="20"/>
      <w:lang w:val="en-CA"/>
    </w:rPr>
  </w:style>
  <w:style w:type="character" w:customStyle="1" w:styleId="Heading7Char">
    <w:name w:val="Heading 7 Char"/>
    <w:basedOn w:val="DefaultParagraphFont"/>
    <w:link w:val="Heading7"/>
    <w:rsid w:val="00A1566E"/>
    <w:rPr>
      <w:rFonts w:ascii="Arial" w:eastAsia="Times New Roman" w:hAnsi="Arial" w:cs="Times New Roman"/>
      <w:bCs/>
      <w:szCs w:val="20"/>
      <w:lang w:val="en-CA"/>
    </w:rPr>
  </w:style>
  <w:style w:type="character" w:customStyle="1" w:styleId="Heading8Char">
    <w:name w:val="Heading 8 Char"/>
    <w:basedOn w:val="DefaultParagraphFont"/>
    <w:link w:val="Heading8"/>
    <w:rsid w:val="00A1566E"/>
    <w:rPr>
      <w:rFonts w:ascii="Arial" w:eastAsia="Times New Roman" w:hAnsi="Arial" w:cs="Times New Roman"/>
      <w:iCs/>
      <w:szCs w:val="24"/>
      <w:lang w:val="en-CA"/>
    </w:rPr>
  </w:style>
  <w:style w:type="character" w:customStyle="1" w:styleId="Heading9Char">
    <w:name w:val="Heading 9 Char"/>
    <w:basedOn w:val="DefaultParagraphFont"/>
    <w:link w:val="Heading9"/>
    <w:rsid w:val="00A1566E"/>
    <w:rPr>
      <w:rFonts w:ascii="Arial" w:eastAsia="Times New Roman" w:hAnsi="Arial" w:cs="Arial"/>
      <w:lang w:val="en-CA"/>
    </w:rPr>
  </w:style>
  <w:style w:type="paragraph" w:styleId="Footer">
    <w:name w:val="footer"/>
    <w:aliases w:val="footnote"/>
    <w:basedOn w:val="Normal"/>
    <w:link w:val="FooterChar"/>
    <w:uiPriority w:val="99"/>
    <w:rsid w:val="00A1566E"/>
    <w:pPr>
      <w:spacing w:after="0" w:line="240" w:lineRule="auto"/>
    </w:pPr>
    <w:rPr>
      <w:sz w:val="18"/>
    </w:rPr>
  </w:style>
  <w:style w:type="character" w:customStyle="1" w:styleId="FooterChar">
    <w:name w:val="Footer Char"/>
    <w:aliases w:val="footnote Char"/>
    <w:basedOn w:val="DefaultParagraphFont"/>
    <w:link w:val="Footer"/>
    <w:uiPriority w:val="99"/>
    <w:rsid w:val="00A1566E"/>
    <w:rPr>
      <w:rFonts w:ascii="Arial" w:eastAsia="Times New Roman" w:hAnsi="Arial" w:cs="Times New Roman"/>
      <w:sz w:val="18"/>
      <w:szCs w:val="20"/>
      <w:lang w:val="en-CA"/>
    </w:rPr>
  </w:style>
  <w:style w:type="paragraph" w:styleId="ListParagraph">
    <w:name w:val="List Paragraph"/>
    <w:basedOn w:val="Normal"/>
    <w:uiPriority w:val="34"/>
    <w:qFormat/>
    <w:rsid w:val="00A1566E"/>
    <w:pPr>
      <w:ind w:left="720"/>
      <w:contextualSpacing/>
    </w:pPr>
  </w:style>
  <w:style w:type="paragraph" w:customStyle="1" w:styleId="BodyText1">
    <w:name w:val="Body Text1"/>
    <w:basedOn w:val="Normal"/>
    <w:next w:val="Normal"/>
    <w:rsid w:val="00D20EBE"/>
    <w:pPr>
      <w:jc w:val="both"/>
    </w:pPr>
    <w:rPr>
      <w:bCs/>
      <w:lang w:val="en-GB"/>
    </w:rPr>
  </w:style>
  <w:style w:type="character" w:customStyle="1" w:styleId="BodytextChar1">
    <w:name w:val="Body text Char1"/>
    <w:basedOn w:val="DefaultParagraphFont"/>
    <w:link w:val="BodyText10"/>
    <w:rsid w:val="0027553B"/>
    <w:rPr>
      <w:bCs/>
      <w:sz w:val="20"/>
      <w:lang w:val="en-GB"/>
    </w:rPr>
  </w:style>
  <w:style w:type="paragraph" w:customStyle="1" w:styleId="TableTitle">
    <w:name w:val="Table Title"/>
    <w:basedOn w:val="BlockText"/>
    <w:next w:val="BlockText"/>
    <w:rsid w:val="0027553B"/>
    <w:pPr>
      <w:pBdr>
        <w:top w:val="none" w:sz="0" w:space="0" w:color="auto"/>
        <w:left w:val="none" w:sz="0" w:space="0" w:color="auto"/>
        <w:bottom w:val="none" w:sz="0" w:space="0" w:color="auto"/>
        <w:right w:val="none" w:sz="0" w:space="0" w:color="auto"/>
      </w:pBdr>
      <w:tabs>
        <w:tab w:val="left" w:pos="90"/>
        <w:tab w:val="left" w:pos="270"/>
        <w:tab w:val="left" w:pos="810"/>
        <w:tab w:val="center" w:pos="6840"/>
      </w:tabs>
      <w:spacing w:before="240" w:after="120"/>
      <w:ind w:left="274" w:right="0" w:hanging="274"/>
    </w:pPr>
    <w:rPr>
      <w:rFonts w:eastAsia="Times New Roman"/>
      <w:b/>
      <w:i w:val="0"/>
      <w:iCs w:val="0"/>
      <w:color w:val="auto"/>
      <w:sz w:val="24"/>
    </w:rPr>
  </w:style>
  <w:style w:type="paragraph" w:styleId="BlockText">
    <w:name w:val="Block Text"/>
    <w:basedOn w:val="Normal"/>
    <w:uiPriority w:val="99"/>
    <w:semiHidden/>
    <w:unhideWhenUsed/>
    <w:rsid w:val="0027553B"/>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customStyle="1" w:styleId="TableText">
    <w:name w:val="Table Text"/>
    <w:basedOn w:val="Normal"/>
    <w:link w:val="TableTextChar"/>
    <w:rsid w:val="00A1566E"/>
    <w:pPr>
      <w:spacing w:after="0" w:line="240" w:lineRule="auto"/>
    </w:pPr>
    <w:rPr>
      <w:sz w:val="18"/>
    </w:rPr>
  </w:style>
  <w:style w:type="paragraph" w:styleId="BodyText">
    <w:name w:val="Body Text"/>
    <w:basedOn w:val="Normal"/>
    <w:link w:val="BodyTextChar"/>
    <w:uiPriority w:val="99"/>
    <w:rsid w:val="00A1566E"/>
    <w:pPr>
      <w:spacing w:line="240" w:lineRule="atLeast"/>
      <w:jc w:val="both"/>
    </w:pPr>
  </w:style>
  <w:style w:type="character" w:customStyle="1" w:styleId="BodyTextChar">
    <w:name w:val="Body Text Char"/>
    <w:basedOn w:val="DefaultParagraphFont"/>
    <w:link w:val="BodyText"/>
    <w:uiPriority w:val="99"/>
    <w:rsid w:val="00A1566E"/>
    <w:rPr>
      <w:rFonts w:ascii="Arial" w:eastAsia="Times New Roman" w:hAnsi="Arial" w:cs="Times New Roman"/>
      <w:szCs w:val="20"/>
      <w:lang w:val="en-CA"/>
    </w:rPr>
  </w:style>
  <w:style w:type="paragraph" w:customStyle="1" w:styleId="115space-Bodytext">
    <w:name w:val="1.15 space - Body text"/>
    <w:basedOn w:val="Normal"/>
    <w:next w:val="Normal"/>
    <w:link w:val="115space-BodytextChar"/>
    <w:rsid w:val="0027553B"/>
    <w:pPr>
      <w:spacing w:line="276" w:lineRule="auto"/>
      <w:jc w:val="both"/>
    </w:pPr>
    <w:rPr>
      <w:bCs/>
      <w:sz w:val="24"/>
      <w:lang w:val="en-GB"/>
    </w:rPr>
  </w:style>
  <w:style w:type="character" w:customStyle="1" w:styleId="115space-BodytextChar">
    <w:name w:val="1.15 space - Body text Char"/>
    <w:basedOn w:val="DefaultParagraphFont"/>
    <w:link w:val="115space-Bodytext"/>
    <w:rsid w:val="0027553B"/>
    <w:rPr>
      <w:bCs/>
      <w:sz w:val="24"/>
      <w:lang w:val="en-GB"/>
    </w:rPr>
  </w:style>
  <w:style w:type="paragraph" w:customStyle="1" w:styleId="BodyText3A-singlespace">
    <w:name w:val="Body Text 3A - single space"/>
    <w:basedOn w:val="BodyText"/>
    <w:link w:val="BodyText3A-singlespaceChar"/>
    <w:rsid w:val="0027553B"/>
    <w:pPr>
      <w:keepLines/>
      <w:widowControl w:val="0"/>
      <w:spacing w:after="0" w:line="240" w:lineRule="auto"/>
    </w:pPr>
    <w:rPr>
      <w:spacing w:val="-2"/>
      <w:szCs w:val="24"/>
    </w:rPr>
  </w:style>
  <w:style w:type="character" w:customStyle="1" w:styleId="BodyText3A-singlespaceChar">
    <w:name w:val="Body Text 3A - single space Char"/>
    <w:basedOn w:val="DefaultParagraphFont"/>
    <w:link w:val="BodyText3A-singlespace"/>
    <w:rsid w:val="0027553B"/>
    <w:rPr>
      <w:spacing w:val="-2"/>
      <w:sz w:val="20"/>
      <w:szCs w:val="24"/>
    </w:rPr>
  </w:style>
  <w:style w:type="paragraph" w:styleId="Caption">
    <w:name w:val="caption"/>
    <w:basedOn w:val="Normal"/>
    <w:next w:val="Normal"/>
    <w:qFormat/>
    <w:rsid w:val="00A1566E"/>
    <w:pPr>
      <w:keepNext/>
      <w:spacing w:line="240" w:lineRule="auto"/>
      <w:ind w:left="1440" w:hanging="1440"/>
    </w:pPr>
    <w:rPr>
      <w:b/>
      <w:bCs/>
    </w:rPr>
  </w:style>
  <w:style w:type="paragraph" w:styleId="NoSpacing">
    <w:name w:val="No Spacing"/>
    <w:aliases w:val="Indent"/>
    <w:uiPriority w:val="1"/>
    <w:qFormat/>
    <w:rsid w:val="00A1566E"/>
    <w:pPr>
      <w:spacing w:after="0" w:line="240" w:lineRule="auto"/>
    </w:pPr>
    <w:rPr>
      <w:rFonts w:eastAsiaTheme="minorEastAsia"/>
      <w:lang w:val="en-GB" w:eastAsia="en-GB"/>
    </w:rPr>
  </w:style>
  <w:style w:type="paragraph" w:customStyle="1" w:styleId="BodyText10">
    <w:name w:val="Body Text1"/>
    <w:basedOn w:val="Normal"/>
    <w:next w:val="Normal"/>
    <w:link w:val="BodytextChar1"/>
    <w:rsid w:val="0027553B"/>
    <w:pPr>
      <w:jc w:val="both"/>
    </w:pPr>
    <w:rPr>
      <w:bCs/>
      <w:lang w:val="en-GB"/>
    </w:rPr>
  </w:style>
  <w:style w:type="paragraph" w:styleId="BalloonText">
    <w:name w:val="Balloon Text"/>
    <w:basedOn w:val="Normal"/>
    <w:link w:val="BalloonTextChar"/>
    <w:rsid w:val="00A1566E"/>
    <w:rPr>
      <w:rFonts w:ascii="Tahoma" w:hAnsi="Tahoma" w:cs="Tahoma"/>
      <w:sz w:val="16"/>
      <w:szCs w:val="16"/>
    </w:rPr>
  </w:style>
  <w:style w:type="character" w:customStyle="1" w:styleId="BalloonTextChar">
    <w:name w:val="Balloon Text Char"/>
    <w:basedOn w:val="DefaultParagraphFont"/>
    <w:link w:val="BalloonText"/>
    <w:rsid w:val="00A1566E"/>
    <w:rPr>
      <w:rFonts w:ascii="Tahoma" w:eastAsia="Times New Roman" w:hAnsi="Tahoma" w:cs="Tahoma"/>
      <w:sz w:val="16"/>
      <w:szCs w:val="16"/>
      <w:lang w:val="en-CA"/>
    </w:rPr>
  </w:style>
  <w:style w:type="table" w:styleId="TableGrid">
    <w:name w:val="Table Grid"/>
    <w:basedOn w:val="TableNormal"/>
    <w:uiPriority w:val="59"/>
    <w:rsid w:val="00A1566E"/>
    <w:pPr>
      <w:spacing w:after="0" w:line="240" w:lineRule="auto"/>
    </w:pPr>
    <w:rPr>
      <w:rFonts w:ascii="Times New Roman" w:eastAsia="Times New Roman" w:hAnsi="Times New Roman" w:cs="Times New Roman"/>
      <w:sz w:val="20"/>
      <w:szCs w:val="20"/>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1566E"/>
    <w:pPr>
      <w:tabs>
        <w:tab w:val="right" w:pos="8640"/>
      </w:tabs>
      <w:spacing w:after="0" w:line="240" w:lineRule="auto"/>
    </w:pPr>
  </w:style>
  <w:style w:type="character" w:customStyle="1" w:styleId="HeaderChar">
    <w:name w:val="Header Char"/>
    <w:basedOn w:val="DefaultParagraphFont"/>
    <w:link w:val="Header"/>
    <w:rsid w:val="00A1566E"/>
    <w:rPr>
      <w:rFonts w:ascii="Arial" w:eastAsia="Times New Roman" w:hAnsi="Arial" w:cs="Times New Roman"/>
      <w:szCs w:val="20"/>
      <w:lang w:val="en-CA"/>
    </w:rPr>
  </w:style>
  <w:style w:type="character" w:customStyle="1" w:styleId="apple-converted-space">
    <w:name w:val="apple-converted-space"/>
    <w:basedOn w:val="DefaultParagraphFont"/>
    <w:rsid w:val="00A1566E"/>
  </w:style>
  <w:style w:type="table" w:customStyle="1" w:styleId="TableGrid1">
    <w:name w:val="Table Grid1"/>
    <w:basedOn w:val="TableNormal"/>
    <w:next w:val="TableGrid"/>
    <w:uiPriority w:val="59"/>
    <w:rsid w:val="00A1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1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1566E"/>
    <w:pPr>
      <w:spacing w:after="0" w:afterAutospacing="0" w:line="240" w:lineRule="auto"/>
    </w:pPr>
    <w:rPr>
      <w:rFonts w:ascii="Times New Roman" w:hAnsi="Times New Roman"/>
      <w:sz w:val="24"/>
      <w:szCs w:val="24"/>
      <w:lang w:val="en-US"/>
    </w:rPr>
  </w:style>
  <w:style w:type="character" w:styleId="CommentReference">
    <w:name w:val="annotation reference"/>
    <w:basedOn w:val="DefaultParagraphFont"/>
    <w:uiPriority w:val="99"/>
    <w:rsid w:val="00A1566E"/>
    <w:rPr>
      <w:sz w:val="16"/>
      <w:szCs w:val="16"/>
    </w:rPr>
  </w:style>
  <w:style w:type="paragraph" w:styleId="CommentText">
    <w:name w:val="annotation text"/>
    <w:basedOn w:val="Normal"/>
    <w:link w:val="CommentTextChar"/>
    <w:uiPriority w:val="99"/>
    <w:rsid w:val="00A1566E"/>
    <w:rPr>
      <w:sz w:val="20"/>
    </w:rPr>
  </w:style>
  <w:style w:type="character" w:customStyle="1" w:styleId="CommentTextChar">
    <w:name w:val="Comment Text Char"/>
    <w:basedOn w:val="DefaultParagraphFont"/>
    <w:link w:val="CommentText"/>
    <w:uiPriority w:val="99"/>
    <w:rsid w:val="00A1566E"/>
    <w:rPr>
      <w:rFonts w:ascii="Arial" w:eastAsia="Times New Roman" w:hAnsi="Arial" w:cs="Times New Roman"/>
      <w:sz w:val="20"/>
      <w:szCs w:val="20"/>
      <w:lang w:val="en-CA"/>
    </w:rPr>
  </w:style>
  <w:style w:type="paragraph" w:styleId="CommentSubject">
    <w:name w:val="annotation subject"/>
    <w:basedOn w:val="CommentText"/>
    <w:next w:val="CommentText"/>
    <w:link w:val="CommentSubjectChar"/>
    <w:uiPriority w:val="99"/>
    <w:semiHidden/>
    <w:rsid w:val="00A1566E"/>
    <w:rPr>
      <w:b/>
      <w:bCs/>
    </w:rPr>
  </w:style>
  <w:style w:type="character" w:customStyle="1" w:styleId="CommentSubjectChar">
    <w:name w:val="Comment Subject Char"/>
    <w:basedOn w:val="CommentTextChar"/>
    <w:link w:val="CommentSubject"/>
    <w:uiPriority w:val="99"/>
    <w:semiHidden/>
    <w:rsid w:val="00A1566E"/>
    <w:rPr>
      <w:rFonts w:ascii="Arial" w:eastAsia="Times New Roman" w:hAnsi="Arial" w:cs="Times New Roman"/>
      <w:b/>
      <w:bCs/>
      <w:sz w:val="20"/>
      <w:szCs w:val="20"/>
      <w:lang w:val="en-CA"/>
    </w:rPr>
  </w:style>
  <w:style w:type="character" w:styleId="Hyperlink">
    <w:name w:val="Hyperlink"/>
    <w:basedOn w:val="DefaultParagraphFont"/>
    <w:uiPriority w:val="99"/>
    <w:qFormat/>
    <w:rsid w:val="00A1566E"/>
    <w:rPr>
      <w:color w:val="0000FF"/>
      <w:u w:val="single"/>
    </w:rPr>
  </w:style>
  <w:style w:type="paragraph" w:customStyle="1" w:styleId="Default">
    <w:name w:val="Default"/>
    <w:rsid w:val="00A1566E"/>
    <w:pPr>
      <w:autoSpaceDE w:val="0"/>
      <w:autoSpaceDN w:val="0"/>
      <w:adjustRightInd w:val="0"/>
      <w:spacing w:after="0" w:line="240" w:lineRule="auto"/>
    </w:pPr>
    <w:rPr>
      <w:rFonts w:ascii="Calibri" w:eastAsiaTheme="minorEastAsia" w:hAnsi="Calibri" w:cs="Calibri"/>
      <w:color w:val="000000"/>
      <w:sz w:val="24"/>
      <w:szCs w:val="24"/>
      <w:lang w:val="en-GB" w:eastAsia="en-GB"/>
    </w:rPr>
  </w:style>
  <w:style w:type="table" w:customStyle="1" w:styleId="TableGrid3">
    <w:name w:val="Table Grid3"/>
    <w:basedOn w:val="TableNormal"/>
    <w:next w:val="TableGrid"/>
    <w:uiPriority w:val="59"/>
    <w:rsid w:val="00A1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A1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A1566E"/>
  </w:style>
  <w:style w:type="table" w:customStyle="1" w:styleId="TableGrid4">
    <w:name w:val="Table Grid4"/>
    <w:basedOn w:val="TableNormal"/>
    <w:next w:val="TableGrid"/>
    <w:uiPriority w:val="59"/>
    <w:rsid w:val="00A1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A1566E"/>
  </w:style>
  <w:style w:type="table" w:customStyle="1" w:styleId="TableGrid5">
    <w:name w:val="Table Grid5"/>
    <w:basedOn w:val="TableNormal"/>
    <w:next w:val="TableGrid"/>
    <w:uiPriority w:val="59"/>
    <w:rsid w:val="00A1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A1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A1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A1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A1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A1566E"/>
  </w:style>
  <w:style w:type="table" w:customStyle="1" w:styleId="TableGrid41">
    <w:name w:val="Table Grid41"/>
    <w:basedOn w:val="TableNormal"/>
    <w:next w:val="TableGrid"/>
    <w:uiPriority w:val="59"/>
    <w:rsid w:val="00A1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A1566E"/>
  </w:style>
  <w:style w:type="character" w:styleId="FollowedHyperlink">
    <w:name w:val="FollowedHyperlink"/>
    <w:uiPriority w:val="99"/>
    <w:rsid w:val="00A1566E"/>
    <w:rPr>
      <w:color w:val="800080"/>
      <w:u w:val="single"/>
    </w:rPr>
  </w:style>
  <w:style w:type="table" w:customStyle="1" w:styleId="TableGrid51">
    <w:name w:val="Table Grid51"/>
    <w:basedOn w:val="TableNormal"/>
    <w:next w:val="TableGrid"/>
    <w:uiPriority w:val="59"/>
    <w:rsid w:val="00A156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uiPriority w:val="59"/>
    <w:rsid w:val="00A156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uiPriority w:val="59"/>
    <w:rsid w:val="00A156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uiPriority w:val="59"/>
    <w:rsid w:val="00A156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uiPriority w:val="59"/>
    <w:rsid w:val="00A156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uiPriority w:val="59"/>
    <w:rsid w:val="00A156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rsid w:val="00A1566E"/>
    <w:rPr>
      <w:i/>
    </w:rPr>
  </w:style>
  <w:style w:type="paragraph" w:customStyle="1" w:styleId="NormalNoSpaceAfter">
    <w:name w:val="Normal NoSpaceAfter"/>
    <w:basedOn w:val="Normal"/>
    <w:rsid w:val="00A1566E"/>
    <w:pPr>
      <w:spacing w:after="0" w:afterAutospacing="0" w:line="240" w:lineRule="auto"/>
    </w:pPr>
    <w:rPr>
      <w:rFonts w:ascii="Times New Roman" w:hAnsi="Times New Roman"/>
      <w:sz w:val="24"/>
      <w:szCs w:val="24"/>
      <w:lang w:val="en-GB"/>
    </w:rPr>
  </w:style>
  <w:style w:type="table" w:customStyle="1" w:styleId="TableGrid6">
    <w:name w:val="Table Grid6"/>
    <w:basedOn w:val="TableNormal"/>
    <w:next w:val="TableGrid"/>
    <w:uiPriority w:val="59"/>
    <w:rsid w:val="00A1566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27553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27553B"/>
    <w:rPr>
      <w:rFonts w:ascii="Tahoma" w:hAnsi="Tahoma" w:cs="Tahoma"/>
      <w:sz w:val="16"/>
      <w:szCs w:val="16"/>
    </w:rPr>
  </w:style>
  <w:style w:type="paragraph" w:styleId="TOC1">
    <w:name w:val="toc 1"/>
    <w:basedOn w:val="Normal"/>
    <w:next w:val="Normal"/>
    <w:uiPriority w:val="39"/>
    <w:rsid w:val="00A1566E"/>
    <w:pPr>
      <w:spacing w:before="240" w:after="0" w:line="240" w:lineRule="auto"/>
      <w:ind w:left="720" w:right="720" w:hanging="720"/>
    </w:pPr>
  </w:style>
  <w:style w:type="paragraph" w:styleId="TOC2">
    <w:name w:val="toc 2"/>
    <w:basedOn w:val="Normal"/>
    <w:next w:val="Normal"/>
    <w:uiPriority w:val="39"/>
    <w:rsid w:val="00A1566E"/>
    <w:pPr>
      <w:spacing w:after="0" w:line="240" w:lineRule="auto"/>
      <w:ind w:left="1440" w:right="720" w:hanging="720"/>
    </w:pPr>
  </w:style>
  <w:style w:type="paragraph" w:styleId="TOC3">
    <w:name w:val="toc 3"/>
    <w:basedOn w:val="Normal"/>
    <w:next w:val="Normal"/>
    <w:uiPriority w:val="39"/>
    <w:rsid w:val="00A1566E"/>
    <w:pPr>
      <w:spacing w:after="0" w:line="240" w:lineRule="auto"/>
      <w:ind w:left="2160" w:right="720" w:hanging="720"/>
    </w:pPr>
  </w:style>
  <w:style w:type="paragraph" w:styleId="TOC4">
    <w:name w:val="toc 4"/>
    <w:basedOn w:val="Normal"/>
    <w:next w:val="Normal"/>
    <w:autoRedefine/>
    <w:rsid w:val="00A1566E"/>
    <w:pPr>
      <w:ind w:left="3600" w:hanging="1440"/>
    </w:pPr>
  </w:style>
  <w:style w:type="paragraph" w:styleId="TOC5">
    <w:name w:val="toc 5"/>
    <w:basedOn w:val="Normal"/>
    <w:next w:val="Normal"/>
    <w:autoRedefine/>
    <w:rsid w:val="00A1566E"/>
    <w:pPr>
      <w:ind w:left="880"/>
    </w:pPr>
  </w:style>
  <w:style w:type="paragraph" w:styleId="TOC6">
    <w:name w:val="toc 6"/>
    <w:basedOn w:val="Normal"/>
    <w:next w:val="Normal"/>
    <w:autoRedefine/>
    <w:rsid w:val="00A1566E"/>
    <w:pPr>
      <w:ind w:left="1100"/>
    </w:pPr>
  </w:style>
  <w:style w:type="paragraph" w:styleId="TOC7">
    <w:name w:val="toc 7"/>
    <w:basedOn w:val="Normal"/>
    <w:next w:val="Normal"/>
    <w:autoRedefine/>
    <w:rsid w:val="00A1566E"/>
    <w:pPr>
      <w:ind w:left="1320"/>
    </w:pPr>
  </w:style>
  <w:style w:type="paragraph" w:styleId="TOC8">
    <w:name w:val="toc 8"/>
    <w:basedOn w:val="Normal"/>
    <w:next w:val="Normal"/>
    <w:autoRedefine/>
    <w:rsid w:val="00A1566E"/>
    <w:pPr>
      <w:ind w:left="1540"/>
    </w:pPr>
  </w:style>
  <w:style w:type="paragraph" w:styleId="TOC9">
    <w:name w:val="toc 9"/>
    <w:basedOn w:val="Normal"/>
    <w:next w:val="Normal"/>
    <w:autoRedefine/>
    <w:rsid w:val="00A1566E"/>
    <w:pPr>
      <w:ind w:left="1760"/>
    </w:pPr>
  </w:style>
  <w:style w:type="paragraph" w:styleId="BodyText2">
    <w:name w:val="Body Text 2"/>
    <w:basedOn w:val="Normal"/>
    <w:link w:val="BodyText2Char"/>
    <w:uiPriority w:val="99"/>
    <w:unhideWhenUsed/>
    <w:rsid w:val="00A1566E"/>
    <w:pPr>
      <w:spacing w:after="0" w:line="240" w:lineRule="auto"/>
      <w:jc w:val="both"/>
    </w:pPr>
    <w:rPr>
      <w:rFonts w:cstheme="minorHAnsi"/>
      <w:color w:val="FF0000"/>
      <w:sz w:val="24"/>
      <w:szCs w:val="24"/>
    </w:rPr>
  </w:style>
  <w:style w:type="character" w:customStyle="1" w:styleId="BodyText2Char">
    <w:name w:val="Body Text 2 Char"/>
    <w:basedOn w:val="DefaultParagraphFont"/>
    <w:link w:val="BodyText2"/>
    <w:uiPriority w:val="99"/>
    <w:rsid w:val="00A1566E"/>
    <w:rPr>
      <w:rFonts w:ascii="Arial" w:eastAsia="Times New Roman" w:hAnsi="Arial" w:cstheme="minorHAnsi"/>
      <w:color w:val="FF0000"/>
      <w:sz w:val="24"/>
      <w:szCs w:val="24"/>
      <w:lang w:val="en-CA"/>
    </w:rPr>
  </w:style>
  <w:style w:type="paragraph" w:customStyle="1" w:styleId="EndNoteBibliographyTitle">
    <w:name w:val="EndNote Bibliography Title"/>
    <w:basedOn w:val="Normal"/>
    <w:link w:val="EndNoteBibliographyTitleChar"/>
    <w:rsid w:val="0027553B"/>
    <w:pPr>
      <w:spacing w:after="0"/>
      <w:jc w:val="center"/>
    </w:pPr>
    <w:rPr>
      <w:rFonts w:ascii="Cambria" w:hAnsi="Cambria" w:cs="Calibri"/>
      <w:noProof/>
    </w:rPr>
  </w:style>
  <w:style w:type="character" w:customStyle="1" w:styleId="EndNoteBibliographyTitleChar">
    <w:name w:val="EndNote Bibliography Title Char"/>
    <w:basedOn w:val="DefaultParagraphFont"/>
    <w:link w:val="EndNoteBibliographyTitle"/>
    <w:rsid w:val="0027553B"/>
    <w:rPr>
      <w:rFonts w:ascii="Cambria" w:hAnsi="Cambria" w:cs="Calibri"/>
      <w:noProof/>
      <w:sz w:val="20"/>
    </w:rPr>
  </w:style>
  <w:style w:type="paragraph" w:customStyle="1" w:styleId="EndNoteBibliography">
    <w:name w:val="EndNote Bibliography"/>
    <w:basedOn w:val="Normal"/>
    <w:link w:val="EndNoteBibliographyChar"/>
    <w:rsid w:val="0027553B"/>
    <w:pPr>
      <w:spacing w:line="240" w:lineRule="auto"/>
    </w:pPr>
    <w:rPr>
      <w:rFonts w:ascii="Cambria" w:hAnsi="Cambria" w:cs="Calibri"/>
      <w:noProof/>
    </w:rPr>
  </w:style>
  <w:style w:type="character" w:customStyle="1" w:styleId="EndNoteBibliographyChar">
    <w:name w:val="EndNote Bibliography Char"/>
    <w:basedOn w:val="DefaultParagraphFont"/>
    <w:link w:val="EndNoteBibliography"/>
    <w:rsid w:val="0027553B"/>
    <w:rPr>
      <w:rFonts w:ascii="Cambria" w:hAnsi="Cambria" w:cs="Calibri"/>
      <w:noProof/>
      <w:sz w:val="20"/>
    </w:rPr>
  </w:style>
  <w:style w:type="character" w:customStyle="1" w:styleId="TableTextChar">
    <w:name w:val="Table Text Char"/>
    <w:basedOn w:val="DefaultParagraphFont"/>
    <w:link w:val="TableText"/>
    <w:rsid w:val="00A1566E"/>
    <w:rPr>
      <w:rFonts w:ascii="Arial" w:eastAsia="Times New Roman" w:hAnsi="Arial" w:cs="Times New Roman"/>
      <w:sz w:val="18"/>
      <w:szCs w:val="20"/>
      <w:lang w:val="en-CA"/>
    </w:rPr>
  </w:style>
  <w:style w:type="paragraph" w:styleId="Revision">
    <w:name w:val="Revision"/>
    <w:hidden/>
    <w:uiPriority w:val="99"/>
    <w:semiHidden/>
    <w:rsid w:val="00A1566E"/>
    <w:pPr>
      <w:spacing w:after="0" w:line="240" w:lineRule="auto"/>
    </w:pPr>
    <w:rPr>
      <w:rFonts w:eastAsiaTheme="minorEastAsia"/>
      <w:lang w:val="en-GB" w:eastAsia="en-GB"/>
    </w:rPr>
  </w:style>
  <w:style w:type="character" w:customStyle="1" w:styleId="A4">
    <w:name w:val="A4"/>
    <w:uiPriority w:val="99"/>
    <w:rsid w:val="00A1566E"/>
    <w:rPr>
      <w:rFonts w:cs="Shaker 2 Lancet Regular"/>
      <w:color w:val="000000"/>
      <w:sz w:val="9"/>
      <w:szCs w:val="9"/>
    </w:rPr>
  </w:style>
  <w:style w:type="character" w:customStyle="1" w:styleId="reference-text">
    <w:name w:val="reference-text"/>
    <w:basedOn w:val="DefaultParagraphFont"/>
    <w:rsid w:val="00A1566E"/>
  </w:style>
  <w:style w:type="paragraph" w:customStyle="1" w:styleId="Style1">
    <w:name w:val="Style1"/>
    <w:basedOn w:val="Heading1"/>
    <w:link w:val="Style1Char"/>
    <w:autoRedefine/>
    <w:rsid w:val="00A1566E"/>
    <w:pPr>
      <w:numPr>
        <w:numId w:val="28"/>
      </w:numPr>
    </w:pPr>
  </w:style>
  <w:style w:type="character" w:customStyle="1" w:styleId="Style1Char">
    <w:name w:val="Style1 Char"/>
    <w:basedOn w:val="Heading1Char"/>
    <w:link w:val="Style1"/>
    <w:rsid w:val="00A1566E"/>
    <w:rPr>
      <w:rFonts w:ascii="Arial" w:eastAsia="Times New Roman" w:hAnsi="Arial" w:cs="Arial"/>
      <w:b/>
      <w:bCs/>
      <w:kern w:val="32"/>
    </w:rPr>
  </w:style>
  <w:style w:type="paragraph" w:styleId="TOCHeading">
    <w:name w:val="TOC Heading"/>
    <w:basedOn w:val="Heading1"/>
    <w:next w:val="Normal"/>
    <w:uiPriority w:val="39"/>
    <w:unhideWhenUsed/>
    <w:qFormat/>
    <w:rsid w:val="00A1566E"/>
    <w:pPr>
      <w:spacing w:before="480"/>
      <w:outlineLvl w:val="9"/>
    </w:pPr>
    <w:rPr>
      <w:rFonts w:asciiTheme="majorHAnsi" w:hAnsiTheme="majorHAnsi"/>
      <w:caps/>
      <w:color w:val="365F91" w:themeColor="accent1" w:themeShade="BF"/>
      <w:sz w:val="28"/>
    </w:rPr>
  </w:style>
  <w:style w:type="paragraph" w:styleId="BodyText3">
    <w:name w:val="Body Text 3"/>
    <w:basedOn w:val="Normal"/>
    <w:link w:val="BodyText3Char"/>
    <w:uiPriority w:val="99"/>
    <w:unhideWhenUsed/>
    <w:rsid w:val="00A1566E"/>
    <w:pPr>
      <w:autoSpaceDE w:val="0"/>
      <w:autoSpaceDN w:val="0"/>
      <w:adjustRightInd w:val="0"/>
      <w:spacing w:after="0" w:line="240" w:lineRule="auto"/>
    </w:pPr>
    <w:rPr>
      <w:rFonts w:cstheme="minorHAnsi"/>
      <w:sz w:val="24"/>
      <w:szCs w:val="24"/>
    </w:rPr>
  </w:style>
  <w:style w:type="character" w:customStyle="1" w:styleId="BodyText3Char">
    <w:name w:val="Body Text 3 Char"/>
    <w:basedOn w:val="DefaultParagraphFont"/>
    <w:link w:val="BodyText3"/>
    <w:uiPriority w:val="99"/>
    <w:rsid w:val="00A1566E"/>
    <w:rPr>
      <w:rFonts w:ascii="Arial" w:eastAsia="Times New Roman" w:hAnsi="Arial" w:cstheme="minorHAnsi"/>
      <w:sz w:val="24"/>
      <w:szCs w:val="24"/>
      <w:lang w:val="en-CA"/>
    </w:rPr>
  </w:style>
  <w:style w:type="character" w:customStyle="1" w:styleId="st">
    <w:name w:val="st"/>
    <w:basedOn w:val="DefaultParagraphFont"/>
    <w:rsid w:val="00A1566E"/>
  </w:style>
  <w:style w:type="character" w:styleId="LineNumber">
    <w:name w:val="line number"/>
    <w:basedOn w:val="DefaultParagraphFont"/>
    <w:unhideWhenUsed/>
    <w:rsid w:val="00A1566E"/>
  </w:style>
  <w:style w:type="paragraph" w:styleId="Title">
    <w:name w:val="Title"/>
    <w:basedOn w:val="Normal"/>
    <w:next w:val="Normal"/>
    <w:link w:val="TitleChar"/>
    <w:qFormat/>
    <w:rsid w:val="00A1566E"/>
    <w:pPr>
      <w:keepNext/>
      <w:keepLines/>
      <w:pBdr>
        <w:top w:val="single" w:sz="6" w:space="16" w:color="auto"/>
      </w:pBdr>
      <w:spacing w:after="480" w:line="320" w:lineRule="atLeast"/>
      <w:jc w:val="center"/>
    </w:pPr>
    <w:rPr>
      <w:b/>
      <w:sz w:val="36"/>
    </w:rPr>
  </w:style>
  <w:style w:type="character" w:customStyle="1" w:styleId="TitleChar">
    <w:name w:val="Title Char"/>
    <w:basedOn w:val="DefaultParagraphFont"/>
    <w:link w:val="Title"/>
    <w:rsid w:val="00A1566E"/>
    <w:rPr>
      <w:rFonts w:ascii="Arial" w:eastAsia="Times New Roman" w:hAnsi="Arial" w:cs="Times New Roman"/>
      <w:b/>
      <w:sz w:val="36"/>
      <w:szCs w:val="20"/>
      <w:lang w:val="en-CA"/>
    </w:rPr>
  </w:style>
  <w:style w:type="paragraph" w:styleId="TableofFigures">
    <w:name w:val="table of figures"/>
    <w:basedOn w:val="Normal"/>
    <w:rsid w:val="00A1566E"/>
    <w:pPr>
      <w:keepNext/>
      <w:spacing w:line="240" w:lineRule="auto"/>
      <w:ind w:left="1440" w:hanging="1440"/>
    </w:pPr>
    <w:rPr>
      <w:b/>
    </w:rPr>
  </w:style>
  <w:style w:type="paragraph" w:styleId="List">
    <w:name w:val="List"/>
    <w:basedOn w:val="BodyText"/>
    <w:link w:val="ListChar"/>
    <w:rsid w:val="00A1566E"/>
    <w:pPr>
      <w:keepNext/>
      <w:spacing w:before="60" w:after="60" w:line="240" w:lineRule="auto"/>
      <w:ind w:left="1440" w:hanging="1440"/>
      <w:jc w:val="left"/>
    </w:pPr>
    <w:rPr>
      <w:b/>
    </w:rPr>
  </w:style>
  <w:style w:type="character" w:customStyle="1" w:styleId="ListChar">
    <w:name w:val="List Char"/>
    <w:basedOn w:val="BodyTextChar"/>
    <w:link w:val="List"/>
    <w:rsid w:val="00A1566E"/>
    <w:rPr>
      <w:rFonts w:ascii="Arial" w:eastAsia="Times New Roman" w:hAnsi="Arial" w:cs="Times New Roman"/>
      <w:b/>
      <w:szCs w:val="20"/>
      <w:lang w:val="en-CA"/>
    </w:rPr>
  </w:style>
  <w:style w:type="character" w:styleId="PageNumber">
    <w:name w:val="page number"/>
    <w:basedOn w:val="DefaultParagraphFont"/>
    <w:rsid w:val="00A1566E"/>
    <w:rPr>
      <w:rFonts w:ascii="Arial" w:hAnsi="Arial"/>
      <w:sz w:val="18"/>
    </w:rPr>
  </w:style>
  <w:style w:type="paragraph" w:customStyle="1" w:styleId="References">
    <w:name w:val="References"/>
    <w:basedOn w:val="Normal"/>
    <w:rsid w:val="00A1566E"/>
    <w:pPr>
      <w:keepLines/>
      <w:spacing w:line="240" w:lineRule="auto"/>
      <w:ind w:left="720" w:hanging="720"/>
    </w:pPr>
  </w:style>
  <w:style w:type="paragraph" w:styleId="ListBullet">
    <w:name w:val="List Bullet"/>
    <w:basedOn w:val="Normal"/>
    <w:rsid w:val="00A1566E"/>
    <w:pPr>
      <w:numPr>
        <w:numId w:val="29"/>
      </w:numPr>
      <w:tabs>
        <w:tab w:val="clear" w:pos="981"/>
      </w:tabs>
      <w:ind w:left="720" w:hanging="360"/>
    </w:pPr>
  </w:style>
  <w:style w:type="paragraph" w:styleId="ListBullet2">
    <w:name w:val="List Bullet 2"/>
    <w:basedOn w:val="Normal"/>
    <w:rsid w:val="00A1566E"/>
    <w:pPr>
      <w:numPr>
        <w:numId w:val="12"/>
      </w:numPr>
      <w:tabs>
        <w:tab w:val="clear" w:pos="720"/>
      </w:tabs>
      <w:ind w:left="1080"/>
    </w:pPr>
  </w:style>
  <w:style w:type="paragraph" w:styleId="ListBullet3">
    <w:name w:val="List Bullet 3"/>
    <w:basedOn w:val="Normal"/>
    <w:rsid w:val="00A1566E"/>
    <w:pPr>
      <w:numPr>
        <w:numId w:val="13"/>
      </w:numPr>
      <w:tabs>
        <w:tab w:val="clear" w:pos="1080"/>
      </w:tabs>
      <w:ind w:left="1440"/>
    </w:pPr>
  </w:style>
  <w:style w:type="paragraph" w:styleId="ListNumber2">
    <w:name w:val="List Number 2"/>
    <w:basedOn w:val="Normal"/>
    <w:rsid w:val="00A1566E"/>
    <w:pPr>
      <w:numPr>
        <w:numId w:val="17"/>
      </w:numPr>
      <w:tabs>
        <w:tab w:val="clear" w:pos="540"/>
      </w:tabs>
      <w:spacing w:after="120"/>
      <w:ind w:left="0" w:firstLine="0"/>
    </w:pPr>
  </w:style>
  <w:style w:type="paragraph" w:styleId="ListNumber">
    <w:name w:val="List Number"/>
    <w:basedOn w:val="Normal"/>
    <w:rsid w:val="00A1566E"/>
    <w:pPr>
      <w:numPr>
        <w:numId w:val="16"/>
      </w:numPr>
      <w:spacing w:after="120"/>
      <w:ind w:left="1080"/>
    </w:pPr>
  </w:style>
  <w:style w:type="paragraph" w:styleId="FootnoteText">
    <w:name w:val="footnote text"/>
    <w:basedOn w:val="Normal"/>
    <w:link w:val="FootnoteTextChar"/>
    <w:rsid w:val="00A1566E"/>
    <w:pPr>
      <w:spacing w:after="0" w:line="240" w:lineRule="auto"/>
    </w:pPr>
    <w:rPr>
      <w:sz w:val="18"/>
    </w:rPr>
  </w:style>
  <w:style w:type="character" w:customStyle="1" w:styleId="FootnoteTextChar">
    <w:name w:val="Footnote Text Char"/>
    <w:basedOn w:val="DefaultParagraphFont"/>
    <w:link w:val="FootnoteText"/>
    <w:rsid w:val="00A1566E"/>
    <w:rPr>
      <w:rFonts w:ascii="Arial" w:eastAsia="Times New Roman" w:hAnsi="Arial" w:cs="Times New Roman"/>
      <w:sz w:val="18"/>
      <w:szCs w:val="20"/>
      <w:lang w:val="en-CA"/>
    </w:rPr>
  </w:style>
  <w:style w:type="character" w:styleId="FootnoteReference">
    <w:name w:val="footnote reference"/>
    <w:basedOn w:val="DefaultParagraphFont"/>
    <w:rsid w:val="00A1566E"/>
    <w:rPr>
      <w:vertAlign w:val="superscript"/>
    </w:rPr>
  </w:style>
  <w:style w:type="paragraph" w:styleId="Subtitle">
    <w:name w:val="Subtitle"/>
    <w:basedOn w:val="Normal"/>
    <w:link w:val="SubtitleChar"/>
    <w:qFormat/>
    <w:rsid w:val="00A1566E"/>
    <w:pPr>
      <w:jc w:val="center"/>
      <w:outlineLvl w:val="0"/>
    </w:pPr>
    <w:rPr>
      <w:rFonts w:cs="Arial"/>
      <w:b/>
      <w:sz w:val="28"/>
      <w:lang w:val="en-GB"/>
    </w:rPr>
  </w:style>
  <w:style w:type="character" w:customStyle="1" w:styleId="SubtitleChar">
    <w:name w:val="Subtitle Char"/>
    <w:basedOn w:val="DefaultParagraphFont"/>
    <w:link w:val="Subtitle"/>
    <w:rsid w:val="00A1566E"/>
    <w:rPr>
      <w:rFonts w:ascii="Arial" w:eastAsia="Times New Roman" w:hAnsi="Arial" w:cs="Arial"/>
      <w:b/>
      <w:sz w:val="28"/>
      <w:szCs w:val="20"/>
      <w:lang w:val="en-GB"/>
    </w:rPr>
  </w:style>
  <w:style w:type="paragraph" w:customStyle="1" w:styleId="TableFooter">
    <w:name w:val="Table Footer"/>
    <w:basedOn w:val="TableText"/>
    <w:qFormat/>
    <w:rsid w:val="00A1566E"/>
    <w:pPr>
      <w:spacing w:before="60" w:after="100"/>
    </w:pPr>
    <w:rPr>
      <w:lang w:val="en-US"/>
    </w:rPr>
  </w:style>
  <w:style w:type="paragraph" w:styleId="EnvelopeReturn">
    <w:name w:val="envelope return"/>
    <w:basedOn w:val="Normal"/>
    <w:uiPriority w:val="99"/>
    <w:semiHidden/>
    <w:unhideWhenUsed/>
    <w:rsid w:val="00A1566E"/>
    <w:pPr>
      <w:spacing w:after="0" w:afterAutospacing="0" w:line="240" w:lineRule="auto"/>
    </w:pPr>
    <w:rPr>
      <w:sz w:val="20"/>
      <w:lang w:val="en-US"/>
    </w:rPr>
  </w:style>
  <w:style w:type="paragraph" w:styleId="EnvelopeAddress">
    <w:name w:val="envelope address"/>
    <w:basedOn w:val="Normal"/>
    <w:uiPriority w:val="99"/>
    <w:semiHidden/>
    <w:unhideWhenUsed/>
    <w:rsid w:val="00A1566E"/>
    <w:pPr>
      <w:framePr w:w="7920" w:h="1980" w:hRule="exact" w:hSpace="180" w:wrap="auto" w:hAnchor="page" w:xAlign="center" w:yAlign="bottom"/>
      <w:spacing w:after="0" w:afterAutospacing="0" w:line="240" w:lineRule="auto"/>
      <w:ind w:left="2880"/>
    </w:pPr>
    <w:rPr>
      <w:sz w:val="28"/>
      <w:szCs w:val="24"/>
      <w:lang w:val="en-US"/>
    </w:rPr>
  </w:style>
  <w:style w:type="paragraph" w:customStyle="1" w:styleId="Style2">
    <w:name w:val="Style 2"/>
    <w:basedOn w:val="Normal"/>
    <w:uiPriority w:val="99"/>
    <w:rsid w:val="00A1566E"/>
    <w:pPr>
      <w:widowControl w:val="0"/>
      <w:tabs>
        <w:tab w:val="left" w:pos="2880"/>
      </w:tabs>
      <w:autoSpaceDE w:val="0"/>
      <w:autoSpaceDN w:val="0"/>
      <w:spacing w:after="0" w:afterAutospacing="0" w:line="288" w:lineRule="atLeast"/>
      <w:ind w:left="2160"/>
    </w:pPr>
    <w:rPr>
      <w:rFonts w:ascii="Times New Roman" w:hAnsi="Times New Roman"/>
      <w:sz w:val="24"/>
      <w:szCs w:val="24"/>
      <w:lang w:val="en-US"/>
    </w:rPr>
  </w:style>
  <w:style w:type="paragraph" w:customStyle="1" w:styleId="Style3">
    <w:name w:val="Style 3"/>
    <w:basedOn w:val="Normal"/>
    <w:uiPriority w:val="99"/>
    <w:rsid w:val="00A1566E"/>
    <w:pPr>
      <w:widowControl w:val="0"/>
      <w:tabs>
        <w:tab w:val="left" w:pos="2124"/>
      </w:tabs>
      <w:autoSpaceDE w:val="0"/>
      <w:autoSpaceDN w:val="0"/>
      <w:spacing w:after="0" w:afterAutospacing="0" w:line="288" w:lineRule="atLeast"/>
      <w:ind w:left="1440"/>
    </w:pPr>
    <w:rPr>
      <w:rFonts w:ascii="Times New Roman" w:hAnsi="Times New Roman"/>
      <w:sz w:val="24"/>
      <w:szCs w:val="24"/>
      <w:lang w:val="en-US"/>
    </w:rPr>
  </w:style>
  <w:style w:type="paragraph" w:customStyle="1" w:styleId="Style10">
    <w:name w:val="Style 1"/>
    <w:basedOn w:val="Normal"/>
    <w:uiPriority w:val="99"/>
    <w:rsid w:val="00A1566E"/>
    <w:pPr>
      <w:widowControl w:val="0"/>
      <w:tabs>
        <w:tab w:val="left" w:pos="1440"/>
      </w:tabs>
      <w:autoSpaceDE w:val="0"/>
      <w:autoSpaceDN w:val="0"/>
      <w:spacing w:after="0" w:afterAutospacing="0" w:line="288" w:lineRule="atLeast"/>
      <w:ind w:left="720"/>
    </w:pPr>
    <w:rPr>
      <w:rFonts w:ascii="Times New Roman" w:hAnsi="Times New Roman"/>
      <w:sz w:val="24"/>
      <w:szCs w:val="24"/>
      <w:lang w:val="en-US"/>
    </w:rPr>
  </w:style>
  <w:style w:type="table" w:customStyle="1" w:styleId="GridTable41">
    <w:name w:val="Grid Table 41"/>
    <w:basedOn w:val="TableNormal"/>
    <w:uiPriority w:val="49"/>
    <w:rsid w:val="00A1566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Grid7">
    <w:name w:val="Table Grid7"/>
    <w:basedOn w:val="TableNormal"/>
    <w:next w:val="TableGrid"/>
    <w:uiPriority w:val="59"/>
    <w:rsid w:val="00A1566E"/>
    <w:pPr>
      <w:spacing w:after="0" w:line="240" w:lineRule="auto"/>
    </w:pPr>
    <w:rPr>
      <w:rFonts w:ascii="Arial" w:eastAsia="Times New Roman" w:hAnsi="Arial"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table of figures" w:uiPriority="0"/>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Bullet 2" w:uiPriority="0"/>
    <w:lsdException w:name="List Bullet 3" w:uiPriority="0"/>
    <w:lsdException w:name="List Number 2" w:uiPriority="0"/>
    <w:lsdException w:name="Title" w:semiHidden="0" w:uiPriority="0" w:unhideWhenUsed="0" w:qFormat="1"/>
    <w:lsdException w:name="Default Paragraph Font" w:uiPriority="1"/>
    <w:lsdException w:name="Subtitle" w:semiHidden="0" w:uiPriority="0" w:unhideWhenUsed="0" w:qFormat="1"/>
    <w:lsdException w:name="Hyperlink" w:qFormat="1"/>
    <w:lsdException w:name="Strong" w:semiHidden="0" w:uiPriority="22" w:unhideWhenUsed="0"/>
    <w:lsdException w:name="Emphasis" w:semiHidden="0" w:uiPriority="20" w:unhideWhenUsed="0"/>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1566E"/>
    <w:pPr>
      <w:spacing w:after="100" w:afterAutospacing="1" w:line="480" w:lineRule="auto"/>
    </w:pPr>
    <w:rPr>
      <w:rFonts w:ascii="Arial" w:eastAsia="Times New Roman" w:hAnsi="Arial" w:cs="Times New Roman"/>
      <w:szCs w:val="20"/>
      <w:lang w:val="en-CA"/>
    </w:rPr>
  </w:style>
  <w:style w:type="paragraph" w:styleId="Heading1">
    <w:name w:val="heading 1"/>
    <w:basedOn w:val="Title"/>
    <w:next w:val="Normal"/>
    <w:link w:val="Heading1Char"/>
    <w:qFormat/>
    <w:rsid w:val="00A1566E"/>
    <w:pPr>
      <w:keepLines w:val="0"/>
      <w:pBdr>
        <w:top w:val="none" w:sz="0" w:space="0" w:color="auto"/>
      </w:pBdr>
      <w:tabs>
        <w:tab w:val="left" w:pos="720"/>
      </w:tabs>
      <w:spacing w:after="100" w:line="480" w:lineRule="auto"/>
      <w:jc w:val="left"/>
      <w:outlineLvl w:val="0"/>
    </w:pPr>
    <w:rPr>
      <w:rFonts w:cs="Arial"/>
      <w:bCs/>
      <w:kern w:val="32"/>
      <w:sz w:val="22"/>
      <w:szCs w:val="22"/>
      <w:lang w:val="en-US"/>
    </w:rPr>
  </w:style>
  <w:style w:type="paragraph" w:styleId="Heading2">
    <w:name w:val="heading 2"/>
    <w:basedOn w:val="Normal"/>
    <w:next w:val="Normal"/>
    <w:link w:val="Heading2Char"/>
    <w:uiPriority w:val="9"/>
    <w:qFormat/>
    <w:rsid w:val="00A1566E"/>
    <w:pPr>
      <w:keepNext/>
      <w:outlineLvl w:val="1"/>
    </w:pPr>
    <w:rPr>
      <w:rFonts w:cs="Arial"/>
      <w:bCs/>
      <w:i/>
      <w:iCs/>
      <w:szCs w:val="22"/>
      <w:lang w:val="en-US"/>
    </w:rPr>
  </w:style>
  <w:style w:type="paragraph" w:styleId="Heading3">
    <w:name w:val="heading 3"/>
    <w:basedOn w:val="Normal"/>
    <w:next w:val="Normal"/>
    <w:link w:val="Heading3Char"/>
    <w:uiPriority w:val="9"/>
    <w:qFormat/>
    <w:rsid w:val="00A1566E"/>
    <w:pPr>
      <w:keepNext/>
      <w:keepLines/>
      <w:spacing w:before="100" w:beforeAutospacing="1"/>
      <w:ind w:left="720" w:hanging="720"/>
      <w:outlineLvl w:val="2"/>
    </w:pPr>
    <w:rPr>
      <w:b/>
    </w:rPr>
  </w:style>
  <w:style w:type="paragraph" w:styleId="Heading4">
    <w:name w:val="heading 4"/>
    <w:basedOn w:val="Normal"/>
    <w:next w:val="Normal"/>
    <w:link w:val="Heading4Char"/>
    <w:uiPriority w:val="9"/>
    <w:qFormat/>
    <w:rsid w:val="00A1566E"/>
    <w:pPr>
      <w:keepNext/>
      <w:keepLines/>
      <w:spacing w:before="100" w:beforeAutospacing="1"/>
      <w:ind w:left="1440" w:hanging="1440"/>
      <w:outlineLvl w:val="3"/>
    </w:pPr>
    <w:rPr>
      <w:i/>
    </w:rPr>
  </w:style>
  <w:style w:type="paragraph" w:styleId="Heading5">
    <w:name w:val="heading 5"/>
    <w:basedOn w:val="Normal"/>
    <w:next w:val="Normal"/>
    <w:link w:val="Heading5Char"/>
    <w:qFormat/>
    <w:rsid w:val="00A1566E"/>
    <w:pPr>
      <w:keepNext/>
      <w:spacing w:before="100" w:beforeAutospacing="1"/>
      <w:ind w:left="1440" w:hanging="1440"/>
      <w:outlineLvl w:val="4"/>
    </w:pPr>
  </w:style>
  <w:style w:type="paragraph" w:styleId="Heading6">
    <w:name w:val="heading 6"/>
    <w:basedOn w:val="Normal"/>
    <w:next w:val="Normal"/>
    <w:link w:val="Heading6Char"/>
    <w:qFormat/>
    <w:rsid w:val="00A1566E"/>
    <w:pPr>
      <w:keepNext/>
      <w:spacing w:line="240" w:lineRule="auto"/>
      <w:ind w:left="1440" w:hanging="1440"/>
      <w:outlineLvl w:val="5"/>
    </w:pPr>
    <w:rPr>
      <w:bCs/>
    </w:rPr>
  </w:style>
  <w:style w:type="paragraph" w:styleId="Heading7">
    <w:name w:val="heading 7"/>
    <w:basedOn w:val="Normal"/>
    <w:next w:val="Normal"/>
    <w:link w:val="Heading7Char"/>
    <w:qFormat/>
    <w:rsid w:val="00A1566E"/>
    <w:pPr>
      <w:keepNext/>
      <w:spacing w:line="240" w:lineRule="auto"/>
      <w:ind w:left="1440" w:hanging="1440"/>
      <w:outlineLvl w:val="6"/>
    </w:pPr>
    <w:rPr>
      <w:bCs/>
    </w:rPr>
  </w:style>
  <w:style w:type="paragraph" w:styleId="Heading8">
    <w:name w:val="heading 8"/>
    <w:basedOn w:val="Normal"/>
    <w:next w:val="Normal"/>
    <w:link w:val="Heading8Char"/>
    <w:qFormat/>
    <w:rsid w:val="00A1566E"/>
    <w:pPr>
      <w:keepNext/>
      <w:tabs>
        <w:tab w:val="num" w:pos="1800"/>
      </w:tabs>
      <w:spacing w:line="240" w:lineRule="auto"/>
      <w:ind w:left="1440" w:hanging="1440"/>
      <w:outlineLvl w:val="7"/>
    </w:pPr>
    <w:rPr>
      <w:iCs/>
      <w:szCs w:val="24"/>
    </w:rPr>
  </w:style>
  <w:style w:type="paragraph" w:styleId="Heading9">
    <w:name w:val="heading 9"/>
    <w:basedOn w:val="Normal"/>
    <w:next w:val="Normal"/>
    <w:link w:val="Heading9Char"/>
    <w:qFormat/>
    <w:rsid w:val="00A1566E"/>
    <w:pPr>
      <w:tabs>
        <w:tab w:val="num" w:pos="1944"/>
      </w:tabs>
      <w:spacing w:before="240" w:after="60"/>
      <w:ind w:left="1944" w:hanging="1584"/>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566E"/>
    <w:rPr>
      <w:rFonts w:ascii="Arial" w:eastAsia="Times New Roman" w:hAnsi="Arial" w:cs="Arial"/>
      <w:b/>
      <w:bCs/>
      <w:kern w:val="32"/>
    </w:rPr>
  </w:style>
  <w:style w:type="character" w:customStyle="1" w:styleId="Heading2Char">
    <w:name w:val="Heading 2 Char"/>
    <w:basedOn w:val="DefaultParagraphFont"/>
    <w:link w:val="Heading2"/>
    <w:uiPriority w:val="9"/>
    <w:rsid w:val="00A1566E"/>
    <w:rPr>
      <w:rFonts w:ascii="Arial" w:eastAsia="Times New Roman" w:hAnsi="Arial" w:cs="Arial"/>
      <w:bCs/>
      <w:i/>
      <w:iCs/>
    </w:rPr>
  </w:style>
  <w:style w:type="character" w:customStyle="1" w:styleId="Heading3Char">
    <w:name w:val="Heading 3 Char"/>
    <w:basedOn w:val="DefaultParagraphFont"/>
    <w:link w:val="Heading3"/>
    <w:uiPriority w:val="9"/>
    <w:rsid w:val="00A1566E"/>
    <w:rPr>
      <w:rFonts w:ascii="Arial" w:eastAsia="Times New Roman" w:hAnsi="Arial" w:cs="Times New Roman"/>
      <w:b/>
      <w:szCs w:val="20"/>
      <w:lang w:val="en-CA"/>
    </w:rPr>
  </w:style>
  <w:style w:type="character" w:customStyle="1" w:styleId="Heading4Char">
    <w:name w:val="Heading 4 Char"/>
    <w:basedOn w:val="DefaultParagraphFont"/>
    <w:link w:val="Heading4"/>
    <w:uiPriority w:val="9"/>
    <w:rsid w:val="00A1566E"/>
    <w:rPr>
      <w:rFonts w:ascii="Arial" w:eastAsia="Times New Roman" w:hAnsi="Arial" w:cs="Times New Roman"/>
      <w:i/>
      <w:szCs w:val="20"/>
      <w:lang w:val="en-CA"/>
    </w:rPr>
  </w:style>
  <w:style w:type="character" w:customStyle="1" w:styleId="Heading5Char">
    <w:name w:val="Heading 5 Char"/>
    <w:basedOn w:val="DefaultParagraphFont"/>
    <w:link w:val="Heading5"/>
    <w:rsid w:val="00A1566E"/>
    <w:rPr>
      <w:rFonts w:ascii="Arial" w:eastAsia="Times New Roman" w:hAnsi="Arial" w:cs="Times New Roman"/>
      <w:szCs w:val="20"/>
      <w:lang w:val="en-CA"/>
    </w:rPr>
  </w:style>
  <w:style w:type="character" w:customStyle="1" w:styleId="Heading6Char">
    <w:name w:val="Heading 6 Char"/>
    <w:basedOn w:val="DefaultParagraphFont"/>
    <w:link w:val="Heading6"/>
    <w:rsid w:val="00A1566E"/>
    <w:rPr>
      <w:rFonts w:ascii="Arial" w:eastAsia="Times New Roman" w:hAnsi="Arial" w:cs="Times New Roman"/>
      <w:bCs/>
      <w:szCs w:val="20"/>
      <w:lang w:val="en-CA"/>
    </w:rPr>
  </w:style>
  <w:style w:type="character" w:customStyle="1" w:styleId="Heading7Char">
    <w:name w:val="Heading 7 Char"/>
    <w:basedOn w:val="DefaultParagraphFont"/>
    <w:link w:val="Heading7"/>
    <w:rsid w:val="00A1566E"/>
    <w:rPr>
      <w:rFonts w:ascii="Arial" w:eastAsia="Times New Roman" w:hAnsi="Arial" w:cs="Times New Roman"/>
      <w:bCs/>
      <w:szCs w:val="20"/>
      <w:lang w:val="en-CA"/>
    </w:rPr>
  </w:style>
  <w:style w:type="character" w:customStyle="1" w:styleId="Heading8Char">
    <w:name w:val="Heading 8 Char"/>
    <w:basedOn w:val="DefaultParagraphFont"/>
    <w:link w:val="Heading8"/>
    <w:rsid w:val="00A1566E"/>
    <w:rPr>
      <w:rFonts w:ascii="Arial" w:eastAsia="Times New Roman" w:hAnsi="Arial" w:cs="Times New Roman"/>
      <w:iCs/>
      <w:szCs w:val="24"/>
      <w:lang w:val="en-CA"/>
    </w:rPr>
  </w:style>
  <w:style w:type="character" w:customStyle="1" w:styleId="Heading9Char">
    <w:name w:val="Heading 9 Char"/>
    <w:basedOn w:val="DefaultParagraphFont"/>
    <w:link w:val="Heading9"/>
    <w:rsid w:val="00A1566E"/>
    <w:rPr>
      <w:rFonts w:ascii="Arial" w:eastAsia="Times New Roman" w:hAnsi="Arial" w:cs="Arial"/>
      <w:lang w:val="en-CA"/>
    </w:rPr>
  </w:style>
  <w:style w:type="paragraph" w:styleId="Footer">
    <w:name w:val="footer"/>
    <w:aliases w:val="footnote"/>
    <w:basedOn w:val="Normal"/>
    <w:link w:val="FooterChar"/>
    <w:uiPriority w:val="99"/>
    <w:rsid w:val="00A1566E"/>
    <w:pPr>
      <w:spacing w:after="0" w:line="240" w:lineRule="auto"/>
    </w:pPr>
    <w:rPr>
      <w:sz w:val="18"/>
    </w:rPr>
  </w:style>
  <w:style w:type="character" w:customStyle="1" w:styleId="FooterChar">
    <w:name w:val="Footer Char"/>
    <w:aliases w:val="footnote Char"/>
    <w:basedOn w:val="DefaultParagraphFont"/>
    <w:link w:val="Footer"/>
    <w:uiPriority w:val="99"/>
    <w:rsid w:val="00A1566E"/>
    <w:rPr>
      <w:rFonts w:ascii="Arial" w:eastAsia="Times New Roman" w:hAnsi="Arial" w:cs="Times New Roman"/>
      <w:sz w:val="18"/>
      <w:szCs w:val="20"/>
      <w:lang w:val="en-CA"/>
    </w:rPr>
  </w:style>
  <w:style w:type="paragraph" w:styleId="ListParagraph">
    <w:name w:val="List Paragraph"/>
    <w:basedOn w:val="Normal"/>
    <w:uiPriority w:val="34"/>
    <w:qFormat/>
    <w:rsid w:val="00A1566E"/>
    <w:pPr>
      <w:ind w:left="720"/>
      <w:contextualSpacing/>
    </w:pPr>
  </w:style>
  <w:style w:type="paragraph" w:customStyle="1" w:styleId="BodyText1">
    <w:name w:val="Body Text1"/>
    <w:basedOn w:val="Normal"/>
    <w:next w:val="Normal"/>
    <w:rsid w:val="00D20EBE"/>
    <w:pPr>
      <w:jc w:val="both"/>
    </w:pPr>
    <w:rPr>
      <w:bCs/>
      <w:lang w:val="en-GB"/>
    </w:rPr>
  </w:style>
  <w:style w:type="character" w:customStyle="1" w:styleId="BodytextChar1">
    <w:name w:val="Body text Char1"/>
    <w:basedOn w:val="DefaultParagraphFont"/>
    <w:link w:val="BodyText10"/>
    <w:rsid w:val="0027553B"/>
    <w:rPr>
      <w:bCs/>
      <w:sz w:val="20"/>
      <w:lang w:val="en-GB"/>
    </w:rPr>
  </w:style>
  <w:style w:type="paragraph" w:customStyle="1" w:styleId="TableTitle">
    <w:name w:val="Table Title"/>
    <w:basedOn w:val="BlockText"/>
    <w:next w:val="BlockText"/>
    <w:rsid w:val="0027553B"/>
    <w:pPr>
      <w:pBdr>
        <w:top w:val="none" w:sz="0" w:space="0" w:color="auto"/>
        <w:left w:val="none" w:sz="0" w:space="0" w:color="auto"/>
        <w:bottom w:val="none" w:sz="0" w:space="0" w:color="auto"/>
        <w:right w:val="none" w:sz="0" w:space="0" w:color="auto"/>
      </w:pBdr>
      <w:tabs>
        <w:tab w:val="left" w:pos="90"/>
        <w:tab w:val="left" w:pos="270"/>
        <w:tab w:val="left" w:pos="810"/>
        <w:tab w:val="center" w:pos="6840"/>
      </w:tabs>
      <w:spacing w:before="240" w:after="120"/>
      <w:ind w:left="274" w:right="0" w:hanging="274"/>
    </w:pPr>
    <w:rPr>
      <w:rFonts w:eastAsia="Times New Roman"/>
      <w:b/>
      <w:i w:val="0"/>
      <w:iCs w:val="0"/>
      <w:color w:val="auto"/>
      <w:sz w:val="24"/>
    </w:rPr>
  </w:style>
  <w:style w:type="paragraph" w:styleId="BlockText">
    <w:name w:val="Block Text"/>
    <w:basedOn w:val="Normal"/>
    <w:uiPriority w:val="99"/>
    <w:semiHidden/>
    <w:unhideWhenUsed/>
    <w:rsid w:val="0027553B"/>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customStyle="1" w:styleId="TableText">
    <w:name w:val="Table Text"/>
    <w:basedOn w:val="Normal"/>
    <w:link w:val="TableTextChar"/>
    <w:rsid w:val="00A1566E"/>
    <w:pPr>
      <w:spacing w:after="0" w:line="240" w:lineRule="auto"/>
    </w:pPr>
    <w:rPr>
      <w:sz w:val="18"/>
    </w:rPr>
  </w:style>
  <w:style w:type="paragraph" w:styleId="BodyText">
    <w:name w:val="Body Text"/>
    <w:basedOn w:val="Normal"/>
    <w:link w:val="BodyTextChar"/>
    <w:uiPriority w:val="99"/>
    <w:rsid w:val="00A1566E"/>
    <w:pPr>
      <w:spacing w:line="240" w:lineRule="atLeast"/>
      <w:jc w:val="both"/>
    </w:pPr>
  </w:style>
  <w:style w:type="character" w:customStyle="1" w:styleId="BodyTextChar">
    <w:name w:val="Body Text Char"/>
    <w:basedOn w:val="DefaultParagraphFont"/>
    <w:link w:val="BodyText"/>
    <w:uiPriority w:val="99"/>
    <w:rsid w:val="00A1566E"/>
    <w:rPr>
      <w:rFonts w:ascii="Arial" w:eastAsia="Times New Roman" w:hAnsi="Arial" w:cs="Times New Roman"/>
      <w:szCs w:val="20"/>
      <w:lang w:val="en-CA"/>
    </w:rPr>
  </w:style>
  <w:style w:type="paragraph" w:customStyle="1" w:styleId="115space-Bodytext">
    <w:name w:val="1.15 space - Body text"/>
    <w:basedOn w:val="Normal"/>
    <w:next w:val="Normal"/>
    <w:link w:val="115space-BodytextChar"/>
    <w:rsid w:val="0027553B"/>
    <w:pPr>
      <w:spacing w:line="276" w:lineRule="auto"/>
      <w:jc w:val="both"/>
    </w:pPr>
    <w:rPr>
      <w:bCs/>
      <w:sz w:val="24"/>
      <w:lang w:val="en-GB"/>
    </w:rPr>
  </w:style>
  <w:style w:type="character" w:customStyle="1" w:styleId="115space-BodytextChar">
    <w:name w:val="1.15 space - Body text Char"/>
    <w:basedOn w:val="DefaultParagraphFont"/>
    <w:link w:val="115space-Bodytext"/>
    <w:rsid w:val="0027553B"/>
    <w:rPr>
      <w:bCs/>
      <w:sz w:val="24"/>
      <w:lang w:val="en-GB"/>
    </w:rPr>
  </w:style>
  <w:style w:type="paragraph" w:customStyle="1" w:styleId="BodyText3A-singlespace">
    <w:name w:val="Body Text 3A - single space"/>
    <w:basedOn w:val="BodyText"/>
    <w:link w:val="BodyText3A-singlespaceChar"/>
    <w:rsid w:val="0027553B"/>
    <w:pPr>
      <w:keepLines/>
      <w:widowControl w:val="0"/>
      <w:spacing w:after="0" w:line="240" w:lineRule="auto"/>
    </w:pPr>
    <w:rPr>
      <w:spacing w:val="-2"/>
      <w:szCs w:val="24"/>
    </w:rPr>
  </w:style>
  <w:style w:type="character" w:customStyle="1" w:styleId="BodyText3A-singlespaceChar">
    <w:name w:val="Body Text 3A - single space Char"/>
    <w:basedOn w:val="DefaultParagraphFont"/>
    <w:link w:val="BodyText3A-singlespace"/>
    <w:rsid w:val="0027553B"/>
    <w:rPr>
      <w:spacing w:val="-2"/>
      <w:sz w:val="20"/>
      <w:szCs w:val="24"/>
    </w:rPr>
  </w:style>
  <w:style w:type="paragraph" w:styleId="Caption">
    <w:name w:val="caption"/>
    <w:basedOn w:val="Normal"/>
    <w:next w:val="Normal"/>
    <w:qFormat/>
    <w:rsid w:val="00A1566E"/>
    <w:pPr>
      <w:keepNext/>
      <w:spacing w:line="240" w:lineRule="auto"/>
      <w:ind w:left="1440" w:hanging="1440"/>
    </w:pPr>
    <w:rPr>
      <w:b/>
      <w:bCs/>
    </w:rPr>
  </w:style>
  <w:style w:type="paragraph" w:styleId="NoSpacing">
    <w:name w:val="No Spacing"/>
    <w:aliases w:val="Indent"/>
    <w:uiPriority w:val="1"/>
    <w:qFormat/>
    <w:rsid w:val="00A1566E"/>
    <w:pPr>
      <w:spacing w:after="0" w:line="240" w:lineRule="auto"/>
    </w:pPr>
    <w:rPr>
      <w:rFonts w:eastAsiaTheme="minorEastAsia"/>
      <w:lang w:val="en-GB" w:eastAsia="en-GB"/>
    </w:rPr>
  </w:style>
  <w:style w:type="paragraph" w:customStyle="1" w:styleId="BodyText10">
    <w:name w:val="Body Text1"/>
    <w:basedOn w:val="Normal"/>
    <w:next w:val="Normal"/>
    <w:link w:val="BodytextChar1"/>
    <w:rsid w:val="0027553B"/>
    <w:pPr>
      <w:jc w:val="both"/>
    </w:pPr>
    <w:rPr>
      <w:bCs/>
      <w:lang w:val="en-GB"/>
    </w:rPr>
  </w:style>
  <w:style w:type="paragraph" w:styleId="BalloonText">
    <w:name w:val="Balloon Text"/>
    <w:basedOn w:val="Normal"/>
    <w:link w:val="BalloonTextChar"/>
    <w:rsid w:val="00A1566E"/>
    <w:rPr>
      <w:rFonts w:ascii="Tahoma" w:hAnsi="Tahoma" w:cs="Tahoma"/>
      <w:sz w:val="16"/>
      <w:szCs w:val="16"/>
    </w:rPr>
  </w:style>
  <w:style w:type="character" w:customStyle="1" w:styleId="BalloonTextChar">
    <w:name w:val="Balloon Text Char"/>
    <w:basedOn w:val="DefaultParagraphFont"/>
    <w:link w:val="BalloonText"/>
    <w:rsid w:val="00A1566E"/>
    <w:rPr>
      <w:rFonts w:ascii="Tahoma" w:eastAsia="Times New Roman" w:hAnsi="Tahoma" w:cs="Tahoma"/>
      <w:sz w:val="16"/>
      <w:szCs w:val="16"/>
      <w:lang w:val="en-CA"/>
    </w:rPr>
  </w:style>
  <w:style w:type="table" w:styleId="TableGrid">
    <w:name w:val="Table Grid"/>
    <w:basedOn w:val="TableNormal"/>
    <w:uiPriority w:val="59"/>
    <w:rsid w:val="00A1566E"/>
    <w:pPr>
      <w:spacing w:after="0" w:line="240" w:lineRule="auto"/>
    </w:pPr>
    <w:rPr>
      <w:rFonts w:ascii="Times New Roman" w:eastAsia="Times New Roman" w:hAnsi="Times New Roman" w:cs="Times New Roman"/>
      <w:sz w:val="20"/>
      <w:szCs w:val="20"/>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1566E"/>
    <w:pPr>
      <w:tabs>
        <w:tab w:val="right" w:pos="8640"/>
      </w:tabs>
      <w:spacing w:after="0" w:line="240" w:lineRule="auto"/>
    </w:pPr>
  </w:style>
  <w:style w:type="character" w:customStyle="1" w:styleId="HeaderChar">
    <w:name w:val="Header Char"/>
    <w:basedOn w:val="DefaultParagraphFont"/>
    <w:link w:val="Header"/>
    <w:rsid w:val="00A1566E"/>
    <w:rPr>
      <w:rFonts w:ascii="Arial" w:eastAsia="Times New Roman" w:hAnsi="Arial" w:cs="Times New Roman"/>
      <w:szCs w:val="20"/>
      <w:lang w:val="en-CA"/>
    </w:rPr>
  </w:style>
  <w:style w:type="character" w:customStyle="1" w:styleId="apple-converted-space">
    <w:name w:val="apple-converted-space"/>
    <w:basedOn w:val="DefaultParagraphFont"/>
    <w:rsid w:val="00A1566E"/>
  </w:style>
  <w:style w:type="table" w:customStyle="1" w:styleId="TableGrid1">
    <w:name w:val="Table Grid1"/>
    <w:basedOn w:val="TableNormal"/>
    <w:next w:val="TableGrid"/>
    <w:uiPriority w:val="59"/>
    <w:rsid w:val="00A1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1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1566E"/>
    <w:pPr>
      <w:spacing w:after="0" w:afterAutospacing="0" w:line="240" w:lineRule="auto"/>
    </w:pPr>
    <w:rPr>
      <w:rFonts w:ascii="Times New Roman" w:hAnsi="Times New Roman"/>
      <w:sz w:val="24"/>
      <w:szCs w:val="24"/>
      <w:lang w:val="en-US"/>
    </w:rPr>
  </w:style>
  <w:style w:type="character" w:styleId="CommentReference">
    <w:name w:val="annotation reference"/>
    <w:basedOn w:val="DefaultParagraphFont"/>
    <w:uiPriority w:val="99"/>
    <w:rsid w:val="00A1566E"/>
    <w:rPr>
      <w:sz w:val="16"/>
      <w:szCs w:val="16"/>
    </w:rPr>
  </w:style>
  <w:style w:type="paragraph" w:styleId="CommentText">
    <w:name w:val="annotation text"/>
    <w:basedOn w:val="Normal"/>
    <w:link w:val="CommentTextChar"/>
    <w:uiPriority w:val="99"/>
    <w:rsid w:val="00A1566E"/>
    <w:rPr>
      <w:sz w:val="20"/>
    </w:rPr>
  </w:style>
  <w:style w:type="character" w:customStyle="1" w:styleId="CommentTextChar">
    <w:name w:val="Comment Text Char"/>
    <w:basedOn w:val="DefaultParagraphFont"/>
    <w:link w:val="CommentText"/>
    <w:uiPriority w:val="99"/>
    <w:rsid w:val="00A1566E"/>
    <w:rPr>
      <w:rFonts w:ascii="Arial" w:eastAsia="Times New Roman" w:hAnsi="Arial" w:cs="Times New Roman"/>
      <w:sz w:val="20"/>
      <w:szCs w:val="20"/>
      <w:lang w:val="en-CA"/>
    </w:rPr>
  </w:style>
  <w:style w:type="paragraph" w:styleId="CommentSubject">
    <w:name w:val="annotation subject"/>
    <w:basedOn w:val="CommentText"/>
    <w:next w:val="CommentText"/>
    <w:link w:val="CommentSubjectChar"/>
    <w:uiPriority w:val="99"/>
    <w:semiHidden/>
    <w:rsid w:val="00A1566E"/>
    <w:rPr>
      <w:b/>
      <w:bCs/>
    </w:rPr>
  </w:style>
  <w:style w:type="character" w:customStyle="1" w:styleId="CommentSubjectChar">
    <w:name w:val="Comment Subject Char"/>
    <w:basedOn w:val="CommentTextChar"/>
    <w:link w:val="CommentSubject"/>
    <w:uiPriority w:val="99"/>
    <w:semiHidden/>
    <w:rsid w:val="00A1566E"/>
    <w:rPr>
      <w:rFonts w:ascii="Arial" w:eastAsia="Times New Roman" w:hAnsi="Arial" w:cs="Times New Roman"/>
      <w:b/>
      <w:bCs/>
      <w:sz w:val="20"/>
      <w:szCs w:val="20"/>
      <w:lang w:val="en-CA"/>
    </w:rPr>
  </w:style>
  <w:style w:type="character" w:styleId="Hyperlink">
    <w:name w:val="Hyperlink"/>
    <w:basedOn w:val="DefaultParagraphFont"/>
    <w:uiPriority w:val="99"/>
    <w:qFormat/>
    <w:rsid w:val="00A1566E"/>
    <w:rPr>
      <w:color w:val="0000FF"/>
      <w:u w:val="single"/>
    </w:rPr>
  </w:style>
  <w:style w:type="paragraph" w:customStyle="1" w:styleId="Default">
    <w:name w:val="Default"/>
    <w:rsid w:val="00A1566E"/>
    <w:pPr>
      <w:autoSpaceDE w:val="0"/>
      <w:autoSpaceDN w:val="0"/>
      <w:adjustRightInd w:val="0"/>
      <w:spacing w:after="0" w:line="240" w:lineRule="auto"/>
    </w:pPr>
    <w:rPr>
      <w:rFonts w:ascii="Calibri" w:eastAsiaTheme="minorEastAsia" w:hAnsi="Calibri" w:cs="Calibri"/>
      <w:color w:val="000000"/>
      <w:sz w:val="24"/>
      <w:szCs w:val="24"/>
      <w:lang w:val="en-GB" w:eastAsia="en-GB"/>
    </w:rPr>
  </w:style>
  <w:style w:type="table" w:customStyle="1" w:styleId="TableGrid3">
    <w:name w:val="Table Grid3"/>
    <w:basedOn w:val="TableNormal"/>
    <w:next w:val="TableGrid"/>
    <w:uiPriority w:val="59"/>
    <w:rsid w:val="00A1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A1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A1566E"/>
  </w:style>
  <w:style w:type="table" w:customStyle="1" w:styleId="TableGrid4">
    <w:name w:val="Table Grid4"/>
    <w:basedOn w:val="TableNormal"/>
    <w:next w:val="TableGrid"/>
    <w:uiPriority w:val="59"/>
    <w:rsid w:val="00A1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A1566E"/>
  </w:style>
  <w:style w:type="table" w:customStyle="1" w:styleId="TableGrid5">
    <w:name w:val="Table Grid5"/>
    <w:basedOn w:val="TableNormal"/>
    <w:next w:val="TableGrid"/>
    <w:uiPriority w:val="59"/>
    <w:rsid w:val="00A1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A1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A1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A1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A1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A1566E"/>
  </w:style>
  <w:style w:type="table" w:customStyle="1" w:styleId="TableGrid41">
    <w:name w:val="Table Grid41"/>
    <w:basedOn w:val="TableNormal"/>
    <w:next w:val="TableGrid"/>
    <w:uiPriority w:val="59"/>
    <w:rsid w:val="00A15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A1566E"/>
  </w:style>
  <w:style w:type="character" w:styleId="FollowedHyperlink">
    <w:name w:val="FollowedHyperlink"/>
    <w:uiPriority w:val="99"/>
    <w:rsid w:val="00A1566E"/>
    <w:rPr>
      <w:color w:val="800080"/>
      <w:u w:val="single"/>
    </w:rPr>
  </w:style>
  <w:style w:type="table" w:customStyle="1" w:styleId="TableGrid51">
    <w:name w:val="Table Grid51"/>
    <w:basedOn w:val="TableNormal"/>
    <w:next w:val="TableGrid"/>
    <w:uiPriority w:val="59"/>
    <w:rsid w:val="00A156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uiPriority w:val="59"/>
    <w:rsid w:val="00A156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uiPriority w:val="59"/>
    <w:rsid w:val="00A156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uiPriority w:val="59"/>
    <w:rsid w:val="00A156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uiPriority w:val="59"/>
    <w:rsid w:val="00A156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uiPriority w:val="59"/>
    <w:rsid w:val="00A156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rsid w:val="00A1566E"/>
    <w:rPr>
      <w:i/>
    </w:rPr>
  </w:style>
  <w:style w:type="paragraph" w:customStyle="1" w:styleId="NormalNoSpaceAfter">
    <w:name w:val="Normal NoSpaceAfter"/>
    <w:basedOn w:val="Normal"/>
    <w:rsid w:val="00A1566E"/>
    <w:pPr>
      <w:spacing w:after="0" w:afterAutospacing="0" w:line="240" w:lineRule="auto"/>
    </w:pPr>
    <w:rPr>
      <w:rFonts w:ascii="Times New Roman" w:hAnsi="Times New Roman"/>
      <w:sz w:val="24"/>
      <w:szCs w:val="24"/>
      <w:lang w:val="en-GB"/>
    </w:rPr>
  </w:style>
  <w:style w:type="table" w:customStyle="1" w:styleId="TableGrid6">
    <w:name w:val="Table Grid6"/>
    <w:basedOn w:val="TableNormal"/>
    <w:next w:val="TableGrid"/>
    <w:uiPriority w:val="59"/>
    <w:rsid w:val="00A1566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27553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27553B"/>
    <w:rPr>
      <w:rFonts w:ascii="Tahoma" w:hAnsi="Tahoma" w:cs="Tahoma"/>
      <w:sz w:val="16"/>
      <w:szCs w:val="16"/>
    </w:rPr>
  </w:style>
  <w:style w:type="paragraph" w:styleId="TOC1">
    <w:name w:val="toc 1"/>
    <w:basedOn w:val="Normal"/>
    <w:next w:val="Normal"/>
    <w:uiPriority w:val="39"/>
    <w:rsid w:val="00A1566E"/>
    <w:pPr>
      <w:spacing w:before="240" w:after="0" w:line="240" w:lineRule="auto"/>
      <w:ind w:left="720" w:right="720" w:hanging="720"/>
    </w:pPr>
  </w:style>
  <w:style w:type="paragraph" w:styleId="TOC2">
    <w:name w:val="toc 2"/>
    <w:basedOn w:val="Normal"/>
    <w:next w:val="Normal"/>
    <w:uiPriority w:val="39"/>
    <w:rsid w:val="00A1566E"/>
    <w:pPr>
      <w:spacing w:after="0" w:line="240" w:lineRule="auto"/>
      <w:ind w:left="1440" w:right="720" w:hanging="720"/>
    </w:pPr>
  </w:style>
  <w:style w:type="paragraph" w:styleId="TOC3">
    <w:name w:val="toc 3"/>
    <w:basedOn w:val="Normal"/>
    <w:next w:val="Normal"/>
    <w:uiPriority w:val="39"/>
    <w:rsid w:val="00A1566E"/>
    <w:pPr>
      <w:spacing w:after="0" w:line="240" w:lineRule="auto"/>
      <w:ind w:left="2160" w:right="720" w:hanging="720"/>
    </w:pPr>
  </w:style>
  <w:style w:type="paragraph" w:styleId="TOC4">
    <w:name w:val="toc 4"/>
    <w:basedOn w:val="Normal"/>
    <w:next w:val="Normal"/>
    <w:autoRedefine/>
    <w:rsid w:val="00A1566E"/>
    <w:pPr>
      <w:ind w:left="3600" w:hanging="1440"/>
    </w:pPr>
  </w:style>
  <w:style w:type="paragraph" w:styleId="TOC5">
    <w:name w:val="toc 5"/>
    <w:basedOn w:val="Normal"/>
    <w:next w:val="Normal"/>
    <w:autoRedefine/>
    <w:rsid w:val="00A1566E"/>
    <w:pPr>
      <w:ind w:left="880"/>
    </w:pPr>
  </w:style>
  <w:style w:type="paragraph" w:styleId="TOC6">
    <w:name w:val="toc 6"/>
    <w:basedOn w:val="Normal"/>
    <w:next w:val="Normal"/>
    <w:autoRedefine/>
    <w:rsid w:val="00A1566E"/>
    <w:pPr>
      <w:ind w:left="1100"/>
    </w:pPr>
  </w:style>
  <w:style w:type="paragraph" w:styleId="TOC7">
    <w:name w:val="toc 7"/>
    <w:basedOn w:val="Normal"/>
    <w:next w:val="Normal"/>
    <w:autoRedefine/>
    <w:rsid w:val="00A1566E"/>
    <w:pPr>
      <w:ind w:left="1320"/>
    </w:pPr>
  </w:style>
  <w:style w:type="paragraph" w:styleId="TOC8">
    <w:name w:val="toc 8"/>
    <w:basedOn w:val="Normal"/>
    <w:next w:val="Normal"/>
    <w:autoRedefine/>
    <w:rsid w:val="00A1566E"/>
    <w:pPr>
      <w:ind w:left="1540"/>
    </w:pPr>
  </w:style>
  <w:style w:type="paragraph" w:styleId="TOC9">
    <w:name w:val="toc 9"/>
    <w:basedOn w:val="Normal"/>
    <w:next w:val="Normal"/>
    <w:autoRedefine/>
    <w:rsid w:val="00A1566E"/>
    <w:pPr>
      <w:ind w:left="1760"/>
    </w:pPr>
  </w:style>
  <w:style w:type="paragraph" w:styleId="BodyText2">
    <w:name w:val="Body Text 2"/>
    <w:basedOn w:val="Normal"/>
    <w:link w:val="BodyText2Char"/>
    <w:uiPriority w:val="99"/>
    <w:unhideWhenUsed/>
    <w:rsid w:val="00A1566E"/>
    <w:pPr>
      <w:spacing w:after="0" w:line="240" w:lineRule="auto"/>
      <w:jc w:val="both"/>
    </w:pPr>
    <w:rPr>
      <w:rFonts w:cstheme="minorHAnsi"/>
      <w:color w:val="FF0000"/>
      <w:sz w:val="24"/>
      <w:szCs w:val="24"/>
    </w:rPr>
  </w:style>
  <w:style w:type="character" w:customStyle="1" w:styleId="BodyText2Char">
    <w:name w:val="Body Text 2 Char"/>
    <w:basedOn w:val="DefaultParagraphFont"/>
    <w:link w:val="BodyText2"/>
    <w:uiPriority w:val="99"/>
    <w:rsid w:val="00A1566E"/>
    <w:rPr>
      <w:rFonts w:ascii="Arial" w:eastAsia="Times New Roman" w:hAnsi="Arial" w:cstheme="minorHAnsi"/>
      <w:color w:val="FF0000"/>
      <w:sz w:val="24"/>
      <w:szCs w:val="24"/>
      <w:lang w:val="en-CA"/>
    </w:rPr>
  </w:style>
  <w:style w:type="paragraph" w:customStyle="1" w:styleId="EndNoteBibliographyTitle">
    <w:name w:val="EndNote Bibliography Title"/>
    <w:basedOn w:val="Normal"/>
    <w:link w:val="EndNoteBibliographyTitleChar"/>
    <w:rsid w:val="0027553B"/>
    <w:pPr>
      <w:spacing w:after="0"/>
      <w:jc w:val="center"/>
    </w:pPr>
    <w:rPr>
      <w:rFonts w:ascii="Cambria" w:hAnsi="Cambria" w:cs="Calibri"/>
      <w:noProof/>
    </w:rPr>
  </w:style>
  <w:style w:type="character" w:customStyle="1" w:styleId="EndNoteBibliographyTitleChar">
    <w:name w:val="EndNote Bibliography Title Char"/>
    <w:basedOn w:val="DefaultParagraphFont"/>
    <w:link w:val="EndNoteBibliographyTitle"/>
    <w:rsid w:val="0027553B"/>
    <w:rPr>
      <w:rFonts w:ascii="Cambria" w:hAnsi="Cambria" w:cs="Calibri"/>
      <w:noProof/>
      <w:sz w:val="20"/>
    </w:rPr>
  </w:style>
  <w:style w:type="paragraph" w:customStyle="1" w:styleId="EndNoteBibliography">
    <w:name w:val="EndNote Bibliography"/>
    <w:basedOn w:val="Normal"/>
    <w:link w:val="EndNoteBibliographyChar"/>
    <w:rsid w:val="0027553B"/>
    <w:pPr>
      <w:spacing w:line="240" w:lineRule="auto"/>
    </w:pPr>
    <w:rPr>
      <w:rFonts w:ascii="Cambria" w:hAnsi="Cambria" w:cs="Calibri"/>
      <w:noProof/>
    </w:rPr>
  </w:style>
  <w:style w:type="character" w:customStyle="1" w:styleId="EndNoteBibliographyChar">
    <w:name w:val="EndNote Bibliography Char"/>
    <w:basedOn w:val="DefaultParagraphFont"/>
    <w:link w:val="EndNoteBibliography"/>
    <w:rsid w:val="0027553B"/>
    <w:rPr>
      <w:rFonts w:ascii="Cambria" w:hAnsi="Cambria" w:cs="Calibri"/>
      <w:noProof/>
      <w:sz w:val="20"/>
    </w:rPr>
  </w:style>
  <w:style w:type="character" w:customStyle="1" w:styleId="TableTextChar">
    <w:name w:val="Table Text Char"/>
    <w:basedOn w:val="DefaultParagraphFont"/>
    <w:link w:val="TableText"/>
    <w:rsid w:val="00A1566E"/>
    <w:rPr>
      <w:rFonts w:ascii="Arial" w:eastAsia="Times New Roman" w:hAnsi="Arial" w:cs="Times New Roman"/>
      <w:sz w:val="18"/>
      <w:szCs w:val="20"/>
      <w:lang w:val="en-CA"/>
    </w:rPr>
  </w:style>
  <w:style w:type="paragraph" w:styleId="Revision">
    <w:name w:val="Revision"/>
    <w:hidden/>
    <w:uiPriority w:val="99"/>
    <w:semiHidden/>
    <w:rsid w:val="00A1566E"/>
    <w:pPr>
      <w:spacing w:after="0" w:line="240" w:lineRule="auto"/>
    </w:pPr>
    <w:rPr>
      <w:rFonts w:eastAsiaTheme="minorEastAsia"/>
      <w:lang w:val="en-GB" w:eastAsia="en-GB"/>
    </w:rPr>
  </w:style>
  <w:style w:type="character" w:customStyle="1" w:styleId="A4">
    <w:name w:val="A4"/>
    <w:uiPriority w:val="99"/>
    <w:rsid w:val="00A1566E"/>
    <w:rPr>
      <w:rFonts w:cs="Shaker 2 Lancet Regular"/>
      <w:color w:val="000000"/>
      <w:sz w:val="9"/>
      <w:szCs w:val="9"/>
    </w:rPr>
  </w:style>
  <w:style w:type="character" w:customStyle="1" w:styleId="reference-text">
    <w:name w:val="reference-text"/>
    <w:basedOn w:val="DefaultParagraphFont"/>
    <w:rsid w:val="00A1566E"/>
  </w:style>
  <w:style w:type="paragraph" w:customStyle="1" w:styleId="Style1">
    <w:name w:val="Style1"/>
    <w:basedOn w:val="Heading1"/>
    <w:link w:val="Style1Char"/>
    <w:autoRedefine/>
    <w:rsid w:val="00A1566E"/>
    <w:pPr>
      <w:numPr>
        <w:numId w:val="28"/>
      </w:numPr>
    </w:pPr>
  </w:style>
  <w:style w:type="character" w:customStyle="1" w:styleId="Style1Char">
    <w:name w:val="Style1 Char"/>
    <w:basedOn w:val="Heading1Char"/>
    <w:link w:val="Style1"/>
    <w:rsid w:val="00A1566E"/>
    <w:rPr>
      <w:rFonts w:ascii="Arial" w:eastAsia="Times New Roman" w:hAnsi="Arial" w:cs="Arial"/>
      <w:b/>
      <w:bCs/>
      <w:kern w:val="32"/>
    </w:rPr>
  </w:style>
  <w:style w:type="paragraph" w:styleId="TOCHeading">
    <w:name w:val="TOC Heading"/>
    <w:basedOn w:val="Heading1"/>
    <w:next w:val="Normal"/>
    <w:uiPriority w:val="39"/>
    <w:unhideWhenUsed/>
    <w:qFormat/>
    <w:rsid w:val="00A1566E"/>
    <w:pPr>
      <w:spacing w:before="480"/>
      <w:outlineLvl w:val="9"/>
    </w:pPr>
    <w:rPr>
      <w:rFonts w:asciiTheme="majorHAnsi" w:hAnsiTheme="majorHAnsi"/>
      <w:caps/>
      <w:color w:val="365F91" w:themeColor="accent1" w:themeShade="BF"/>
      <w:sz w:val="28"/>
    </w:rPr>
  </w:style>
  <w:style w:type="paragraph" w:styleId="BodyText3">
    <w:name w:val="Body Text 3"/>
    <w:basedOn w:val="Normal"/>
    <w:link w:val="BodyText3Char"/>
    <w:uiPriority w:val="99"/>
    <w:unhideWhenUsed/>
    <w:rsid w:val="00A1566E"/>
    <w:pPr>
      <w:autoSpaceDE w:val="0"/>
      <w:autoSpaceDN w:val="0"/>
      <w:adjustRightInd w:val="0"/>
      <w:spacing w:after="0" w:line="240" w:lineRule="auto"/>
    </w:pPr>
    <w:rPr>
      <w:rFonts w:cstheme="minorHAnsi"/>
      <w:sz w:val="24"/>
      <w:szCs w:val="24"/>
    </w:rPr>
  </w:style>
  <w:style w:type="character" w:customStyle="1" w:styleId="BodyText3Char">
    <w:name w:val="Body Text 3 Char"/>
    <w:basedOn w:val="DefaultParagraphFont"/>
    <w:link w:val="BodyText3"/>
    <w:uiPriority w:val="99"/>
    <w:rsid w:val="00A1566E"/>
    <w:rPr>
      <w:rFonts w:ascii="Arial" w:eastAsia="Times New Roman" w:hAnsi="Arial" w:cstheme="minorHAnsi"/>
      <w:sz w:val="24"/>
      <w:szCs w:val="24"/>
      <w:lang w:val="en-CA"/>
    </w:rPr>
  </w:style>
  <w:style w:type="character" w:customStyle="1" w:styleId="st">
    <w:name w:val="st"/>
    <w:basedOn w:val="DefaultParagraphFont"/>
    <w:rsid w:val="00A1566E"/>
  </w:style>
  <w:style w:type="character" w:styleId="LineNumber">
    <w:name w:val="line number"/>
    <w:basedOn w:val="DefaultParagraphFont"/>
    <w:unhideWhenUsed/>
    <w:rsid w:val="00A1566E"/>
  </w:style>
  <w:style w:type="paragraph" w:styleId="Title">
    <w:name w:val="Title"/>
    <w:basedOn w:val="Normal"/>
    <w:next w:val="Normal"/>
    <w:link w:val="TitleChar"/>
    <w:qFormat/>
    <w:rsid w:val="00A1566E"/>
    <w:pPr>
      <w:keepNext/>
      <w:keepLines/>
      <w:pBdr>
        <w:top w:val="single" w:sz="6" w:space="16" w:color="auto"/>
      </w:pBdr>
      <w:spacing w:after="480" w:line="320" w:lineRule="atLeast"/>
      <w:jc w:val="center"/>
    </w:pPr>
    <w:rPr>
      <w:b/>
      <w:sz w:val="36"/>
    </w:rPr>
  </w:style>
  <w:style w:type="character" w:customStyle="1" w:styleId="TitleChar">
    <w:name w:val="Title Char"/>
    <w:basedOn w:val="DefaultParagraphFont"/>
    <w:link w:val="Title"/>
    <w:rsid w:val="00A1566E"/>
    <w:rPr>
      <w:rFonts w:ascii="Arial" w:eastAsia="Times New Roman" w:hAnsi="Arial" w:cs="Times New Roman"/>
      <w:b/>
      <w:sz w:val="36"/>
      <w:szCs w:val="20"/>
      <w:lang w:val="en-CA"/>
    </w:rPr>
  </w:style>
  <w:style w:type="paragraph" w:styleId="TableofFigures">
    <w:name w:val="table of figures"/>
    <w:basedOn w:val="Normal"/>
    <w:rsid w:val="00A1566E"/>
    <w:pPr>
      <w:keepNext/>
      <w:spacing w:line="240" w:lineRule="auto"/>
      <w:ind w:left="1440" w:hanging="1440"/>
    </w:pPr>
    <w:rPr>
      <w:b/>
    </w:rPr>
  </w:style>
  <w:style w:type="paragraph" w:styleId="List">
    <w:name w:val="List"/>
    <w:basedOn w:val="BodyText"/>
    <w:link w:val="ListChar"/>
    <w:rsid w:val="00A1566E"/>
    <w:pPr>
      <w:keepNext/>
      <w:spacing w:before="60" w:after="60" w:line="240" w:lineRule="auto"/>
      <w:ind w:left="1440" w:hanging="1440"/>
      <w:jc w:val="left"/>
    </w:pPr>
    <w:rPr>
      <w:b/>
    </w:rPr>
  </w:style>
  <w:style w:type="character" w:customStyle="1" w:styleId="ListChar">
    <w:name w:val="List Char"/>
    <w:basedOn w:val="BodyTextChar"/>
    <w:link w:val="List"/>
    <w:rsid w:val="00A1566E"/>
    <w:rPr>
      <w:rFonts w:ascii="Arial" w:eastAsia="Times New Roman" w:hAnsi="Arial" w:cs="Times New Roman"/>
      <w:b/>
      <w:szCs w:val="20"/>
      <w:lang w:val="en-CA"/>
    </w:rPr>
  </w:style>
  <w:style w:type="character" w:styleId="PageNumber">
    <w:name w:val="page number"/>
    <w:basedOn w:val="DefaultParagraphFont"/>
    <w:rsid w:val="00A1566E"/>
    <w:rPr>
      <w:rFonts w:ascii="Arial" w:hAnsi="Arial"/>
      <w:sz w:val="18"/>
    </w:rPr>
  </w:style>
  <w:style w:type="paragraph" w:customStyle="1" w:styleId="References">
    <w:name w:val="References"/>
    <w:basedOn w:val="Normal"/>
    <w:rsid w:val="00A1566E"/>
    <w:pPr>
      <w:keepLines/>
      <w:spacing w:line="240" w:lineRule="auto"/>
      <w:ind w:left="720" w:hanging="720"/>
    </w:pPr>
  </w:style>
  <w:style w:type="paragraph" w:styleId="ListBullet">
    <w:name w:val="List Bullet"/>
    <w:basedOn w:val="Normal"/>
    <w:rsid w:val="00A1566E"/>
    <w:pPr>
      <w:numPr>
        <w:numId w:val="29"/>
      </w:numPr>
      <w:tabs>
        <w:tab w:val="clear" w:pos="981"/>
      </w:tabs>
      <w:ind w:left="720" w:hanging="360"/>
    </w:pPr>
  </w:style>
  <w:style w:type="paragraph" w:styleId="ListBullet2">
    <w:name w:val="List Bullet 2"/>
    <w:basedOn w:val="Normal"/>
    <w:rsid w:val="00A1566E"/>
    <w:pPr>
      <w:numPr>
        <w:numId w:val="12"/>
      </w:numPr>
      <w:tabs>
        <w:tab w:val="clear" w:pos="720"/>
      </w:tabs>
      <w:ind w:left="1080"/>
    </w:pPr>
  </w:style>
  <w:style w:type="paragraph" w:styleId="ListBullet3">
    <w:name w:val="List Bullet 3"/>
    <w:basedOn w:val="Normal"/>
    <w:rsid w:val="00A1566E"/>
    <w:pPr>
      <w:numPr>
        <w:numId w:val="13"/>
      </w:numPr>
      <w:tabs>
        <w:tab w:val="clear" w:pos="1080"/>
      </w:tabs>
      <w:ind w:left="1440"/>
    </w:pPr>
  </w:style>
  <w:style w:type="paragraph" w:styleId="ListNumber2">
    <w:name w:val="List Number 2"/>
    <w:basedOn w:val="Normal"/>
    <w:rsid w:val="00A1566E"/>
    <w:pPr>
      <w:numPr>
        <w:numId w:val="17"/>
      </w:numPr>
      <w:tabs>
        <w:tab w:val="clear" w:pos="540"/>
      </w:tabs>
      <w:spacing w:after="120"/>
      <w:ind w:left="0" w:firstLine="0"/>
    </w:pPr>
  </w:style>
  <w:style w:type="paragraph" w:styleId="ListNumber">
    <w:name w:val="List Number"/>
    <w:basedOn w:val="Normal"/>
    <w:rsid w:val="00A1566E"/>
    <w:pPr>
      <w:numPr>
        <w:numId w:val="16"/>
      </w:numPr>
      <w:spacing w:after="120"/>
      <w:ind w:left="1080"/>
    </w:pPr>
  </w:style>
  <w:style w:type="paragraph" w:styleId="FootnoteText">
    <w:name w:val="footnote text"/>
    <w:basedOn w:val="Normal"/>
    <w:link w:val="FootnoteTextChar"/>
    <w:rsid w:val="00A1566E"/>
    <w:pPr>
      <w:spacing w:after="0" w:line="240" w:lineRule="auto"/>
    </w:pPr>
    <w:rPr>
      <w:sz w:val="18"/>
    </w:rPr>
  </w:style>
  <w:style w:type="character" w:customStyle="1" w:styleId="FootnoteTextChar">
    <w:name w:val="Footnote Text Char"/>
    <w:basedOn w:val="DefaultParagraphFont"/>
    <w:link w:val="FootnoteText"/>
    <w:rsid w:val="00A1566E"/>
    <w:rPr>
      <w:rFonts w:ascii="Arial" w:eastAsia="Times New Roman" w:hAnsi="Arial" w:cs="Times New Roman"/>
      <w:sz w:val="18"/>
      <w:szCs w:val="20"/>
      <w:lang w:val="en-CA"/>
    </w:rPr>
  </w:style>
  <w:style w:type="character" w:styleId="FootnoteReference">
    <w:name w:val="footnote reference"/>
    <w:basedOn w:val="DefaultParagraphFont"/>
    <w:rsid w:val="00A1566E"/>
    <w:rPr>
      <w:vertAlign w:val="superscript"/>
    </w:rPr>
  </w:style>
  <w:style w:type="paragraph" w:styleId="Subtitle">
    <w:name w:val="Subtitle"/>
    <w:basedOn w:val="Normal"/>
    <w:link w:val="SubtitleChar"/>
    <w:qFormat/>
    <w:rsid w:val="00A1566E"/>
    <w:pPr>
      <w:jc w:val="center"/>
      <w:outlineLvl w:val="0"/>
    </w:pPr>
    <w:rPr>
      <w:rFonts w:cs="Arial"/>
      <w:b/>
      <w:sz w:val="28"/>
      <w:lang w:val="en-GB"/>
    </w:rPr>
  </w:style>
  <w:style w:type="character" w:customStyle="1" w:styleId="SubtitleChar">
    <w:name w:val="Subtitle Char"/>
    <w:basedOn w:val="DefaultParagraphFont"/>
    <w:link w:val="Subtitle"/>
    <w:rsid w:val="00A1566E"/>
    <w:rPr>
      <w:rFonts w:ascii="Arial" w:eastAsia="Times New Roman" w:hAnsi="Arial" w:cs="Arial"/>
      <w:b/>
      <w:sz w:val="28"/>
      <w:szCs w:val="20"/>
      <w:lang w:val="en-GB"/>
    </w:rPr>
  </w:style>
  <w:style w:type="paragraph" w:customStyle="1" w:styleId="TableFooter">
    <w:name w:val="Table Footer"/>
    <w:basedOn w:val="TableText"/>
    <w:qFormat/>
    <w:rsid w:val="00A1566E"/>
    <w:pPr>
      <w:spacing w:before="60" w:after="100"/>
    </w:pPr>
    <w:rPr>
      <w:lang w:val="en-US"/>
    </w:rPr>
  </w:style>
  <w:style w:type="paragraph" w:styleId="EnvelopeReturn">
    <w:name w:val="envelope return"/>
    <w:basedOn w:val="Normal"/>
    <w:uiPriority w:val="99"/>
    <w:semiHidden/>
    <w:unhideWhenUsed/>
    <w:rsid w:val="00A1566E"/>
    <w:pPr>
      <w:spacing w:after="0" w:afterAutospacing="0" w:line="240" w:lineRule="auto"/>
    </w:pPr>
    <w:rPr>
      <w:sz w:val="20"/>
      <w:lang w:val="en-US"/>
    </w:rPr>
  </w:style>
  <w:style w:type="paragraph" w:styleId="EnvelopeAddress">
    <w:name w:val="envelope address"/>
    <w:basedOn w:val="Normal"/>
    <w:uiPriority w:val="99"/>
    <w:semiHidden/>
    <w:unhideWhenUsed/>
    <w:rsid w:val="00A1566E"/>
    <w:pPr>
      <w:framePr w:w="7920" w:h="1980" w:hRule="exact" w:hSpace="180" w:wrap="auto" w:hAnchor="page" w:xAlign="center" w:yAlign="bottom"/>
      <w:spacing w:after="0" w:afterAutospacing="0" w:line="240" w:lineRule="auto"/>
      <w:ind w:left="2880"/>
    </w:pPr>
    <w:rPr>
      <w:sz w:val="28"/>
      <w:szCs w:val="24"/>
      <w:lang w:val="en-US"/>
    </w:rPr>
  </w:style>
  <w:style w:type="paragraph" w:customStyle="1" w:styleId="Style2">
    <w:name w:val="Style 2"/>
    <w:basedOn w:val="Normal"/>
    <w:uiPriority w:val="99"/>
    <w:rsid w:val="00A1566E"/>
    <w:pPr>
      <w:widowControl w:val="0"/>
      <w:tabs>
        <w:tab w:val="left" w:pos="2880"/>
      </w:tabs>
      <w:autoSpaceDE w:val="0"/>
      <w:autoSpaceDN w:val="0"/>
      <w:spacing w:after="0" w:afterAutospacing="0" w:line="288" w:lineRule="atLeast"/>
      <w:ind w:left="2160"/>
    </w:pPr>
    <w:rPr>
      <w:rFonts w:ascii="Times New Roman" w:hAnsi="Times New Roman"/>
      <w:sz w:val="24"/>
      <w:szCs w:val="24"/>
      <w:lang w:val="en-US"/>
    </w:rPr>
  </w:style>
  <w:style w:type="paragraph" w:customStyle="1" w:styleId="Style3">
    <w:name w:val="Style 3"/>
    <w:basedOn w:val="Normal"/>
    <w:uiPriority w:val="99"/>
    <w:rsid w:val="00A1566E"/>
    <w:pPr>
      <w:widowControl w:val="0"/>
      <w:tabs>
        <w:tab w:val="left" w:pos="2124"/>
      </w:tabs>
      <w:autoSpaceDE w:val="0"/>
      <w:autoSpaceDN w:val="0"/>
      <w:spacing w:after="0" w:afterAutospacing="0" w:line="288" w:lineRule="atLeast"/>
      <w:ind w:left="1440"/>
    </w:pPr>
    <w:rPr>
      <w:rFonts w:ascii="Times New Roman" w:hAnsi="Times New Roman"/>
      <w:sz w:val="24"/>
      <w:szCs w:val="24"/>
      <w:lang w:val="en-US"/>
    </w:rPr>
  </w:style>
  <w:style w:type="paragraph" w:customStyle="1" w:styleId="Style10">
    <w:name w:val="Style 1"/>
    <w:basedOn w:val="Normal"/>
    <w:uiPriority w:val="99"/>
    <w:rsid w:val="00A1566E"/>
    <w:pPr>
      <w:widowControl w:val="0"/>
      <w:tabs>
        <w:tab w:val="left" w:pos="1440"/>
      </w:tabs>
      <w:autoSpaceDE w:val="0"/>
      <w:autoSpaceDN w:val="0"/>
      <w:spacing w:after="0" w:afterAutospacing="0" w:line="288" w:lineRule="atLeast"/>
      <w:ind w:left="720"/>
    </w:pPr>
    <w:rPr>
      <w:rFonts w:ascii="Times New Roman" w:hAnsi="Times New Roman"/>
      <w:sz w:val="24"/>
      <w:szCs w:val="24"/>
      <w:lang w:val="en-US"/>
    </w:rPr>
  </w:style>
  <w:style w:type="table" w:customStyle="1" w:styleId="GridTable41">
    <w:name w:val="Grid Table 41"/>
    <w:basedOn w:val="TableNormal"/>
    <w:uiPriority w:val="49"/>
    <w:rsid w:val="00A1566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Grid7">
    <w:name w:val="Table Grid7"/>
    <w:basedOn w:val="TableNormal"/>
    <w:next w:val="TableGrid"/>
    <w:uiPriority w:val="59"/>
    <w:rsid w:val="00A1566E"/>
    <w:pPr>
      <w:spacing w:after="0" w:line="240" w:lineRule="auto"/>
    </w:pPr>
    <w:rPr>
      <w:rFonts w:ascii="Arial" w:eastAsia="Times New Roman" w:hAnsi="Arial"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ecd-ilibrary.org/environment/test-no-487-in-vitro-mammalian-cell-micronucleus-test_9789264224438-e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oecd-ilibrary.org/environment/test-no-473-in-vitro-mammalian-chromosomal-aberration-test_9789264224223-e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ecd-ilibrary.org/environment/test-no-471-bacterial-reverse-mutation-test_9789264071247-en" TargetMode="External"/><Relationship Id="rId5" Type="http://schemas.openxmlformats.org/officeDocument/2006/relationships/webSettings" Target="webSettings.xml"/><Relationship Id="rId15" Type="http://schemas.openxmlformats.org/officeDocument/2006/relationships/hyperlink" Target="http://www.oecd-ilibrary.org/environment/test-no-490-in-vitro-mammalian-cell-gene-mutation-tests-using-the-thymidine-kinase-gene_9789264242241-en" TargetMode="External"/><Relationship Id="rId10" Type="http://schemas.openxmlformats.org/officeDocument/2006/relationships/hyperlink" Target="http://www.oecd-ilibrary.org/environment/test-no-482-genetic-toxicology-dna-damage-and-repair-unscheduled-dna-synthesis-in-mammalian-cells-in-vitro_9789264071445-en" TargetMode="External"/><Relationship Id="rId4" Type="http://schemas.openxmlformats.org/officeDocument/2006/relationships/settings" Target="settings.xml"/><Relationship Id="rId9" Type="http://schemas.openxmlformats.org/officeDocument/2006/relationships/hyperlink" Target="http://ntp.niehs.nih.gov/results/pubs/shortterm/reports/abstracts/tox016/index.html" TargetMode="External"/><Relationship Id="rId14" Type="http://schemas.openxmlformats.org/officeDocument/2006/relationships/hyperlink" Target="http://www.oecd-ilibrary.org/environment/test-no-474-mammalian-erythrocyte-micronucleus-test_9789264224292-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dy.vowles\AppData\Roaming\Microsoft\Templates\Critrevto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Critrevtox</Template>
  <TotalTime>0</TotalTime>
  <Pages>18</Pages>
  <Words>4895</Words>
  <Characters>27903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Monsanto</Company>
  <LinksUpToDate>false</LinksUpToDate>
  <CharactersWithSpaces>32733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ambicke</dc:creator>
  <cp:lastModifiedBy>Larry Kier</cp:lastModifiedBy>
  <cp:revision>2</cp:revision>
  <dcterms:created xsi:type="dcterms:W3CDTF">2016-05-23T17:28:00Z</dcterms:created>
  <dcterms:modified xsi:type="dcterms:W3CDTF">2016-05-23T17:28:00Z</dcterms:modified>
</cp:coreProperties>
</file>