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AE0E1" w14:textId="77777777" w:rsidR="009A72B5" w:rsidRPr="00413B2A" w:rsidRDefault="001A3F3F" w:rsidP="001A3F3F">
      <w:pPr>
        <w:pStyle w:val="Heading1"/>
      </w:pPr>
      <w:r>
        <w:t>Appendix 1</w:t>
      </w:r>
    </w:p>
    <w:p w14:paraId="45E1C931" w14:textId="77777777" w:rsidR="00413B2A" w:rsidRPr="00413B2A" w:rsidRDefault="00413B2A" w:rsidP="001A3F3F">
      <w:pPr>
        <w:pStyle w:val="Heading2"/>
      </w:pPr>
      <w:r w:rsidRPr="00413B2A">
        <w:t>Frequency of injections</w:t>
      </w:r>
    </w:p>
    <w:p w14:paraId="01F03226" w14:textId="20EA5F23" w:rsidR="00BB1031" w:rsidRPr="00413B2A" w:rsidRDefault="00BB1031" w:rsidP="004A15B8">
      <w:r w:rsidRPr="00413B2A">
        <w:t xml:space="preserve">The tables provide supplementary statistical data of the median (lower and upper quartiles) and the smallest and largest values (excluding outliers) for the injection frequency of patients with </w:t>
      </w:r>
      <w:proofErr w:type="spellStart"/>
      <w:r w:rsidRPr="00413B2A">
        <w:t>neovascular</w:t>
      </w:r>
      <w:proofErr w:type="spellEnd"/>
      <w:r w:rsidRPr="00413B2A">
        <w:t xml:space="preserve"> age-related macular edema (nAMD)</w:t>
      </w:r>
      <w:r w:rsidR="009A5BEA" w:rsidRPr="00413B2A">
        <w:t>,</w:t>
      </w:r>
      <w:r w:rsidRPr="00413B2A">
        <w:t xml:space="preserve"> diabetic macular edema (DME, n=76) and retinal vein occlusion (RVO, n=82) who initiated anti-vascular endothelial growth factor (anti-VEGF) treatment between 1 January 2012 and 30 June 2014 and who were treated for at least one year. For nAMD patients, the table presents values for patien</w:t>
      </w:r>
      <w:r w:rsidR="00525495">
        <w:t>ts who received a loading phase</w:t>
      </w:r>
      <w:r w:rsidR="00525495">
        <w:t>, defined as at least three injections during the first four months of treatment</w:t>
      </w:r>
      <w:r w:rsidR="00525495">
        <w:t xml:space="preserve"> </w:t>
      </w:r>
      <w:r w:rsidRPr="00413B2A">
        <w:t>(n=500).</w:t>
      </w:r>
    </w:p>
    <w:p w14:paraId="76C08B02" w14:textId="77777777" w:rsidR="00BB1031" w:rsidRPr="00413B2A" w:rsidRDefault="00BB1031" w:rsidP="004A15B8"/>
    <w:p w14:paraId="53A1B633" w14:textId="77777777" w:rsidR="00530CA7" w:rsidRPr="00413B2A" w:rsidRDefault="00530CA7" w:rsidP="004A15B8">
      <w:r w:rsidRPr="00413B2A">
        <w:t xml:space="preserve">Table 1: Frequency of anti-VEGF injections in year 1 of treatment in treatment-naïve </w:t>
      </w:r>
      <w:r w:rsidR="001A3F3F">
        <w:t xml:space="preserve">nAMD </w:t>
      </w:r>
      <w:r w:rsidRPr="00413B2A">
        <w:t>patients</w:t>
      </w:r>
      <w:r w:rsidR="001A3F3F">
        <w:t xml:space="preserve"> who received a loading dose, diabetic macular edema and retinal vein occlusion patients</w:t>
      </w:r>
    </w:p>
    <w:p w14:paraId="7DD7B7A3" w14:textId="77777777" w:rsidR="00A22893" w:rsidRDefault="00A22893" w:rsidP="00A22893">
      <w:r>
        <w:object w:dxaOrig="7440" w:dyaOrig="4470" w14:anchorId="6259E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223.5pt" o:ole="">
            <v:imagedata r:id="rId8" o:title=""/>
          </v:shape>
          <o:OLEObject Type="Embed" ProgID="AcroExch.Document.7" ShapeID="_x0000_i1025" DrawAspect="Content" ObjectID="_1530705243" r:id="rId9"/>
        </w:object>
      </w:r>
    </w:p>
    <w:p w14:paraId="57ACE4BF" w14:textId="77777777" w:rsidR="00530CA7" w:rsidRPr="00413B2A" w:rsidRDefault="009A5BEA" w:rsidP="001A3F3F">
      <w:pPr>
        <w:pStyle w:val="Heading2"/>
      </w:pPr>
      <w:r w:rsidRPr="00413B2A">
        <w:t xml:space="preserve">Sensitivity analysis for </w:t>
      </w:r>
      <w:r w:rsidR="00530CA7" w:rsidRPr="00413B2A">
        <w:t>nAMD patients</w:t>
      </w:r>
    </w:p>
    <w:p w14:paraId="1ED04908" w14:textId="77777777" w:rsidR="009A5BEA" w:rsidRPr="00413B2A" w:rsidRDefault="009A5BEA" w:rsidP="004A15B8">
      <w:r w:rsidRPr="00413B2A">
        <w:t>A sensitivity analysis was performed for nAMD patients who did not receive a loading phase (n=616) and all nAMD pa</w:t>
      </w:r>
      <w:r w:rsidR="001A3F3F">
        <w:t>tients (n=1,116), irrespective</w:t>
      </w:r>
      <w:r w:rsidRPr="00413B2A">
        <w:t xml:space="preserve"> of loading phase. The tables provide supplementary statistical data of the median (lower and upper quartiles) and the smallest and largest values (excluding outliers) for the injection frequency of patients who initiated anti-vascular endothelial growth factor (anti-VEGF) treatment between 1 January 2012 and 30 June 2014 and who were treated for at least one year. </w:t>
      </w:r>
    </w:p>
    <w:p w14:paraId="378E82FC" w14:textId="77777777" w:rsidR="001A3F3F" w:rsidRDefault="001A3F3F" w:rsidP="001A3F3F"/>
    <w:p w14:paraId="7143D788" w14:textId="77777777" w:rsidR="001A3F3F" w:rsidRPr="00413B2A" w:rsidRDefault="001A3F3F" w:rsidP="001A3F3F">
      <w:r>
        <w:t>Table 2</w:t>
      </w:r>
      <w:r w:rsidRPr="00413B2A">
        <w:t xml:space="preserve">: Frequency of anti-VEGF injections in year 1 of treatment in treatment-naïve </w:t>
      </w:r>
      <w:r>
        <w:t xml:space="preserve">nAMD </w:t>
      </w:r>
      <w:r w:rsidRPr="00413B2A">
        <w:t>patients</w:t>
      </w:r>
      <w:r>
        <w:t xml:space="preserve"> without a loading dose (a) and all nAMD patients (b)</w:t>
      </w:r>
    </w:p>
    <w:p w14:paraId="52B08261" w14:textId="77777777" w:rsidR="00FC1669" w:rsidRPr="00413B2A" w:rsidRDefault="00FC1669" w:rsidP="004A15B8"/>
    <w:p w14:paraId="58869462" w14:textId="77777777" w:rsidR="00FC1669" w:rsidRDefault="00A22893" w:rsidP="004A15B8">
      <w:r>
        <w:object w:dxaOrig="7440" w:dyaOrig="3015" w14:anchorId="2D184D75">
          <v:shape id="_x0000_i1026" type="#_x0000_t75" style="width:372pt;height:150.75pt" o:ole="">
            <v:imagedata r:id="rId10" o:title=""/>
          </v:shape>
          <o:OLEObject Type="Embed" ProgID="AcroExch.Document.7" ShapeID="_x0000_i1026" DrawAspect="Content" ObjectID="_1530705244" r:id="rId11"/>
        </w:object>
      </w:r>
    </w:p>
    <w:p w14:paraId="3DF768F1" w14:textId="77777777" w:rsidR="00A22893" w:rsidRPr="00413B2A" w:rsidRDefault="00A22893" w:rsidP="004A15B8"/>
    <w:p w14:paraId="5781AA42" w14:textId="77777777" w:rsidR="00124092" w:rsidRDefault="00124092" w:rsidP="001A3F3F">
      <w:pPr>
        <w:pStyle w:val="Heading3"/>
      </w:pPr>
      <w:r>
        <w:t xml:space="preserve">nAMD </w:t>
      </w:r>
      <w:r w:rsidR="0085793B">
        <w:t xml:space="preserve">patients </w:t>
      </w:r>
      <w:r>
        <w:t>without loading</w:t>
      </w:r>
    </w:p>
    <w:p w14:paraId="246D9579" w14:textId="77777777" w:rsidR="00530CA7" w:rsidRPr="00413B2A" w:rsidRDefault="00124092" w:rsidP="004A15B8">
      <w:r>
        <w:t>M</w:t>
      </w:r>
      <w:r w:rsidR="00530CA7" w:rsidRPr="00413B2A">
        <w:t xml:space="preserve">ultiple t-tests with Bonferroni corrections identified </w:t>
      </w:r>
      <w:r>
        <w:t>three</w:t>
      </w:r>
      <w:r w:rsidR="00530CA7" w:rsidRPr="00413B2A">
        <w:t xml:space="preserve"> pairwise comparison</w:t>
      </w:r>
      <w:r>
        <w:t>s</w:t>
      </w:r>
      <w:r w:rsidR="00530CA7" w:rsidRPr="00413B2A">
        <w:t xml:space="preserve"> that </w:t>
      </w:r>
      <w:r>
        <w:t>were significantly different (2012/1 and 2012/2 versus 2013/1</w:t>
      </w:r>
      <w:r w:rsidR="00530CA7" w:rsidRPr="00413B2A">
        <w:t xml:space="preserve">, </w:t>
      </w:r>
      <w:r w:rsidR="00530CA7" w:rsidRPr="00413B2A">
        <w:rPr>
          <w:i/>
        </w:rPr>
        <w:t>p</w:t>
      </w:r>
      <w:r>
        <w:t>=0.041 and 0.017, and 2012/2 versus 2014/1</w:t>
      </w:r>
      <w:r w:rsidR="00797316">
        <w:t xml:space="preserve"> p=0.044</w:t>
      </w:r>
      <w:bookmarkStart w:id="0" w:name="_GoBack"/>
      <w:bookmarkEnd w:id="0"/>
      <w:r w:rsidR="00530CA7" w:rsidRPr="00413B2A">
        <w:t>)</w:t>
      </w:r>
      <w:r>
        <w:t xml:space="preserve"> in patients who did not receive a loading phase</w:t>
      </w:r>
      <w:r w:rsidR="00530CA7" w:rsidRPr="00413B2A">
        <w:t xml:space="preserve">. </w:t>
      </w:r>
      <w:r>
        <w:t>The Shapiro-Wilks tests found the data to be non-normal (</w:t>
      </w:r>
      <w:r w:rsidRPr="00413B2A">
        <w:rPr>
          <w:i/>
        </w:rPr>
        <w:t>p</w:t>
      </w:r>
      <w:r>
        <w:t xml:space="preserve">&lt;0.05 for </w:t>
      </w:r>
      <w:r w:rsidR="00610430">
        <w:t>four of five</w:t>
      </w:r>
      <w:r>
        <w:t xml:space="preserve"> six-month periods), thus data were log-transformed, but were still not normally distributed (</w:t>
      </w:r>
      <w:r w:rsidR="00610430" w:rsidRPr="00413B2A">
        <w:rPr>
          <w:i/>
        </w:rPr>
        <w:t>p</w:t>
      </w:r>
      <w:r w:rsidR="00610430">
        <w:t>&lt;0.05 for four of five six-month periods). Kruskal-Wallis test</w:t>
      </w:r>
      <w:r w:rsidR="00581CC4">
        <w:t>ing found</w:t>
      </w:r>
      <w:r w:rsidR="00610430">
        <w:t xml:space="preserve"> a </w:t>
      </w:r>
      <w:r w:rsidR="00610430" w:rsidRPr="00413B2A">
        <w:rPr>
          <w:i/>
        </w:rPr>
        <w:t>p</w:t>
      </w:r>
      <w:r w:rsidR="00581CC4">
        <w:t>-value of 0.013</w:t>
      </w:r>
      <w:r w:rsidR="00610430">
        <w:t xml:space="preserve">, suggesting the </w:t>
      </w:r>
      <w:r w:rsidR="00DE0202">
        <w:t xml:space="preserve">median </w:t>
      </w:r>
      <w:r w:rsidR="00610430">
        <w:t>number of injections vary over time. A robustness check using the Mann Whitney U test was performed due to non-normality and the mean number of injections in 2012 were</w:t>
      </w:r>
      <w:r w:rsidR="00581CC4">
        <w:t xml:space="preserve"> found to be</w:t>
      </w:r>
      <w:r w:rsidR="00610430">
        <w:t xml:space="preserve"> fewer than the mean in 2014</w:t>
      </w:r>
      <w:r w:rsidR="00A86769">
        <w:t>/1</w:t>
      </w:r>
      <w:r w:rsidR="00610430">
        <w:t xml:space="preserve"> (</w:t>
      </w:r>
      <w:r w:rsidR="00610430" w:rsidRPr="00610430">
        <w:rPr>
          <w:i/>
        </w:rPr>
        <w:t>p</w:t>
      </w:r>
      <w:r w:rsidR="00610430">
        <w:t>=0.021).</w:t>
      </w:r>
    </w:p>
    <w:p w14:paraId="1B0C013A" w14:textId="77777777" w:rsidR="00530CA7" w:rsidRDefault="00530CA7" w:rsidP="004A15B8"/>
    <w:p w14:paraId="3697BF60" w14:textId="77777777" w:rsidR="00581CC4" w:rsidRDefault="00581CC4" w:rsidP="001A3F3F">
      <w:pPr>
        <w:pStyle w:val="Heading3"/>
      </w:pPr>
      <w:r>
        <w:t>All nAMD</w:t>
      </w:r>
      <w:r w:rsidR="0085793B">
        <w:t xml:space="preserve"> patients</w:t>
      </w:r>
    </w:p>
    <w:p w14:paraId="76958D47" w14:textId="77777777" w:rsidR="00581CC4" w:rsidRPr="00413B2A" w:rsidRDefault="00581CC4" w:rsidP="004A15B8">
      <w:r>
        <w:t xml:space="preserve">Similar to the </w:t>
      </w:r>
      <w:r w:rsidR="005477EB">
        <w:t xml:space="preserve">nAMD </w:t>
      </w:r>
      <w:r>
        <w:t>patient populations with and without a loading dose, the Shapiro-Wilks</w:t>
      </w:r>
      <w:r w:rsidR="0085793B">
        <w:t xml:space="preserve"> test and ANOVA testing on log transformed data</w:t>
      </w:r>
      <w:r>
        <w:t xml:space="preserve"> found the data for all nAMD patients was not normally distributed</w:t>
      </w:r>
      <w:r w:rsidR="0085793B">
        <w:t xml:space="preserve"> (</w:t>
      </w:r>
      <w:r w:rsidR="0085793B" w:rsidRPr="00413B2A">
        <w:rPr>
          <w:i/>
        </w:rPr>
        <w:t>p</w:t>
      </w:r>
      <w:r w:rsidR="0085793B">
        <w:t>&lt;0.05 for all six-month periods)</w:t>
      </w:r>
      <w:r>
        <w:t xml:space="preserve">. </w:t>
      </w:r>
      <w:r w:rsidR="0085793B">
        <w:t xml:space="preserve">Multiple t-tests </w:t>
      </w:r>
      <w:r w:rsidR="0085793B">
        <w:lastRenderedPageBreak/>
        <w:t>with Bonferroni correction found no significant differences between any of the time periods. The Kruskal-Wallis test showed the</w:t>
      </w:r>
      <w:r w:rsidR="00DE0202">
        <w:t xml:space="preserve"> median</w:t>
      </w:r>
      <w:r w:rsidR="0085793B">
        <w:t xml:space="preserve"> number of injections vary over time (</w:t>
      </w:r>
      <w:r w:rsidR="0085793B" w:rsidRPr="0085793B">
        <w:rPr>
          <w:i/>
        </w:rPr>
        <w:t>p</w:t>
      </w:r>
      <w:r w:rsidR="0085793B">
        <w:t>=0.041). However, the</w:t>
      </w:r>
      <w:r w:rsidR="005477EB">
        <w:t xml:space="preserve"> Mann Whitney U robustness test</w:t>
      </w:r>
      <w:r w:rsidR="0085793B">
        <w:t xml:space="preserve"> found the mean number of injections in 2012 was not fewer than the mean in 2014 (</w:t>
      </w:r>
      <w:r w:rsidR="0085793B" w:rsidRPr="0085793B">
        <w:rPr>
          <w:i/>
        </w:rPr>
        <w:t>p</w:t>
      </w:r>
      <w:r w:rsidR="0085793B">
        <w:t xml:space="preserve">=0.311). </w:t>
      </w:r>
    </w:p>
    <w:sectPr w:rsidR="00581CC4" w:rsidRPr="00413B2A">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8F5F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269C5" w14:textId="77777777" w:rsidR="000D739D" w:rsidRDefault="000D739D" w:rsidP="00530CA7">
      <w:pPr>
        <w:spacing w:after="0" w:line="240" w:lineRule="auto"/>
      </w:pPr>
      <w:r>
        <w:separator/>
      </w:r>
    </w:p>
  </w:endnote>
  <w:endnote w:type="continuationSeparator" w:id="0">
    <w:p w14:paraId="473DCE77" w14:textId="77777777" w:rsidR="000D739D" w:rsidRDefault="000D739D" w:rsidP="00530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EFE97" w14:textId="77777777" w:rsidR="000D739D" w:rsidRDefault="000D739D" w:rsidP="00530CA7">
      <w:pPr>
        <w:spacing w:after="0" w:line="240" w:lineRule="auto"/>
      </w:pPr>
      <w:r>
        <w:separator/>
      </w:r>
    </w:p>
  </w:footnote>
  <w:footnote w:type="continuationSeparator" w:id="0">
    <w:p w14:paraId="7864FEFF" w14:textId="77777777" w:rsidR="000D739D" w:rsidRDefault="000D739D" w:rsidP="00530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51BA"/>
    <w:multiLevelType w:val="hybridMultilevel"/>
    <w:tmpl w:val="2AC415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D285A9C"/>
    <w:multiLevelType w:val="hybridMultilevel"/>
    <w:tmpl w:val="4E20A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1FC7"/>
    <w:multiLevelType w:val="hybridMultilevel"/>
    <w:tmpl w:val="C0BA2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6E76E4"/>
    <w:multiLevelType w:val="hybridMultilevel"/>
    <w:tmpl w:val="2AC415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D0D377E"/>
    <w:multiLevelType w:val="hybridMultilevel"/>
    <w:tmpl w:val="2AC415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0904185"/>
    <w:multiLevelType w:val="hybridMultilevel"/>
    <w:tmpl w:val="2AC415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0944D16"/>
    <w:multiLevelType w:val="hybridMultilevel"/>
    <w:tmpl w:val="CEDC6302"/>
    <w:lvl w:ilvl="0" w:tplc="B9BE62A0">
      <w:start w:val="1"/>
      <w:numFmt w:val="bullet"/>
      <w:pStyle w:val="ListParagraph"/>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75B4F1AA">
      <w:start w:val="1"/>
      <w:numFmt w:val="bullet"/>
      <w:lvlText w:val="­"/>
      <w:lvlJc w:val="left"/>
      <w:pPr>
        <w:tabs>
          <w:tab w:val="num" w:pos="2160"/>
        </w:tabs>
        <w:ind w:left="2160" w:hanging="360"/>
      </w:pPr>
      <w:rPr>
        <w:rFonts w:ascii="Trebuchet MS" w:hAnsi="Trebuchet MS" w:hint="default"/>
        <w:color w:val="auto"/>
      </w:rPr>
    </w:lvl>
    <w:lvl w:ilvl="3" w:tplc="0E7AD7A4">
      <w:start w:val="1"/>
      <w:numFmt w:val="bullet"/>
      <w:lvlText w:val=""/>
      <w:lvlJc w:val="left"/>
      <w:pPr>
        <w:tabs>
          <w:tab w:val="num" w:pos="2880"/>
        </w:tabs>
        <w:ind w:left="2880" w:hanging="360"/>
      </w:pPr>
      <w:rPr>
        <w:rFonts w:ascii="Wingdings" w:hAnsi="Wingdings" w:hint="default"/>
      </w:rPr>
    </w:lvl>
    <w:lvl w:ilvl="4" w:tplc="5CD0117E">
      <w:start w:val="1"/>
      <w:numFmt w:val="bullet"/>
      <w:lvlText w:val=""/>
      <w:lvlJc w:val="left"/>
      <w:pPr>
        <w:tabs>
          <w:tab w:val="num" w:pos="3600"/>
        </w:tabs>
        <w:ind w:left="3600" w:hanging="360"/>
      </w:pPr>
      <w:rPr>
        <w:rFonts w:ascii="Wingdings" w:hAnsi="Wingdings" w:hint="default"/>
      </w:rPr>
    </w:lvl>
    <w:lvl w:ilvl="5" w:tplc="7FF0ABCA">
      <w:start w:val="1"/>
      <w:numFmt w:val="bullet"/>
      <w:lvlText w:val=""/>
      <w:lvlJc w:val="left"/>
      <w:pPr>
        <w:tabs>
          <w:tab w:val="num" w:pos="4320"/>
        </w:tabs>
        <w:ind w:left="4320" w:hanging="360"/>
      </w:pPr>
      <w:rPr>
        <w:rFonts w:ascii="Wingdings" w:hAnsi="Wingdings" w:hint="default"/>
      </w:rPr>
    </w:lvl>
    <w:lvl w:ilvl="6" w:tplc="197045A4">
      <w:start w:val="1"/>
      <w:numFmt w:val="bullet"/>
      <w:lvlText w:val=""/>
      <w:lvlJc w:val="left"/>
      <w:pPr>
        <w:tabs>
          <w:tab w:val="num" w:pos="5040"/>
        </w:tabs>
        <w:ind w:left="5040" w:hanging="360"/>
      </w:pPr>
      <w:rPr>
        <w:rFonts w:ascii="Wingdings" w:hAnsi="Wingdings" w:hint="default"/>
      </w:rPr>
    </w:lvl>
    <w:lvl w:ilvl="7" w:tplc="FC9EF786">
      <w:start w:val="1"/>
      <w:numFmt w:val="bullet"/>
      <w:lvlText w:val=""/>
      <w:lvlJc w:val="left"/>
      <w:pPr>
        <w:tabs>
          <w:tab w:val="num" w:pos="5760"/>
        </w:tabs>
        <w:ind w:left="5760" w:hanging="360"/>
      </w:pPr>
      <w:rPr>
        <w:rFonts w:ascii="Wingdings" w:hAnsi="Wingdings" w:hint="default"/>
      </w:rPr>
    </w:lvl>
    <w:lvl w:ilvl="8" w:tplc="9BB28CC4">
      <w:start w:val="1"/>
      <w:numFmt w:val="bullet"/>
      <w:lvlText w:val=""/>
      <w:lvlJc w:val="left"/>
      <w:pPr>
        <w:tabs>
          <w:tab w:val="num" w:pos="6480"/>
        </w:tabs>
        <w:ind w:left="6480" w:hanging="360"/>
      </w:pPr>
      <w:rPr>
        <w:rFonts w:ascii="Wingdings" w:hAnsi="Wingdings" w:hint="default"/>
      </w:rPr>
    </w:lvl>
  </w:abstractNum>
  <w:abstractNum w:abstractNumId="7">
    <w:nsid w:val="68BC4768"/>
    <w:multiLevelType w:val="hybridMultilevel"/>
    <w:tmpl w:val="2AC415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4"/>
  </w:num>
  <w:num w:numId="7">
    <w:abstractNumId w:val="7"/>
  </w:num>
  <w:num w:numId="8">
    <w:abstractNumId w:val="0"/>
  </w:num>
  <w:num w:numId="9">
    <w:abstractNumId w:val="2"/>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orbjørn Kruse Olesen [2]">
    <w15:presenceInfo w15:providerId="AD" w15:userId="S-1-5-21-664831322-531543232-247528567-5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CA7"/>
    <w:rsid w:val="000D739D"/>
    <w:rsid w:val="00124092"/>
    <w:rsid w:val="00143F73"/>
    <w:rsid w:val="001A3F3F"/>
    <w:rsid w:val="00413B2A"/>
    <w:rsid w:val="00470E62"/>
    <w:rsid w:val="00475D37"/>
    <w:rsid w:val="004A15B8"/>
    <w:rsid w:val="00525495"/>
    <w:rsid w:val="00530CA7"/>
    <w:rsid w:val="005477EB"/>
    <w:rsid w:val="00581CC4"/>
    <w:rsid w:val="00610430"/>
    <w:rsid w:val="007758FF"/>
    <w:rsid w:val="00797316"/>
    <w:rsid w:val="007E1056"/>
    <w:rsid w:val="0085793B"/>
    <w:rsid w:val="00891940"/>
    <w:rsid w:val="0089263D"/>
    <w:rsid w:val="009A5BEA"/>
    <w:rsid w:val="009A72B5"/>
    <w:rsid w:val="009B25B7"/>
    <w:rsid w:val="00A22893"/>
    <w:rsid w:val="00A86769"/>
    <w:rsid w:val="00A9740D"/>
    <w:rsid w:val="00B74906"/>
    <w:rsid w:val="00BB1031"/>
    <w:rsid w:val="00CD0D78"/>
    <w:rsid w:val="00DE0202"/>
    <w:rsid w:val="00E95EC5"/>
    <w:rsid w:val="00FC1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703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B8"/>
    <w:pPr>
      <w:spacing w:line="480" w:lineRule="auto"/>
    </w:pPr>
    <w:rPr>
      <w:rFonts w:ascii="Arial" w:hAnsi="Arial"/>
      <w:sz w:val="24"/>
    </w:rPr>
  </w:style>
  <w:style w:type="paragraph" w:styleId="Heading1">
    <w:name w:val="heading 1"/>
    <w:basedOn w:val="Normal"/>
    <w:next w:val="Normal"/>
    <w:link w:val="Heading1Char"/>
    <w:uiPriority w:val="9"/>
    <w:qFormat/>
    <w:rsid w:val="001A3F3F"/>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530CA7"/>
    <w:pPr>
      <w:keepNext/>
      <w:keepLines/>
      <w:outlineLvl w:val="1"/>
    </w:pPr>
    <w:rPr>
      <w:rFonts w:eastAsia="Calibri" w:cs="Arial"/>
      <w:b/>
      <w:bCs/>
      <w:i/>
    </w:rPr>
  </w:style>
  <w:style w:type="paragraph" w:styleId="Heading3">
    <w:name w:val="heading 3"/>
    <w:basedOn w:val="Normal"/>
    <w:next w:val="Normal"/>
    <w:link w:val="Heading3Char"/>
    <w:uiPriority w:val="9"/>
    <w:unhideWhenUsed/>
    <w:qFormat/>
    <w:rsid w:val="001A3F3F"/>
    <w:pPr>
      <w:keepNext/>
      <w:keepLines/>
      <w:spacing w:before="200" w:after="0"/>
      <w:outlineLvl w:val="2"/>
    </w:pPr>
    <w:rPr>
      <w:rFonts w:eastAsiaTheme="majorEastAsia" w:cstheme="majorBidi"/>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locked/>
    <w:rsid w:val="00530CA7"/>
    <w:rPr>
      <w:rFonts w:ascii="Arial" w:hAnsi="Arial" w:cs="Arial"/>
      <w:sz w:val="24"/>
    </w:rPr>
  </w:style>
  <w:style w:type="paragraph" w:styleId="ListParagraph">
    <w:name w:val="List Paragraph"/>
    <w:basedOn w:val="Normal"/>
    <w:link w:val="ListParagraphChar"/>
    <w:uiPriority w:val="34"/>
    <w:qFormat/>
    <w:rsid w:val="00530CA7"/>
    <w:pPr>
      <w:numPr>
        <w:numId w:val="1"/>
      </w:numPr>
    </w:pPr>
    <w:rPr>
      <w:rFonts w:cs="Arial"/>
    </w:rPr>
  </w:style>
  <w:style w:type="table" w:styleId="TableGrid">
    <w:name w:val="Table Grid"/>
    <w:basedOn w:val="TableNormal"/>
    <w:uiPriority w:val="59"/>
    <w:rsid w:val="00530CA7"/>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0CA7"/>
    <w:rPr>
      <w:sz w:val="16"/>
      <w:szCs w:val="16"/>
    </w:rPr>
  </w:style>
  <w:style w:type="paragraph" w:styleId="FootnoteText">
    <w:name w:val="footnote text"/>
    <w:basedOn w:val="Normal"/>
    <w:link w:val="FootnoteTextChar"/>
    <w:uiPriority w:val="99"/>
    <w:semiHidden/>
    <w:unhideWhenUsed/>
    <w:rsid w:val="00530CA7"/>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530CA7"/>
    <w:rPr>
      <w:rFonts w:ascii="Arial" w:hAnsi="Arial"/>
      <w:sz w:val="20"/>
      <w:szCs w:val="20"/>
      <w:lang w:val="en-GB"/>
    </w:rPr>
  </w:style>
  <w:style w:type="character" w:styleId="FootnoteReference">
    <w:name w:val="footnote reference"/>
    <w:basedOn w:val="DefaultParagraphFont"/>
    <w:uiPriority w:val="99"/>
    <w:semiHidden/>
    <w:unhideWhenUsed/>
    <w:rsid w:val="00530CA7"/>
    <w:rPr>
      <w:vertAlign w:val="superscript"/>
    </w:rPr>
  </w:style>
  <w:style w:type="character" w:customStyle="1" w:styleId="Heading2Char">
    <w:name w:val="Heading 2 Char"/>
    <w:basedOn w:val="DefaultParagraphFont"/>
    <w:link w:val="Heading2"/>
    <w:uiPriority w:val="9"/>
    <w:rsid w:val="00530CA7"/>
    <w:rPr>
      <w:rFonts w:ascii="Arial" w:eastAsia="Calibri" w:hAnsi="Arial" w:cs="Arial"/>
      <w:b/>
      <w:bCs/>
      <w:i/>
      <w:sz w:val="24"/>
    </w:rPr>
  </w:style>
  <w:style w:type="character" w:customStyle="1" w:styleId="Heading3Char">
    <w:name w:val="Heading 3 Char"/>
    <w:basedOn w:val="DefaultParagraphFont"/>
    <w:link w:val="Heading3"/>
    <w:uiPriority w:val="9"/>
    <w:rsid w:val="001A3F3F"/>
    <w:rPr>
      <w:rFonts w:ascii="Arial" w:eastAsiaTheme="majorEastAsia" w:hAnsi="Arial" w:cstheme="majorBidi"/>
      <w:b/>
      <w:bCs/>
      <w:sz w:val="24"/>
      <w:lang w:val="en-GB"/>
    </w:rPr>
  </w:style>
  <w:style w:type="character" w:customStyle="1" w:styleId="Heading1Char">
    <w:name w:val="Heading 1 Char"/>
    <w:basedOn w:val="DefaultParagraphFont"/>
    <w:link w:val="Heading1"/>
    <w:uiPriority w:val="9"/>
    <w:rsid w:val="001A3F3F"/>
    <w:rPr>
      <w:rFonts w:ascii="Arial" w:eastAsiaTheme="majorEastAsia" w:hAnsi="Arial" w:cstheme="majorBidi"/>
      <w:b/>
      <w:bCs/>
      <w:sz w:val="24"/>
      <w:szCs w:val="28"/>
    </w:rPr>
  </w:style>
  <w:style w:type="paragraph" w:styleId="CommentText">
    <w:name w:val="annotation text"/>
    <w:basedOn w:val="Normal"/>
    <w:link w:val="CommentTextChar"/>
    <w:uiPriority w:val="99"/>
    <w:semiHidden/>
    <w:unhideWhenUsed/>
    <w:rsid w:val="00DE0202"/>
    <w:pPr>
      <w:spacing w:line="240" w:lineRule="auto"/>
    </w:pPr>
    <w:rPr>
      <w:sz w:val="20"/>
      <w:szCs w:val="20"/>
    </w:rPr>
  </w:style>
  <w:style w:type="character" w:customStyle="1" w:styleId="CommentTextChar">
    <w:name w:val="Comment Text Char"/>
    <w:basedOn w:val="DefaultParagraphFont"/>
    <w:link w:val="CommentText"/>
    <w:uiPriority w:val="99"/>
    <w:semiHidden/>
    <w:rsid w:val="00DE020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E0202"/>
    <w:rPr>
      <w:b/>
      <w:bCs/>
    </w:rPr>
  </w:style>
  <w:style w:type="character" w:customStyle="1" w:styleId="CommentSubjectChar">
    <w:name w:val="Comment Subject Char"/>
    <w:basedOn w:val="CommentTextChar"/>
    <w:link w:val="CommentSubject"/>
    <w:uiPriority w:val="99"/>
    <w:semiHidden/>
    <w:rsid w:val="00DE0202"/>
    <w:rPr>
      <w:rFonts w:ascii="Arial" w:hAnsi="Arial"/>
      <w:b/>
      <w:bCs/>
      <w:sz w:val="20"/>
      <w:szCs w:val="20"/>
    </w:rPr>
  </w:style>
  <w:style w:type="paragraph" w:styleId="BalloonText">
    <w:name w:val="Balloon Text"/>
    <w:basedOn w:val="Normal"/>
    <w:link w:val="BalloonTextChar"/>
    <w:uiPriority w:val="99"/>
    <w:semiHidden/>
    <w:unhideWhenUsed/>
    <w:rsid w:val="00DE02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020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B8"/>
    <w:pPr>
      <w:spacing w:line="480" w:lineRule="auto"/>
    </w:pPr>
    <w:rPr>
      <w:rFonts w:ascii="Arial" w:hAnsi="Arial"/>
      <w:sz w:val="24"/>
    </w:rPr>
  </w:style>
  <w:style w:type="paragraph" w:styleId="Heading1">
    <w:name w:val="heading 1"/>
    <w:basedOn w:val="Normal"/>
    <w:next w:val="Normal"/>
    <w:link w:val="Heading1Char"/>
    <w:uiPriority w:val="9"/>
    <w:qFormat/>
    <w:rsid w:val="001A3F3F"/>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530CA7"/>
    <w:pPr>
      <w:keepNext/>
      <w:keepLines/>
      <w:outlineLvl w:val="1"/>
    </w:pPr>
    <w:rPr>
      <w:rFonts w:eastAsia="Calibri" w:cs="Arial"/>
      <w:b/>
      <w:bCs/>
      <w:i/>
    </w:rPr>
  </w:style>
  <w:style w:type="paragraph" w:styleId="Heading3">
    <w:name w:val="heading 3"/>
    <w:basedOn w:val="Normal"/>
    <w:next w:val="Normal"/>
    <w:link w:val="Heading3Char"/>
    <w:uiPriority w:val="9"/>
    <w:unhideWhenUsed/>
    <w:qFormat/>
    <w:rsid w:val="001A3F3F"/>
    <w:pPr>
      <w:keepNext/>
      <w:keepLines/>
      <w:spacing w:before="200" w:after="0"/>
      <w:outlineLvl w:val="2"/>
    </w:pPr>
    <w:rPr>
      <w:rFonts w:eastAsiaTheme="majorEastAsia" w:cstheme="majorBidi"/>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locked/>
    <w:rsid w:val="00530CA7"/>
    <w:rPr>
      <w:rFonts w:ascii="Arial" w:hAnsi="Arial" w:cs="Arial"/>
      <w:sz w:val="24"/>
    </w:rPr>
  </w:style>
  <w:style w:type="paragraph" w:styleId="ListParagraph">
    <w:name w:val="List Paragraph"/>
    <w:basedOn w:val="Normal"/>
    <w:link w:val="ListParagraphChar"/>
    <w:uiPriority w:val="34"/>
    <w:qFormat/>
    <w:rsid w:val="00530CA7"/>
    <w:pPr>
      <w:numPr>
        <w:numId w:val="1"/>
      </w:numPr>
    </w:pPr>
    <w:rPr>
      <w:rFonts w:cs="Arial"/>
    </w:rPr>
  </w:style>
  <w:style w:type="table" w:styleId="TableGrid">
    <w:name w:val="Table Grid"/>
    <w:basedOn w:val="TableNormal"/>
    <w:uiPriority w:val="59"/>
    <w:rsid w:val="00530CA7"/>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0CA7"/>
    <w:rPr>
      <w:sz w:val="16"/>
      <w:szCs w:val="16"/>
    </w:rPr>
  </w:style>
  <w:style w:type="paragraph" w:styleId="FootnoteText">
    <w:name w:val="footnote text"/>
    <w:basedOn w:val="Normal"/>
    <w:link w:val="FootnoteTextChar"/>
    <w:uiPriority w:val="99"/>
    <w:semiHidden/>
    <w:unhideWhenUsed/>
    <w:rsid w:val="00530CA7"/>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530CA7"/>
    <w:rPr>
      <w:rFonts w:ascii="Arial" w:hAnsi="Arial"/>
      <w:sz w:val="20"/>
      <w:szCs w:val="20"/>
      <w:lang w:val="en-GB"/>
    </w:rPr>
  </w:style>
  <w:style w:type="character" w:styleId="FootnoteReference">
    <w:name w:val="footnote reference"/>
    <w:basedOn w:val="DefaultParagraphFont"/>
    <w:uiPriority w:val="99"/>
    <w:semiHidden/>
    <w:unhideWhenUsed/>
    <w:rsid w:val="00530CA7"/>
    <w:rPr>
      <w:vertAlign w:val="superscript"/>
    </w:rPr>
  </w:style>
  <w:style w:type="character" w:customStyle="1" w:styleId="Heading2Char">
    <w:name w:val="Heading 2 Char"/>
    <w:basedOn w:val="DefaultParagraphFont"/>
    <w:link w:val="Heading2"/>
    <w:uiPriority w:val="9"/>
    <w:rsid w:val="00530CA7"/>
    <w:rPr>
      <w:rFonts w:ascii="Arial" w:eastAsia="Calibri" w:hAnsi="Arial" w:cs="Arial"/>
      <w:b/>
      <w:bCs/>
      <w:i/>
      <w:sz w:val="24"/>
    </w:rPr>
  </w:style>
  <w:style w:type="character" w:customStyle="1" w:styleId="Heading3Char">
    <w:name w:val="Heading 3 Char"/>
    <w:basedOn w:val="DefaultParagraphFont"/>
    <w:link w:val="Heading3"/>
    <w:uiPriority w:val="9"/>
    <w:rsid w:val="001A3F3F"/>
    <w:rPr>
      <w:rFonts w:ascii="Arial" w:eastAsiaTheme="majorEastAsia" w:hAnsi="Arial" w:cstheme="majorBidi"/>
      <w:b/>
      <w:bCs/>
      <w:sz w:val="24"/>
      <w:lang w:val="en-GB"/>
    </w:rPr>
  </w:style>
  <w:style w:type="character" w:customStyle="1" w:styleId="Heading1Char">
    <w:name w:val="Heading 1 Char"/>
    <w:basedOn w:val="DefaultParagraphFont"/>
    <w:link w:val="Heading1"/>
    <w:uiPriority w:val="9"/>
    <w:rsid w:val="001A3F3F"/>
    <w:rPr>
      <w:rFonts w:ascii="Arial" w:eastAsiaTheme="majorEastAsia" w:hAnsi="Arial" w:cstheme="majorBidi"/>
      <w:b/>
      <w:bCs/>
      <w:sz w:val="24"/>
      <w:szCs w:val="28"/>
    </w:rPr>
  </w:style>
  <w:style w:type="paragraph" w:styleId="CommentText">
    <w:name w:val="annotation text"/>
    <w:basedOn w:val="Normal"/>
    <w:link w:val="CommentTextChar"/>
    <w:uiPriority w:val="99"/>
    <w:semiHidden/>
    <w:unhideWhenUsed/>
    <w:rsid w:val="00DE0202"/>
    <w:pPr>
      <w:spacing w:line="240" w:lineRule="auto"/>
    </w:pPr>
    <w:rPr>
      <w:sz w:val="20"/>
      <w:szCs w:val="20"/>
    </w:rPr>
  </w:style>
  <w:style w:type="character" w:customStyle="1" w:styleId="CommentTextChar">
    <w:name w:val="Comment Text Char"/>
    <w:basedOn w:val="DefaultParagraphFont"/>
    <w:link w:val="CommentText"/>
    <w:uiPriority w:val="99"/>
    <w:semiHidden/>
    <w:rsid w:val="00DE020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E0202"/>
    <w:rPr>
      <w:b/>
      <w:bCs/>
    </w:rPr>
  </w:style>
  <w:style w:type="character" w:customStyle="1" w:styleId="CommentSubjectChar">
    <w:name w:val="Comment Subject Char"/>
    <w:basedOn w:val="CommentTextChar"/>
    <w:link w:val="CommentSubject"/>
    <w:uiPriority w:val="99"/>
    <w:semiHidden/>
    <w:rsid w:val="00DE0202"/>
    <w:rPr>
      <w:rFonts w:ascii="Arial" w:hAnsi="Arial"/>
      <w:b/>
      <w:bCs/>
      <w:sz w:val="20"/>
      <w:szCs w:val="20"/>
    </w:rPr>
  </w:style>
  <w:style w:type="paragraph" w:styleId="BalloonText">
    <w:name w:val="Balloon Text"/>
    <w:basedOn w:val="Normal"/>
    <w:link w:val="BalloonTextChar"/>
    <w:uiPriority w:val="99"/>
    <w:semiHidden/>
    <w:unhideWhenUsed/>
    <w:rsid w:val="00DE02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02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0820">
      <w:bodyDiv w:val="1"/>
      <w:marLeft w:val="0"/>
      <w:marRight w:val="0"/>
      <w:marTop w:val="0"/>
      <w:marBottom w:val="0"/>
      <w:divBdr>
        <w:top w:val="none" w:sz="0" w:space="0" w:color="auto"/>
        <w:left w:val="none" w:sz="0" w:space="0" w:color="auto"/>
        <w:bottom w:val="none" w:sz="0" w:space="0" w:color="auto"/>
        <w:right w:val="none" w:sz="0" w:space="0" w:color="auto"/>
      </w:divBdr>
    </w:div>
    <w:div w:id="109439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452</Words>
  <Characters>2579</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Novartis</Company>
  <LinksUpToDate>false</LinksUpToDate>
  <CharactersWithSpaces>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Stanford, Karen (Ext)</dc:creator>
  <cp:lastModifiedBy>Stanford, Karen (Ext)</cp:lastModifiedBy>
  <cp:revision>2</cp:revision>
  <dcterms:created xsi:type="dcterms:W3CDTF">2016-07-22T14:07:00Z</dcterms:created>
  <dcterms:modified xsi:type="dcterms:W3CDTF">2016-07-22T14:07:00Z</dcterms:modified>
</cp:coreProperties>
</file>