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298" w:rsidRPr="00866298" w:rsidRDefault="00866298" w:rsidP="00866298">
      <w:pPr>
        <w:spacing w:after="0" w:line="240" w:lineRule="auto"/>
        <w:jc w:val="both"/>
        <w:rPr>
          <w:rFonts w:ascii="Times New Roman" w:eastAsia="Times New Roman" w:hAnsi="Times New Roman" w:cs="Times New Roman"/>
          <w:b/>
          <w:sz w:val="20"/>
          <w:szCs w:val="20"/>
        </w:rPr>
      </w:pPr>
      <w:proofErr w:type="spellStart"/>
      <w:r w:rsidRPr="00866298">
        <w:rPr>
          <w:rFonts w:ascii="Times New Roman" w:eastAsia="Times New Roman" w:hAnsi="Times New Roman" w:cs="Times New Roman"/>
          <w:b/>
          <w:sz w:val="20"/>
          <w:szCs w:val="20"/>
        </w:rPr>
        <w:t>S1</w:t>
      </w:r>
      <w:proofErr w:type="spellEnd"/>
      <w:r w:rsidRPr="00866298">
        <w:rPr>
          <w:rFonts w:ascii="Times New Roman" w:eastAsia="Times New Roman" w:hAnsi="Times New Roman" w:cs="Times New Roman"/>
          <w:b/>
          <w:sz w:val="20"/>
          <w:szCs w:val="20"/>
        </w:rPr>
        <w:t xml:space="preserve"> Text. Categorisation of factors</w:t>
      </w:r>
    </w:p>
    <w:p w:rsidR="00866298" w:rsidRPr="00866298" w:rsidRDefault="00866298" w:rsidP="00866298">
      <w:pPr>
        <w:spacing w:after="0" w:line="240" w:lineRule="auto"/>
        <w:jc w:val="both"/>
        <w:rPr>
          <w:rFonts w:ascii="Cambria" w:eastAsia="Times New Roman" w:hAnsi="Cambria" w:cs="Cambria"/>
          <w:b/>
          <w:sz w:val="20"/>
          <w:szCs w:val="20"/>
        </w:rPr>
      </w:pPr>
    </w:p>
    <w:p w:rsidR="00866298" w:rsidRPr="00866298" w:rsidRDefault="00866298" w:rsidP="00866298">
      <w:pPr>
        <w:spacing w:after="0" w:line="240" w:lineRule="auto"/>
        <w:jc w:val="both"/>
        <w:rPr>
          <w:rFonts w:ascii="Cambria" w:eastAsia="Times New Roman" w:hAnsi="Cambria" w:cs="Cambria"/>
          <w:sz w:val="20"/>
          <w:szCs w:val="20"/>
        </w:rPr>
      </w:pPr>
      <w:r w:rsidRPr="00866298">
        <w:rPr>
          <w:rFonts w:ascii="Cambria" w:eastAsia="Times New Roman" w:hAnsi="Cambria" w:cs="Cambria"/>
          <w:sz w:val="20"/>
          <w:szCs w:val="20"/>
        </w:rPr>
        <w:t>All variables used in the analyses were based on women’s reports unless otherwise specified.</w:t>
      </w:r>
    </w:p>
    <w:p w:rsidR="00866298" w:rsidRPr="00866298" w:rsidRDefault="00866298" w:rsidP="00866298">
      <w:pPr>
        <w:spacing w:after="0" w:line="240" w:lineRule="auto"/>
        <w:jc w:val="both"/>
        <w:rPr>
          <w:rFonts w:ascii="Cambria" w:eastAsia="Times New Roman" w:hAnsi="Cambria" w:cs="Cambria"/>
          <w:sz w:val="20"/>
          <w:szCs w:val="20"/>
        </w:rPr>
      </w:pPr>
    </w:p>
    <w:p w:rsidR="00866298" w:rsidRPr="00866298" w:rsidRDefault="00866298" w:rsidP="00866298">
      <w:pPr>
        <w:spacing w:after="0" w:line="240" w:lineRule="auto"/>
        <w:jc w:val="both"/>
        <w:rPr>
          <w:rFonts w:ascii="Cambria" w:eastAsia="Times New Roman" w:hAnsi="Cambria" w:cs="Cambria"/>
          <w:sz w:val="20"/>
          <w:szCs w:val="20"/>
        </w:rPr>
      </w:pPr>
      <w:r w:rsidRPr="00866298">
        <w:rPr>
          <w:rFonts w:ascii="Cambria" w:eastAsia="Times New Roman" w:hAnsi="Cambria" w:cs="Cambria"/>
          <w:b/>
          <w:sz w:val="20"/>
          <w:szCs w:val="20"/>
        </w:rPr>
        <w:t>Survival of the index child relative to discharge</w:t>
      </w:r>
      <w:r w:rsidRPr="00866298">
        <w:rPr>
          <w:rFonts w:ascii="Cambria" w:eastAsia="Times New Roman" w:hAnsi="Cambria" w:cs="Cambria"/>
          <w:sz w:val="20"/>
          <w:szCs w:val="20"/>
        </w:rPr>
        <w:t xml:space="preserve"> </w:t>
      </w:r>
    </w:p>
    <w:p w:rsidR="00866298" w:rsidRPr="00866298" w:rsidRDefault="00866298" w:rsidP="00866298">
      <w:pPr>
        <w:spacing w:after="0" w:line="240" w:lineRule="auto"/>
        <w:jc w:val="both"/>
        <w:rPr>
          <w:rFonts w:ascii="Cambria" w:eastAsia="Times New Roman" w:hAnsi="Cambria" w:cs="Cambria"/>
          <w:sz w:val="20"/>
          <w:szCs w:val="20"/>
        </w:rPr>
      </w:pPr>
      <w:r w:rsidRPr="00866298">
        <w:rPr>
          <w:rFonts w:ascii="Cambria" w:eastAsia="Times New Roman" w:hAnsi="Cambria" w:cs="Cambria"/>
          <w:sz w:val="20"/>
          <w:szCs w:val="20"/>
        </w:rPr>
        <w:t>Newborns who subsequently died had their ages at death recorded in days if less than one month, in months up to two years, and in years subsequently. We were interested in understanding the length</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of</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stay for women whose newborns who survived, who died up to the time of discharge or who died after discharge. The gradations of age</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at</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death differed from those used for length</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of</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stay</w:t>
      </w:r>
      <w:r w:rsidR="001E067E">
        <w:rPr>
          <w:rFonts w:ascii="Cambria" w:eastAsia="Times New Roman" w:hAnsi="Cambria" w:cs="Cambria"/>
          <w:sz w:val="20"/>
          <w:szCs w:val="20"/>
        </w:rPr>
        <w:t>. I</w:t>
      </w:r>
      <w:r w:rsidRPr="00866298">
        <w:rPr>
          <w:rFonts w:ascii="Cambria" w:eastAsia="Times New Roman" w:hAnsi="Cambria" w:cs="Cambria"/>
          <w:sz w:val="20"/>
          <w:szCs w:val="20"/>
        </w:rPr>
        <w:t>n our analyses children who died on day zero were considered to have died on the day of discharge for women who stayed &lt;24 hours, and before the day of discharge of all other women</w:t>
      </w:r>
      <w:r w:rsidR="001E067E">
        <w:rPr>
          <w:rFonts w:ascii="Cambria" w:eastAsia="Times New Roman" w:hAnsi="Cambria" w:cs="Cambria"/>
          <w:sz w:val="20"/>
          <w:szCs w:val="20"/>
        </w:rPr>
        <w:t>. D</w:t>
      </w:r>
      <w:r w:rsidRPr="00866298">
        <w:rPr>
          <w:rFonts w:ascii="Cambria" w:eastAsia="Times New Roman" w:hAnsi="Cambria" w:cs="Cambria"/>
          <w:sz w:val="20"/>
          <w:szCs w:val="20"/>
        </w:rPr>
        <w:t>eaths on day one were determined to have occurred after the discharge for women who stayed &lt;24 hours, but on or before the day of discharge for women who stayed one day or more, etc., up to deaths on day 6. Deaths on days 7-13 were considered to have occurred before or on the day of discharge of women who reported a length</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of</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stay of one week, up to day 21-27 of death, which coincided with a three</w:t>
      </w:r>
      <w:r w:rsidR="001E067E">
        <w:rPr>
          <w:rFonts w:ascii="Cambria" w:eastAsia="Times New Roman" w:hAnsi="Cambria" w:cs="Cambria"/>
          <w:sz w:val="20"/>
          <w:szCs w:val="20"/>
        </w:rPr>
        <w:t>-</w:t>
      </w:r>
      <w:r w:rsidRPr="00866298">
        <w:rPr>
          <w:rFonts w:ascii="Cambria" w:eastAsia="Times New Roman" w:hAnsi="Cambria" w:cs="Cambria"/>
          <w:sz w:val="20"/>
          <w:szCs w:val="20"/>
        </w:rPr>
        <w:t>week length</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of</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stay, after which we truncated our dataset. Depending on the length</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of</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stay at discharge and the age</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at</w:t>
      </w:r>
      <w:r w:rsidR="009A7E49">
        <w:rPr>
          <w:rFonts w:ascii="Cambria" w:eastAsia="Times New Roman" w:hAnsi="Cambria" w:cs="Cambria"/>
          <w:sz w:val="20"/>
          <w:szCs w:val="20"/>
        </w:rPr>
        <w:t xml:space="preserve"> </w:t>
      </w:r>
      <w:r w:rsidRPr="00866298">
        <w:rPr>
          <w:rFonts w:ascii="Cambria" w:eastAsia="Times New Roman" w:hAnsi="Cambria" w:cs="Cambria"/>
          <w:sz w:val="20"/>
          <w:szCs w:val="20"/>
        </w:rPr>
        <w:t>death, woman were coded as having a child that survived until the survey, died on/before discharge, or died subsequently.</w:t>
      </w:r>
    </w:p>
    <w:p w:rsidR="00866298" w:rsidRPr="00866298" w:rsidRDefault="00866298" w:rsidP="00866298">
      <w:pPr>
        <w:spacing w:after="0" w:line="240" w:lineRule="auto"/>
        <w:jc w:val="both"/>
        <w:rPr>
          <w:rFonts w:ascii="Cambria" w:eastAsia="Times New Roman" w:hAnsi="Cambria" w:cs="Cambria"/>
          <w:b/>
          <w:sz w:val="20"/>
          <w:szCs w:val="20"/>
        </w:rPr>
      </w:pPr>
    </w:p>
    <w:p w:rsidR="00866298" w:rsidRPr="00866298" w:rsidRDefault="00866298" w:rsidP="00866298">
      <w:pPr>
        <w:spacing w:after="0" w:line="240" w:lineRule="auto"/>
        <w:jc w:val="both"/>
        <w:rPr>
          <w:rFonts w:ascii="Cambria" w:eastAsia="Times New Roman" w:hAnsi="Cambria" w:cs="Cambria"/>
          <w:sz w:val="20"/>
          <w:szCs w:val="20"/>
        </w:rPr>
      </w:pPr>
      <w:r w:rsidRPr="00866298">
        <w:rPr>
          <w:rFonts w:ascii="Cambria" w:eastAsia="Times New Roman" w:hAnsi="Cambria" w:cs="Cambria"/>
          <w:b/>
          <w:sz w:val="20"/>
          <w:szCs w:val="20"/>
        </w:rPr>
        <w:t>Birthweight of the index child</w:t>
      </w:r>
      <w:r w:rsidRPr="00866298">
        <w:rPr>
          <w:rFonts w:ascii="Cambria" w:eastAsia="Times New Roman" w:hAnsi="Cambria" w:cs="Cambria"/>
          <w:sz w:val="20"/>
          <w:szCs w:val="20"/>
        </w:rPr>
        <w:t xml:space="preserve"> was copied from the child’s health </w:t>
      </w:r>
      <w:proofErr w:type="spellStart"/>
      <w:r w:rsidRPr="00866298">
        <w:rPr>
          <w:rFonts w:ascii="Cambria" w:eastAsia="Times New Roman" w:hAnsi="Cambria" w:cs="Cambria"/>
          <w:sz w:val="20"/>
          <w:szCs w:val="20"/>
        </w:rPr>
        <w:t>card</w:t>
      </w:r>
      <w:proofErr w:type="spellEnd"/>
      <w:r w:rsidRPr="00866298">
        <w:rPr>
          <w:rFonts w:ascii="Cambria" w:eastAsia="Times New Roman" w:hAnsi="Cambria" w:cs="Cambria"/>
          <w:sz w:val="20"/>
          <w:szCs w:val="20"/>
        </w:rPr>
        <w:t xml:space="preserve"> where available, or was recalled by the mother. </w:t>
      </w:r>
    </w:p>
    <w:p w:rsidR="00866298" w:rsidRPr="00866298" w:rsidRDefault="00866298" w:rsidP="00866298">
      <w:pPr>
        <w:spacing w:after="0" w:line="240" w:lineRule="auto"/>
        <w:jc w:val="both"/>
        <w:rPr>
          <w:rFonts w:ascii="Cambria" w:eastAsia="Times New Roman" w:hAnsi="Cambria" w:cs="Cambria"/>
          <w:sz w:val="20"/>
          <w:szCs w:val="20"/>
        </w:rPr>
      </w:pPr>
    </w:p>
    <w:p w:rsidR="00866298" w:rsidRPr="00866298" w:rsidRDefault="00866298" w:rsidP="00866298">
      <w:pPr>
        <w:spacing w:after="0" w:line="240" w:lineRule="auto"/>
        <w:jc w:val="both"/>
        <w:rPr>
          <w:rFonts w:ascii="Cambria" w:eastAsia="Times New Roman" w:hAnsi="Cambria" w:cs="Cambria"/>
          <w:sz w:val="20"/>
          <w:szCs w:val="20"/>
        </w:rPr>
      </w:pPr>
      <w:r w:rsidRPr="00866298">
        <w:rPr>
          <w:rFonts w:ascii="Cambria" w:eastAsia="Times New Roman" w:hAnsi="Cambria" w:cs="Cambria"/>
          <w:b/>
          <w:sz w:val="20"/>
          <w:szCs w:val="20"/>
        </w:rPr>
        <w:t>Birth-attendant</w:t>
      </w:r>
      <w:r w:rsidRPr="00866298">
        <w:rPr>
          <w:rFonts w:ascii="Cambria" w:eastAsia="Times New Roman" w:hAnsi="Cambria" w:cs="Cambria"/>
          <w:sz w:val="20"/>
          <w:szCs w:val="20"/>
        </w:rPr>
        <w:t xml:space="preserve"> (nurse-midwife, doctor, other auxiliary staff, husband/ friend/ other, no one) and </w:t>
      </w:r>
      <w:r w:rsidRPr="00866298">
        <w:rPr>
          <w:rFonts w:ascii="Cambria" w:eastAsia="Times New Roman" w:hAnsi="Cambria" w:cs="Cambria"/>
          <w:b/>
          <w:sz w:val="20"/>
          <w:szCs w:val="20"/>
        </w:rPr>
        <w:t>sector</w:t>
      </w:r>
      <w:r w:rsidRPr="00866298">
        <w:rPr>
          <w:rFonts w:ascii="Cambria" w:eastAsia="Times New Roman" w:hAnsi="Cambria" w:cs="Cambria"/>
          <w:sz w:val="20"/>
          <w:szCs w:val="20"/>
        </w:rPr>
        <w:t xml:space="preserve"> (public, private) were grouped as detailed previously </w:t>
      </w:r>
      <w:hyperlink w:anchor="_ENREF_37" w:tooltip="Benova, 2015 #151" w:history="1">
        <w:r w:rsidRPr="00866298">
          <w:rPr>
            <w:rFonts w:ascii="Cambria" w:eastAsia="Times New Roman" w:hAnsi="Cambria" w:cs="Cambria"/>
            <w:sz w:val="20"/>
            <w:szCs w:val="20"/>
          </w:rPr>
          <w:fldChar w:fldCharType="begin"/>
        </w:r>
        <w:r w:rsidRPr="00866298">
          <w:rPr>
            <w:rFonts w:ascii="Cambria" w:eastAsia="Times New Roman" w:hAnsi="Cambria" w:cs="Cambria"/>
            <w:sz w:val="20"/>
            <w:szCs w:val="20"/>
          </w:rPr>
          <w:instrText xml:space="preserve"> ADDIN EN.CITE &lt;EndNote&gt;&lt;Cite&gt;&lt;Author&gt;Benova&lt;/Author&gt;&lt;Year&gt;2015&lt;/Year&gt;&lt;RecNum&gt;151&lt;/RecNum&gt;&lt;DisplayText&gt;&lt;style face="superscript"&gt;37&lt;/style&gt;&lt;/DisplayText&gt;&lt;record&gt;&lt;rec-number&gt;151&lt;/rec-number&gt;&lt;foreign-keys&gt;&lt;key app="EN" db-id="pxxave5r89wwrcetrem5ea55059avrs9vfev"&gt;151&lt;/key&gt;&lt;/foreign-keys&gt;&lt;ref-type name="Journal Article"&gt;17&lt;/ref-type&gt;&lt;contributors&gt;&lt;authors&gt;&lt;author&gt;Benova, L.&lt;/author&gt;&lt;author&gt;Macleod, D.&lt;/author&gt;&lt;author&gt;Footman, K.&lt;/author&gt;&lt;author&gt;Cavallaro, F.&lt;/author&gt;&lt;author&gt;Lynch, CA.&lt;/author&gt;&lt;author&gt;Campbell, O. M.&lt;/author&gt;&lt;/authors&gt;&lt;/contributors&gt;&lt;titles&gt;&lt;title&gt;Role of the private sector in childbirth care: cross-sectional survey evidence from 57 low- and middle-income countries using Demographic and Health Surveys&lt;/title&gt;&lt;secondary-title&gt;Trop Med Int Health&lt;/secondary-title&gt;&lt;/titles&gt;&lt;dates&gt;&lt;year&gt;2015&lt;/year&gt;&lt;/dates&gt;&lt;urls&gt;&lt;/urls&gt;&lt;/record&gt;&lt;/Cite&gt;&lt;Cite&gt;&lt;Author&gt;Benova&lt;/Author&gt;&lt;Year&gt;2015&lt;/Year&gt;&lt;RecNum&gt;151&lt;/RecNum&gt;&lt;record&gt;&lt;rec-number&gt;151&lt;/rec-number&gt;&lt;foreign-keys&gt;&lt;key app="EN" db-id="pxxave5r89wwrcetrem5ea55059avrs9vfev"&gt;151&lt;/key&gt;&lt;/foreign-keys&gt;&lt;ref-type name="Journal Article"&gt;17&lt;/ref-type&gt;&lt;contributors&gt;&lt;authors&gt;&lt;author&gt;Benova, L.&lt;/author&gt;&lt;author&gt;Macleod, D.&lt;/author&gt;&lt;author&gt;Footman, K.&lt;/author&gt;&lt;author&gt;Cavallaro, F.&lt;/author&gt;&lt;author&gt;Lynch, CA.&lt;/author&gt;&lt;author&gt;Campbell, O. M.&lt;/author&gt;&lt;/authors&gt;&lt;/contributors&gt;&lt;titles&gt;&lt;title&gt;Role of the private sector in childbirth care: cross-sectional survey evidence from 57 low- and middle-income countries using Demographic and Health Surveys&lt;/title&gt;&lt;secondary-title&gt;Trop Med Int Health&lt;/secondary-title&gt;&lt;/titles&gt;&lt;dates&gt;&lt;year&gt;2015&lt;/year&gt;&lt;/dates&gt;&lt;urls&gt;&lt;/urls&gt;&lt;/record&gt;&lt;/Cite&gt;&lt;/EndNote&gt;</w:instrText>
        </w:r>
        <w:r w:rsidRPr="00866298">
          <w:rPr>
            <w:rFonts w:ascii="Cambria" w:eastAsia="Times New Roman" w:hAnsi="Cambria" w:cs="Cambria"/>
            <w:sz w:val="20"/>
            <w:szCs w:val="20"/>
          </w:rPr>
          <w:fldChar w:fldCharType="separate"/>
        </w:r>
        <w:r w:rsidRPr="00866298">
          <w:rPr>
            <w:rFonts w:ascii="Cambria" w:eastAsia="Times New Roman" w:hAnsi="Cambria" w:cs="Cambria"/>
            <w:noProof/>
            <w:sz w:val="20"/>
            <w:szCs w:val="20"/>
            <w:vertAlign w:val="superscript"/>
          </w:rPr>
          <w:t>37</w:t>
        </w:r>
        <w:r w:rsidRPr="00866298">
          <w:rPr>
            <w:rFonts w:ascii="Cambria" w:eastAsia="Times New Roman" w:hAnsi="Cambria" w:cs="Cambria"/>
            <w:sz w:val="20"/>
            <w:szCs w:val="20"/>
          </w:rPr>
          <w:fldChar w:fldCharType="end"/>
        </w:r>
      </w:hyperlink>
      <w:r w:rsidRPr="00866298">
        <w:rPr>
          <w:rFonts w:ascii="Cambria" w:eastAsia="Times New Roman" w:hAnsi="Cambria" w:cs="Cambria"/>
          <w:sz w:val="20"/>
          <w:szCs w:val="20"/>
        </w:rPr>
        <w:t>.</w:t>
      </w:r>
    </w:p>
    <w:p w:rsidR="00866298" w:rsidRPr="00866298" w:rsidRDefault="00866298" w:rsidP="00866298">
      <w:pPr>
        <w:spacing w:after="0" w:line="240" w:lineRule="auto"/>
        <w:jc w:val="both"/>
        <w:rPr>
          <w:rFonts w:ascii="Cambria" w:eastAsia="Times New Roman" w:hAnsi="Cambria" w:cs="Cambria"/>
          <w:sz w:val="20"/>
          <w:szCs w:val="20"/>
        </w:rPr>
      </w:pPr>
    </w:p>
    <w:p w:rsidR="00866298" w:rsidRPr="00866298" w:rsidRDefault="00866298" w:rsidP="00866298">
      <w:pPr>
        <w:spacing w:after="0" w:line="240" w:lineRule="auto"/>
        <w:jc w:val="both"/>
        <w:rPr>
          <w:rFonts w:ascii="Cambria" w:eastAsia="Times New Roman" w:hAnsi="Cambria" w:cs="Cambria"/>
          <w:sz w:val="20"/>
          <w:szCs w:val="20"/>
        </w:rPr>
      </w:pPr>
      <w:r w:rsidRPr="00866298">
        <w:rPr>
          <w:rFonts w:ascii="Cambria" w:eastAsia="Times New Roman" w:hAnsi="Cambria" w:cs="Cambria"/>
          <w:b/>
          <w:sz w:val="20"/>
          <w:szCs w:val="20"/>
        </w:rPr>
        <w:t>Wealth quintile</w:t>
      </w:r>
      <w:r w:rsidRPr="00866298">
        <w:rPr>
          <w:rFonts w:ascii="Cambria" w:eastAsia="Times New Roman" w:hAnsi="Cambria" w:cs="Cambria"/>
          <w:sz w:val="20"/>
          <w:szCs w:val="20"/>
        </w:rPr>
        <w:t xml:space="preserve"> was based on the DHS’s quintile of asset ownership in women’s households, an approach commonly used to classify socioeconomic position.</w:t>
      </w:r>
      <w:hyperlink w:anchor="_ENREF_38" w:tooltip="Vyas, 2006 #5" w:history="1">
        <w:r w:rsidRPr="00866298">
          <w:rPr>
            <w:rFonts w:ascii="Cambria" w:eastAsia="Times New Roman" w:hAnsi="Cambria" w:cs="Cambria"/>
            <w:sz w:val="20"/>
            <w:szCs w:val="20"/>
          </w:rPr>
          <w:fldChar w:fldCharType="begin">
            <w:fldData xml:space="preserve">PEVuZE5vdGU+PENpdGU+PEF1dGhvcj5WeWFzPC9BdXRob3I+PFllYXI+MjAwNjwvWWVhcj48UmVj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</w:fldData>
          </w:fldChar>
        </w:r>
        <w:r w:rsidRPr="00866298">
          <w:rPr>
            <w:rFonts w:ascii="Cambria" w:eastAsia="Times New Roman" w:hAnsi="Cambria" w:cs="Cambria"/>
            <w:sz w:val="20"/>
            <w:szCs w:val="20"/>
          </w:rPr>
          <w:instrText xml:space="preserve"> ADDIN EN.CITE </w:instrText>
        </w:r>
        <w:r w:rsidRPr="00866298">
          <w:rPr>
            <w:rFonts w:ascii="Cambria" w:eastAsia="Times New Roman" w:hAnsi="Cambria" w:cs="Cambria"/>
            <w:sz w:val="20"/>
            <w:szCs w:val="20"/>
          </w:rPr>
          <w:fldChar w:fldCharType="begin">
            <w:fldData xml:space="preserve">PEVuZE5vdGU+PENpdGU+PEF1dGhvcj5WeWFzPC9BdXRob3I+PFllYXI+MjAwNjwvWWVhcj48UmVj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</w:fldData>
          </w:fldChar>
        </w:r>
        <w:r w:rsidRPr="00866298">
          <w:rPr>
            <w:rFonts w:ascii="Cambria" w:eastAsia="Times New Roman" w:hAnsi="Cambria" w:cs="Cambria"/>
            <w:sz w:val="20"/>
            <w:szCs w:val="20"/>
          </w:rPr>
          <w:instrText xml:space="preserve"> ADDIN EN.CITE.DATA </w:instrText>
        </w:r>
        <w:r w:rsidRPr="00866298">
          <w:rPr>
            <w:rFonts w:ascii="Cambria" w:eastAsia="Times New Roman" w:hAnsi="Cambria" w:cs="Cambria"/>
            <w:sz w:val="20"/>
            <w:szCs w:val="20"/>
          </w:rPr>
        </w:r>
        <w:r w:rsidRPr="00866298">
          <w:rPr>
            <w:rFonts w:ascii="Cambria" w:eastAsia="Times New Roman" w:hAnsi="Cambria" w:cs="Cambria"/>
            <w:sz w:val="20"/>
            <w:szCs w:val="20"/>
          </w:rPr>
          <w:fldChar w:fldCharType="end"/>
        </w:r>
        <w:r w:rsidRPr="00866298">
          <w:rPr>
            <w:rFonts w:ascii="Cambria" w:eastAsia="Times New Roman" w:hAnsi="Cambria" w:cs="Cambria"/>
            <w:sz w:val="20"/>
            <w:szCs w:val="20"/>
          </w:rPr>
        </w:r>
        <w:r w:rsidRPr="00866298">
          <w:rPr>
            <w:rFonts w:ascii="Cambria" w:eastAsia="Times New Roman" w:hAnsi="Cambria" w:cs="Cambria"/>
            <w:sz w:val="20"/>
            <w:szCs w:val="20"/>
          </w:rPr>
          <w:fldChar w:fldCharType="separate"/>
        </w:r>
        <w:r w:rsidRPr="00866298">
          <w:rPr>
            <w:rFonts w:ascii="Cambria" w:eastAsia="Times New Roman" w:hAnsi="Cambria" w:cs="Cambria"/>
            <w:noProof/>
            <w:sz w:val="20"/>
            <w:szCs w:val="20"/>
            <w:vertAlign w:val="superscript"/>
          </w:rPr>
          <w:t>38-40</w:t>
        </w:r>
        <w:r w:rsidRPr="00866298">
          <w:rPr>
            <w:rFonts w:ascii="Cambria" w:eastAsia="Times New Roman" w:hAnsi="Cambria" w:cs="Cambria"/>
            <w:sz w:val="20"/>
            <w:szCs w:val="20"/>
          </w:rPr>
          <w:fldChar w:fldCharType="end"/>
        </w:r>
      </w:hyperlink>
      <w:r w:rsidRPr="00866298">
        <w:rPr>
          <w:rFonts w:ascii="Cambria" w:eastAsia="Times New Roman" w:hAnsi="Cambria" w:cs="Cambria"/>
          <w:sz w:val="20"/>
          <w:szCs w:val="20"/>
        </w:rPr>
        <w:t>.</w:t>
      </w:r>
    </w:p>
    <w:p w:rsidR="00866298" w:rsidRPr="00866298" w:rsidRDefault="00866298" w:rsidP="00866298">
      <w:pPr>
        <w:spacing w:after="0" w:line="240" w:lineRule="auto"/>
        <w:jc w:val="both"/>
        <w:rPr>
          <w:rFonts w:ascii="Cambria" w:eastAsia="Times New Roman" w:hAnsi="Cambria" w:cs="Cambria"/>
          <w:sz w:val="20"/>
          <w:szCs w:val="20"/>
        </w:rPr>
      </w:pPr>
    </w:p>
    <w:p w:rsidR="00866298" w:rsidRPr="00866298" w:rsidRDefault="00866298" w:rsidP="00866298">
      <w:pPr>
        <w:spacing w:after="0" w:line="240" w:lineRule="auto"/>
        <w:jc w:val="both"/>
        <w:rPr>
          <w:rFonts w:ascii="Cambria" w:eastAsia="Times New Roman" w:hAnsi="Cambria" w:cs="Cambria"/>
          <w:sz w:val="20"/>
          <w:szCs w:val="20"/>
        </w:rPr>
      </w:pPr>
      <w:r w:rsidRPr="00866298">
        <w:rPr>
          <w:rFonts w:ascii="Cambria" w:eastAsia="Times New Roman" w:hAnsi="Cambria" w:cs="Cambria"/>
          <w:b/>
          <w:sz w:val="20"/>
          <w:szCs w:val="20"/>
        </w:rPr>
        <w:t>Sex of index child, birth order and survival of the child for multiple births</w:t>
      </w:r>
      <w:r w:rsidRPr="00866298">
        <w:rPr>
          <w:rFonts w:ascii="Cambria" w:eastAsia="Times New Roman" w:hAnsi="Cambria" w:cs="Cambria"/>
          <w:sz w:val="20"/>
          <w:szCs w:val="20"/>
        </w:rPr>
        <w:t xml:space="preserve">. For women with multiple births (twins or triplets), the sex, </w:t>
      </w:r>
      <w:proofErr w:type="gramStart"/>
      <w:r w:rsidRPr="00866298">
        <w:rPr>
          <w:rFonts w:ascii="Cambria" w:eastAsia="Times New Roman" w:hAnsi="Cambria" w:cs="Cambria"/>
          <w:sz w:val="20"/>
          <w:szCs w:val="20"/>
        </w:rPr>
        <w:t>birth</w:t>
      </w:r>
      <w:proofErr w:type="gramEnd"/>
      <w:r w:rsidRPr="00866298">
        <w:rPr>
          <w:rFonts w:ascii="Cambria" w:eastAsia="Times New Roman" w:hAnsi="Cambria" w:cs="Cambria"/>
          <w:sz w:val="20"/>
          <w:szCs w:val="20"/>
        </w:rPr>
        <w:t xml:space="preserve"> order</w:t>
      </w:r>
      <w:r w:rsidR="001E067E">
        <w:rPr>
          <w:rFonts w:ascii="Cambria" w:eastAsia="Times New Roman" w:hAnsi="Cambria" w:cs="Cambria"/>
          <w:sz w:val="20"/>
          <w:szCs w:val="20"/>
        </w:rPr>
        <w:t>,</w:t>
      </w:r>
      <w:r w:rsidRPr="00866298">
        <w:rPr>
          <w:rFonts w:ascii="Cambria" w:eastAsia="Times New Roman" w:hAnsi="Cambria" w:cs="Cambria"/>
          <w:sz w:val="20"/>
          <w:szCs w:val="20"/>
        </w:rPr>
        <w:t xml:space="preserve"> and survival of the child was taken for the first multiple reported, and for which interviewers were given no specific instruction. In half of dizygotic twins, each child could have a different sex. </w:t>
      </w:r>
    </w:p>
    <w:p w:rsidR="00655B0E" w:rsidRDefault="0002049C"/>
    <w:p w:rsidR="00A8727C" w:rsidRPr="00A8727C" w:rsidRDefault="00A8727C" w:rsidP="00A8727C">
      <w:pPr>
        <w:pStyle w:val="text-noindent"/>
        <w:spacing w:line="240" w:lineRule="auto"/>
        <w:rPr>
          <w:rFonts w:ascii="Cambria" w:hAnsi="Cambria" w:cs="Cambria"/>
          <w:sz w:val="20"/>
          <w:szCs w:val="20"/>
          <w:lang w:val="en-GB"/>
        </w:rPr>
      </w:pPr>
      <w:r w:rsidRPr="00A8727C">
        <w:rPr>
          <w:rFonts w:ascii="Cambria" w:hAnsi="Cambria" w:cs="Cambria"/>
          <w:b/>
          <w:sz w:val="20"/>
          <w:szCs w:val="20"/>
          <w:lang w:val="en-GB"/>
        </w:rPr>
        <w:t xml:space="preserve">Wantedness </w:t>
      </w:r>
      <w:r>
        <w:rPr>
          <w:rFonts w:ascii="Cambria" w:hAnsi="Cambria" w:cs="Cambria"/>
          <w:b/>
          <w:sz w:val="20"/>
          <w:szCs w:val="20"/>
          <w:lang w:val="en-GB"/>
        </w:rPr>
        <w:t xml:space="preserve">of the index child </w:t>
      </w:r>
      <w:r w:rsidRPr="00A8727C">
        <w:rPr>
          <w:rFonts w:ascii="Cambria" w:hAnsi="Cambria" w:cs="Cambria"/>
          <w:sz w:val="20"/>
          <w:szCs w:val="20"/>
          <w:lang w:val="en-GB"/>
        </w:rPr>
        <w:t xml:space="preserve">refers to whether the pregnancy resulting in the </w:t>
      </w:r>
      <w:r>
        <w:rPr>
          <w:rFonts w:ascii="Cambria" w:hAnsi="Cambria" w:cs="Cambria"/>
          <w:sz w:val="20"/>
          <w:szCs w:val="20"/>
          <w:lang w:val="en-GB"/>
        </w:rPr>
        <w:t>index child</w:t>
      </w:r>
      <w:r w:rsidRPr="0002049C">
        <w:rPr>
          <w:rFonts w:ascii="Cambria" w:hAnsi="Cambria" w:cs="Cambria"/>
          <w:sz w:val="20"/>
          <w:szCs w:val="20"/>
          <w:lang w:val="en-GB"/>
        </w:rPr>
        <w:t xml:space="preserve"> was wanted at the time it occurred, </w:t>
      </w:r>
      <w:r>
        <w:rPr>
          <w:rFonts w:ascii="Cambria" w:hAnsi="Cambria" w:cs="Cambria"/>
          <w:sz w:val="20"/>
          <w:szCs w:val="20"/>
          <w:lang w:val="en-GB"/>
        </w:rPr>
        <w:t xml:space="preserve">was </w:t>
      </w:r>
      <w:r w:rsidRPr="00A8727C">
        <w:rPr>
          <w:rFonts w:ascii="Cambria" w:hAnsi="Cambria" w:cs="Cambria"/>
          <w:sz w:val="20"/>
          <w:szCs w:val="20"/>
          <w:lang w:val="en-GB"/>
        </w:rPr>
        <w:t xml:space="preserve">wanted but mistimed, or </w:t>
      </w:r>
      <w:r>
        <w:rPr>
          <w:rFonts w:ascii="Cambria" w:hAnsi="Cambria" w:cs="Cambria"/>
          <w:sz w:val="20"/>
          <w:szCs w:val="20"/>
          <w:lang w:val="en-GB"/>
        </w:rPr>
        <w:t xml:space="preserve">was </w:t>
      </w:r>
      <w:r w:rsidRPr="00A8727C">
        <w:rPr>
          <w:rFonts w:ascii="Cambria" w:hAnsi="Cambria" w:cs="Cambria"/>
          <w:sz w:val="20"/>
          <w:szCs w:val="20"/>
          <w:lang w:val="en-GB"/>
        </w:rPr>
        <w:t xml:space="preserve">not wanted at all. </w:t>
      </w:r>
    </w:p>
    <w:p w:rsidR="00A8727C" w:rsidRDefault="00A8727C">
      <w:bookmarkStart w:id="0" w:name="_GoBack"/>
      <w:bookmarkEnd w:id="0"/>
    </w:p>
    <w:sectPr w:rsidR="00A872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ona Campbell">
    <w15:presenceInfo w15:providerId="None" w15:userId="Oona Campb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298"/>
    <w:rsid w:val="0002049C"/>
    <w:rsid w:val="001E067E"/>
    <w:rsid w:val="00200E1C"/>
    <w:rsid w:val="00256FD7"/>
    <w:rsid w:val="00271DCF"/>
    <w:rsid w:val="00866298"/>
    <w:rsid w:val="009A7E49"/>
    <w:rsid w:val="00A8727C"/>
    <w:rsid w:val="00B00001"/>
    <w:rsid w:val="00E604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unhideWhenUsed/>
    <w:rsid w:val="00A8727C"/>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A8727C"/>
    <w:rPr>
      <w:rFonts w:ascii="Times New Roman" w:eastAsia="Times New Roman" w:hAnsi="Times New Roman" w:cs="Times New Roman"/>
      <w:sz w:val="20"/>
      <w:szCs w:val="20"/>
      <w:lang w:val="en-US"/>
    </w:rPr>
  </w:style>
  <w:style w:type="paragraph" w:customStyle="1" w:styleId="text-noindent">
    <w:name w:val="&lt;text-no indent&gt;"/>
    <w:basedOn w:val="Normal"/>
    <w:rsid w:val="00A8727C"/>
    <w:pPr>
      <w:spacing w:before="120" w:after="0" w:line="480" w:lineRule="auto"/>
    </w:pPr>
    <w:rPr>
      <w:rFonts w:ascii="Times New Roman" w:eastAsia="Times New Roman" w:hAnsi="Times New Roman" w:cs="Times New Roman"/>
      <w:sz w:val="24"/>
      <w:szCs w:val="24"/>
      <w:lang w:val="en-US"/>
    </w:rPr>
  </w:style>
  <w:style w:type="character" w:styleId="CommentReference">
    <w:name w:val="annotation reference"/>
    <w:semiHidden/>
    <w:unhideWhenUsed/>
    <w:rsid w:val="00A8727C"/>
    <w:rPr>
      <w:sz w:val="16"/>
      <w:szCs w:val="16"/>
    </w:rPr>
  </w:style>
  <w:style w:type="paragraph" w:styleId="BalloonText">
    <w:name w:val="Balloon Text"/>
    <w:basedOn w:val="Normal"/>
    <w:link w:val="BalloonTextChar"/>
    <w:uiPriority w:val="99"/>
    <w:semiHidden/>
    <w:unhideWhenUsed/>
    <w:rsid w:val="00A872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27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unhideWhenUsed/>
    <w:rsid w:val="00A8727C"/>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A8727C"/>
    <w:rPr>
      <w:rFonts w:ascii="Times New Roman" w:eastAsia="Times New Roman" w:hAnsi="Times New Roman" w:cs="Times New Roman"/>
      <w:sz w:val="20"/>
      <w:szCs w:val="20"/>
      <w:lang w:val="en-US"/>
    </w:rPr>
  </w:style>
  <w:style w:type="paragraph" w:customStyle="1" w:styleId="text-noindent">
    <w:name w:val="&lt;text-no indent&gt;"/>
    <w:basedOn w:val="Normal"/>
    <w:rsid w:val="00A8727C"/>
    <w:pPr>
      <w:spacing w:before="120" w:after="0" w:line="480" w:lineRule="auto"/>
    </w:pPr>
    <w:rPr>
      <w:rFonts w:ascii="Times New Roman" w:eastAsia="Times New Roman" w:hAnsi="Times New Roman" w:cs="Times New Roman"/>
      <w:sz w:val="24"/>
      <w:szCs w:val="24"/>
      <w:lang w:val="en-US"/>
    </w:rPr>
  </w:style>
  <w:style w:type="character" w:styleId="CommentReference">
    <w:name w:val="annotation reference"/>
    <w:semiHidden/>
    <w:unhideWhenUsed/>
    <w:rsid w:val="00A8727C"/>
    <w:rPr>
      <w:sz w:val="16"/>
      <w:szCs w:val="16"/>
    </w:rPr>
  </w:style>
  <w:style w:type="paragraph" w:styleId="BalloonText">
    <w:name w:val="Balloon Text"/>
    <w:basedOn w:val="Normal"/>
    <w:link w:val="BalloonTextChar"/>
    <w:uiPriority w:val="99"/>
    <w:semiHidden/>
    <w:unhideWhenUsed/>
    <w:rsid w:val="00A872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2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454041">
      <w:bodyDiv w:val="1"/>
      <w:marLeft w:val="0"/>
      <w:marRight w:val="0"/>
      <w:marTop w:val="0"/>
      <w:marBottom w:val="0"/>
      <w:divBdr>
        <w:top w:val="none" w:sz="0" w:space="0" w:color="auto"/>
        <w:left w:val="none" w:sz="0" w:space="0" w:color="auto"/>
        <w:bottom w:val="none" w:sz="0" w:space="0" w:color="auto"/>
        <w:right w:val="none" w:sz="0" w:space="0" w:color="auto"/>
      </w:divBdr>
    </w:div>
    <w:div w:id="213486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Oona Campbell</dc:creator>
  <cp:keywords/>
  <dc:description/>
  <cp:lastModifiedBy>Chelsea Scholl</cp:lastModifiedBy>
  <cp:revision>4</cp:revision>
  <dcterms:created xsi:type="dcterms:W3CDTF">2016-02-05T14:42:00Z</dcterms:created>
  <dcterms:modified xsi:type="dcterms:W3CDTF">2016-02-08T17:41:00Z</dcterms:modified>
</cp:coreProperties>
</file>