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EA911" w14:textId="77777777" w:rsidR="00EE0F93" w:rsidRDefault="00EE0F93" w:rsidP="00EE0F93">
      <w:pPr>
        <w:spacing w:line="48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4E6812">
        <w:rPr>
          <w:rFonts w:ascii="Arial" w:hAnsi="Arial" w:cs="Arial"/>
          <w:b/>
          <w:bCs/>
          <w:i/>
          <w:iCs/>
          <w:sz w:val="24"/>
          <w:szCs w:val="24"/>
        </w:rPr>
        <w:t xml:space="preserve">Appendix A, </w:t>
      </w:r>
      <w:r>
        <w:rPr>
          <w:rFonts w:ascii="Arial" w:hAnsi="Arial" w:cs="Arial"/>
          <w:b/>
          <w:bCs/>
          <w:i/>
          <w:iCs/>
          <w:sz w:val="24"/>
          <w:szCs w:val="24"/>
        </w:rPr>
        <w:t>in- and exclusion criteria for the study selection process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"/>
        <w:gridCol w:w="1640"/>
        <w:gridCol w:w="2776"/>
        <w:gridCol w:w="2946"/>
        <w:gridCol w:w="1678"/>
      </w:tblGrid>
      <w:tr w:rsidR="00EE0F93" w:rsidRPr="004E6812" w14:paraId="369D6688" w14:textId="77777777" w:rsidTr="00B76427">
        <w:tc>
          <w:tcPr>
            <w:tcW w:w="562" w:type="dxa"/>
          </w:tcPr>
          <w:p w14:paraId="5A48C325" w14:textId="77777777" w:rsidR="00EE0F93" w:rsidRPr="002320E9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2320E9">
              <w:rPr>
                <w:b/>
                <w:bCs/>
                <w:sz w:val="12"/>
                <w:szCs w:val="12"/>
              </w:rPr>
              <w:t>Priority</w:t>
            </w:r>
          </w:p>
        </w:tc>
        <w:tc>
          <w:tcPr>
            <w:tcW w:w="1756" w:type="dxa"/>
          </w:tcPr>
          <w:p w14:paraId="347357B5" w14:textId="77777777" w:rsidR="00EE0F93" w:rsidRPr="002320E9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2320E9">
              <w:rPr>
                <w:b/>
                <w:bCs/>
                <w:sz w:val="12"/>
                <w:szCs w:val="12"/>
              </w:rPr>
              <w:t>Characteristic</w:t>
            </w:r>
          </w:p>
        </w:tc>
        <w:tc>
          <w:tcPr>
            <w:tcW w:w="3064" w:type="dxa"/>
            <w:shd w:val="clear" w:color="auto" w:fill="92D050"/>
          </w:tcPr>
          <w:p w14:paraId="47F8787F" w14:textId="77777777" w:rsidR="00EE0F93" w:rsidRPr="002320E9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2320E9">
              <w:rPr>
                <w:b/>
                <w:bCs/>
                <w:sz w:val="12"/>
                <w:szCs w:val="12"/>
              </w:rPr>
              <w:t>Inclusion</w:t>
            </w:r>
          </w:p>
        </w:tc>
        <w:tc>
          <w:tcPr>
            <w:tcW w:w="3260" w:type="dxa"/>
            <w:shd w:val="clear" w:color="auto" w:fill="FF0000"/>
          </w:tcPr>
          <w:p w14:paraId="22336D64" w14:textId="77777777" w:rsidR="00EE0F93" w:rsidRPr="002320E9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2320E9">
              <w:rPr>
                <w:b/>
                <w:bCs/>
                <w:sz w:val="12"/>
                <w:szCs w:val="12"/>
              </w:rPr>
              <w:t>Exclusion</w:t>
            </w:r>
          </w:p>
        </w:tc>
        <w:tc>
          <w:tcPr>
            <w:tcW w:w="1814" w:type="dxa"/>
          </w:tcPr>
          <w:p w14:paraId="29F85338" w14:textId="77777777" w:rsidR="00EE0F93" w:rsidRPr="002320E9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2320E9">
              <w:rPr>
                <w:b/>
                <w:bCs/>
                <w:sz w:val="12"/>
                <w:szCs w:val="12"/>
              </w:rPr>
              <w:t>Mark the reason for the exclusion</w:t>
            </w:r>
          </w:p>
        </w:tc>
      </w:tr>
      <w:tr w:rsidR="00EE0F93" w:rsidRPr="004E6812" w14:paraId="7B04713B" w14:textId="77777777" w:rsidTr="00B76427">
        <w:tc>
          <w:tcPr>
            <w:tcW w:w="562" w:type="dxa"/>
          </w:tcPr>
          <w:p w14:paraId="4F734B6B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1</w:t>
            </w:r>
          </w:p>
        </w:tc>
        <w:tc>
          <w:tcPr>
            <w:tcW w:w="1756" w:type="dxa"/>
          </w:tcPr>
          <w:p w14:paraId="152123D0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Participants</w:t>
            </w:r>
          </w:p>
        </w:tc>
        <w:tc>
          <w:tcPr>
            <w:tcW w:w="3064" w:type="dxa"/>
            <w:shd w:val="clear" w:color="auto" w:fill="92D050"/>
          </w:tcPr>
          <w:p w14:paraId="3367912B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 xml:space="preserve">A clinical diagnosis of congenital or acquired brain injury, respectively defined as cerebral palsy (Rosenbaum et al. definition </w:t>
            </w:r>
            <w:r w:rsidRPr="004E6812">
              <w:rPr>
                <w:rFonts w:cstheme="minorHAnsi"/>
                <w:sz w:val="12"/>
                <w:szCs w:val="12"/>
              </w:rPr>
              <w:fldChar w:fldCharType="begin"/>
            </w:r>
            <w:r>
              <w:rPr>
                <w:rFonts w:cstheme="minorHAnsi"/>
                <w:sz w:val="12"/>
                <w:szCs w:val="12"/>
              </w:rPr>
              <w:instrText xml:space="preserve"> ADDIN EN.CITE &lt;EndNote&gt;&lt;Cite&gt;&lt;Author&gt;Rosenbaum&lt;/Author&gt;&lt;Year&gt;2007&lt;/Year&gt;&lt;RecNum&gt;30&lt;/RecNum&gt;&lt;DisplayText&gt;[20]&lt;/DisplayText&gt;&lt;record&gt;&lt;rec-number&gt;30&lt;/rec-number&gt;&lt;foreign-keys&gt;&lt;key app="EN" db-id="fttaestasxrpr6ee0vmvwx02wfw0aep29ef0" timestamp="1648552937"&gt;30&lt;/key&gt;&lt;/foreign-keys&gt;&lt;ref-type name="Journal Article"&gt;17&lt;/ref-type&gt;&lt;contributors&gt;&lt;authors&gt;&lt;author&gt;Rosenbaum, P.&lt;/author&gt;&lt;author&gt;Paneth, N.&lt;/author&gt;&lt;author&gt;Leviton, A.&lt;/author&gt;&lt;author&gt;Goldstein, M.&lt;/author&gt;&lt;author&gt;Bax, M.&lt;/author&gt;&lt;author&gt;Damiano, D.&lt;/author&gt;&lt;author&gt;Dan, B.&lt;/author&gt;&lt;author&gt;Jacobsson, B.&lt;/author&gt;&lt;/authors&gt;&lt;/contributors&gt;&lt;auth-address&gt;CanChild Centre for Childhood Disability Research, Hamilton, Ontario, Canada.&lt;/auth-address&gt;&lt;titles&gt;&lt;title&gt;A report: the definition and classification of cerebral palsy April 2006&lt;/title&gt;&lt;secondary-title&gt;Dev Med Child Neurol Suppl&lt;/secondary-title&gt;&lt;/titles&gt;&lt;periodical&gt;&lt;full-title&gt;Dev Med Child Neurol Suppl&lt;/full-title&gt;&lt;/periodical&gt;&lt;pages&gt;8-14&lt;/pages&gt;&lt;volume&gt;109&lt;/volume&gt;&lt;keywords&gt;&lt;keyword&gt;Brain/pathology&lt;/keyword&gt;&lt;keyword&gt;Cerebral Palsy/classification/*diagnosis&lt;/keyword&gt;&lt;keyword&gt;Child&lt;/keyword&gt;&lt;keyword&gt;Child, Preschool&lt;/keyword&gt;&lt;keyword&gt;Consensus&lt;/keyword&gt;&lt;keyword&gt;Developmental Disabilities/classification/diagnosis&lt;/keyword&gt;&lt;keyword&gt;Diagnosis, Differential&lt;/keyword&gt;&lt;keyword&gt;Diagnostic Imaging&lt;/keyword&gt;&lt;keyword&gt;Education&lt;/keyword&gt;&lt;keyword&gt;Humans&lt;/keyword&gt;&lt;keyword&gt;Infant&lt;/keyword&gt;&lt;keyword&gt;Mobility Limitation&lt;/keyword&gt;&lt;keyword&gt;Neurologic Examination&lt;/keyword&gt;&lt;keyword&gt;Terminology as Topic&lt;/keyword&gt;&lt;/keywords&gt;&lt;dates&gt;&lt;year&gt;2007&lt;/year&gt;&lt;pub-dates&gt;&lt;date&gt;Feb&lt;/date&gt;&lt;/pub-dates&gt;&lt;/dates&gt;&lt;isbn&gt;0419-0238 (Print)&amp;#xD;0419-0238&lt;/isbn&gt;&lt;accession-num&gt;17370477&lt;/accession-num&gt;&lt;urls&gt;&lt;/urls&gt;&lt;remote-database-provider&gt;NLM&lt;/remote-database-provider&gt;&lt;language&gt;eng&lt;/language&gt;&lt;/record&gt;&lt;/Cite&gt;&lt;/EndNote&gt;</w:instrText>
            </w:r>
            <w:r w:rsidRPr="004E6812">
              <w:rPr>
                <w:rFonts w:cstheme="minorHAnsi"/>
                <w:sz w:val="12"/>
                <w:szCs w:val="12"/>
              </w:rPr>
              <w:fldChar w:fldCharType="separate"/>
            </w:r>
            <w:r>
              <w:rPr>
                <w:rFonts w:cstheme="minorHAnsi"/>
                <w:noProof/>
                <w:sz w:val="12"/>
                <w:szCs w:val="12"/>
              </w:rPr>
              <w:t>[20]</w:t>
            </w:r>
            <w:r w:rsidRPr="004E6812">
              <w:rPr>
                <w:rFonts w:cstheme="minorHAnsi"/>
                <w:sz w:val="12"/>
                <w:szCs w:val="12"/>
              </w:rPr>
              <w:fldChar w:fldCharType="end"/>
            </w:r>
            <w:r w:rsidRPr="004E6812">
              <w:rPr>
                <w:rFonts w:cstheme="minorHAnsi"/>
                <w:sz w:val="12"/>
                <w:szCs w:val="12"/>
              </w:rPr>
              <w:t xml:space="preserve">), stroke (World Health Organization (WHO) definition (2)), or brain injury caused by trauma including subdural hemorrhage. </w:t>
            </w:r>
          </w:p>
          <w:p w14:paraId="2738F7B6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4F83D9D5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>≥ 80% of the participants are at least six years of age</w:t>
            </w:r>
          </w:p>
        </w:tc>
        <w:tc>
          <w:tcPr>
            <w:tcW w:w="3260" w:type="dxa"/>
            <w:shd w:val="clear" w:color="auto" w:fill="FF0000"/>
          </w:tcPr>
          <w:p w14:paraId="10489C9E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 xml:space="preserve">Progressive neurological disease (e.g., </w:t>
            </w:r>
            <w:r w:rsidRPr="004E6812">
              <w:rPr>
                <w:rStyle w:val="Emphasis"/>
                <w:rFonts w:cs="Arial"/>
                <w:sz w:val="12"/>
                <w:szCs w:val="12"/>
              </w:rPr>
              <w:t xml:space="preserve">Multiple sclerosis, </w:t>
            </w:r>
            <w:r w:rsidRPr="004E6812">
              <w:rPr>
                <w:sz w:val="12"/>
                <w:szCs w:val="12"/>
              </w:rPr>
              <w:t>amyotrophic lateral sclerosis, cerebral tumors).</w:t>
            </w:r>
          </w:p>
          <w:p w14:paraId="4CAD23E0" w14:textId="77777777" w:rsidR="00EE0F93" w:rsidRPr="004E6812" w:rsidRDefault="00EE0F93" w:rsidP="00B76427">
            <w:pPr>
              <w:rPr>
                <w:rFonts w:cs="Arial"/>
                <w:sz w:val="12"/>
                <w:szCs w:val="12"/>
                <w:shd w:val="clear" w:color="auto" w:fill="FFFFFF"/>
              </w:rPr>
            </w:pPr>
          </w:p>
          <w:p w14:paraId="29463758" w14:textId="77777777" w:rsidR="00EE0F93" w:rsidRPr="004E6812" w:rsidRDefault="00EE0F93" w:rsidP="00B76427">
            <w:pPr>
              <w:shd w:val="clear" w:color="auto" w:fill="FF0000"/>
              <w:rPr>
                <w:rFonts w:cs="Arial"/>
                <w:sz w:val="12"/>
                <w:szCs w:val="12"/>
                <w:shd w:val="clear" w:color="auto" w:fill="FFFFFF"/>
              </w:rPr>
            </w:pPr>
            <w:r w:rsidRPr="004E6812">
              <w:rPr>
                <w:rFonts w:cs="Arial"/>
                <w:sz w:val="12"/>
                <w:szCs w:val="12"/>
                <w:highlight w:val="red"/>
                <w:shd w:val="clear" w:color="auto" w:fill="FFFFFF"/>
              </w:rPr>
              <w:t>Spinal cord Injury at any level</w:t>
            </w:r>
          </w:p>
          <w:p w14:paraId="05C60530" w14:textId="77777777" w:rsidR="00EE0F93" w:rsidRPr="004E6812" w:rsidRDefault="00EE0F93" w:rsidP="00B76427">
            <w:pPr>
              <w:rPr>
                <w:rFonts w:cs="Arial"/>
                <w:sz w:val="12"/>
                <w:szCs w:val="12"/>
                <w:shd w:val="clear" w:color="auto" w:fill="FFFFFF"/>
              </w:rPr>
            </w:pPr>
          </w:p>
          <w:p w14:paraId="18C1AA3A" w14:textId="77777777" w:rsidR="00EE0F93" w:rsidRPr="004E6812" w:rsidRDefault="00EE0F93" w:rsidP="00B76427">
            <w:pPr>
              <w:rPr>
                <w:rFonts w:cs="Arial"/>
                <w:sz w:val="12"/>
                <w:szCs w:val="12"/>
                <w:shd w:val="clear" w:color="auto" w:fill="FFFFFF"/>
              </w:rPr>
            </w:pPr>
            <w:r w:rsidRPr="004E6812">
              <w:rPr>
                <w:rFonts w:cs="Arial"/>
                <w:sz w:val="12"/>
                <w:szCs w:val="12"/>
                <w:highlight w:val="red"/>
                <w:shd w:val="clear" w:color="auto" w:fill="FFFFFF"/>
              </w:rPr>
              <w:t>Psychiatric disorders (e.g., Schizophrenia, depression)</w:t>
            </w:r>
          </w:p>
          <w:p w14:paraId="58AC37DA" w14:textId="77777777" w:rsidR="00EE0F93" w:rsidRPr="004E6812" w:rsidRDefault="00EE0F93" w:rsidP="00B76427">
            <w:pPr>
              <w:rPr>
                <w:rFonts w:cs="Arial"/>
                <w:sz w:val="12"/>
                <w:szCs w:val="12"/>
                <w:shd w:val="clear" w:color="auto" w:fill="FFFFFF"/>
              </w:rPr>
            </w:pPr>
          </w:p>
          <w:p w14:paraId="61E79CA8" w14:textId="77777777" w:rsidR="00EE0F93" w:rsidRPr="004E6812" w:rsidRDefault="00EE0F93" w:rsidP="00B76427">
            <w:pPr>
              <w:rPr>
                <w:rFonts w:cs="Arial"/>
                <w:sz w:val="12"/>
                <w:szCs w:val="12"/>
                <w:shd w:val="clear" w:color="auto" w:fill="FFFFFF"/>
              </w:rPr>
            </w:pPr>
            <w:r w:rsidRPr="004E6812">
              <w:rPr>
                <w:rFonts w:cs="Arial"/>
                <w:sz w:val="12"/>
                <w:szCs w:val="12"/>
                <w:highlight w:val="red"/>
                <w:shd w:val="clear" w:color="auto" w:fill="FFFFFF"/>
              </w:rPr>
              <w:t>&lt; 80 % of participants are at least six years of age</w:t>
            </w:r>
          </w:p>
          <w:p w14:paraId="0D71B98B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</w:tc>
        <w:tc>
          <w:tcPr>
            <w:tcW w:w="1814" w:type="dxa"/>
          </w:tcPr>
          <w:p w14:paraId="5EE7BB2C" w14:textId="77777777" w:rsidR="00EE0F93" w:rsidRPr="004E6812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4E6812">
              <w:rPr>
                <w:b/>
                <w:bCs/>
                <w:sz w:val="12"/>
                <w:szCs w:val="12"/>
              </w:rPr>
              <w:t>Wrong patient population</w:t>
            </w:r>
          </w:p>
        </w:tc>
      </w:tr>
      <w:tr w:rsidR="00EE0F93" w:rsidRPr="004E6812" w14:paraId="4ECC49E9" w14:textId="77777777" w:rsidTr="00B76427">
        <w:tc>
          <w:tcPr>
            <w:tcW w:w="562" w:type="dxa"/>
          </w:tcPr>
          <w:p w14:paraId="7478D400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2</w:t>
            </w:r>
          </w:p>
        </w:tc>
        <w:tc>
          <w:tcPr>
            <w:tcW w:w="1756" w:type="dxa"/>
          </w:tcPr>
          <w:p w14:paraId="5A69EFAC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Study design</w:t>
            </w:r>
          </w:p>
        </w:tc>
        <w:tc>
          <w:tcPr>
            <w:tcW w:w="3064" w:type="dxa"/>
            <w:shd w:val="clear" w:color="auto" w:fill="92D050"/>
          </w:tcPr>
          <w:p w14:paraId="2D1C7413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 xml:space="preserve">Randomized controlled trials (RCTs), </w:t>
            </w:r>
            <w:proofErr w:type="spellStart"/>
            <w:r w:rsidRPr="004E6812">
              <w:rPr>
                <w:rFonts w:cstheme="minorHAnsi"/>
                <w:sz w:val="12"/>
                <w:szCs w:val="12"/>
              </w:rPr>
              <w:t>quazi</w:t>
            </w:r>
            <w:proofErr w:type="spellEnd"/>
            <w:r w:rsidRPr="004E6812">
              <w:rPr>
                <w:rFonts w:cstheme="minorHAnsi"/>
                <w:sz w:val="12"/>
                <w:szCs w:val="12"/>
              </w:rPr>
              <w:t>-RCTs, and cluster randomization done on individual participant level, randomized cross-over trials, and clinically controlled trials (CCTs)</w:t>
            </w:r>
          </w:p>
        </w:tc>
        <w:tc>
          <w:tcPr>
            <w:tcW w:w="3260" w:type="dxa"/>
            <w:shd w:val="clear" w:color="auto" w:fill="FF0000"/>
          </w:tcPr>
          <w:p w14:paraId="379DC788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Cluster randomization done at other than participant level (e.g., clinical practices, dates, geographic regions)</w:t>
            </w:r>
          </w:p>
          <w:p w14:paraId="3AFC82F3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04387641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Review, Cohort, case-control study, cross-sectional, Case report, Editorials</w:t>
            </w:r>
          </w:p>
        </w:tc>
        <w:tc>
          <w:tcPr>
            <w:tcW w:w="1814" w:type="dxa"/>
          </w:tcPr>
          <w:p w14:paraId="051D4427" w14:textId="77777777" w:rsidR="00EE0F93" w:rsidRPr="004E6812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4E6812">
              <w:rPr>
                <w:b/>
                <w:bCs/>
                <w:sz w:val="12"/>
                <w:szCs w:val="12"/>
              </w:rPr>
              <w:t>Wrong study design</w:t>
            </w:r>
          </w:p>
        </w:tc>
      </w:tr>
      <w:tr w:rsidR="00EE0F93" w:rsidRPr="004E6812" w14:paraId="2C493388" w14:textId="77777777" w:rsidTr="00B76427">
        <w:tc>
          <w:tcPr>
            <w:tcW w:w="562" w:type="dxa"/>
          </w:tcPr>
          <w:p w14:paraId="0E3C3CE6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3</w:t>
            </w:r>
          </w:p>
        </w:tc>
        <w:tc>
          <w:tcPr>
            <w:tcW w:w="1756" w:type="dxa"/>
          </w:tcPr>
          <w:p w14:paraId="37F90172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Intervention</w:t>
            </w:r>
          </w:p>
        </w:tc>
        <w:tc>
          <w:tcPr>
            <w:tcW w:w="3064" w:type="dxa"/>
            <w:shd w:val="clear" w:color="auto" w:fill="92D050"/>
          </w:tcPr>
          <w:p w14:paraId="66B94D9A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 xml:space="preserve">Extrinsic feedback is defined as an external signal or stimulus (visual, auditory, tactile) given in response to motor practice that provides the performer with knowledge of performance and/or knowledge of result at any time point (e.g., concurrently, terminally, delayed). Feedback can be success-related or error-related. </w:t>
            </w:r>
          </w:p>
          <w:p w14:paraId="6DE2E8F4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</w:p>
          <w:p w14:paraId="350FDAF1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>Studies are included if there is a minimum of 1 external stimulus given in response to motor practice.</w:t>
            </w:r>
          </w:p>
          <w:p w14:paraId="3C4F2498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FF0000"/>
          </w:tcPr>
          <w:p w14:paraId="433BBB47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Signal or stimulus-driven task (e.g., provision of rhythm).</w:t>
            </w:r>
          </w:p>
          <w:p w14:paraId="658C6763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 xml:space="preserve">A signal or stimulus is provided for priming before motor practice. </w:t>
            </w:r>
          </w:p>
          <w:p w14:paraId="56671D93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4CE67DB9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4171FC92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</w:tc>
        <w:tc>
          <w:tcPr>
            <w:tcW w:w="1814" w:type="dxa"/>
          </w:tcPr>
          <w:p w14:paraId="4CF34920" w14:textId="77777777" w:rsidR="00EE0F93" w:rsidRPr="004E6812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4E6812">
              <w:rPr>
                <w:b/>
                <w:bCs/>
                <w:sz w:val="12"/>
                <w:szCs w:val="12"/>
              </w:rPr>
              <w:t>No</w:t>
            </w:r>
            <w:r>
              <w:rPr>
                <w:b/>
                <w:bCs/>
                <w:sz w:val="12"/>
                <w:szCs w:val="12"/>
              </w:rPr>
              <w:t>t extrinsic</w:t>
            </w:r>
            <w:r w:rsidRPr="004E6812">
              <w:rPr>
                <w:b/>
                <w:bCs/>
                <w:sz w:val="12"/>
                <w:szCs w:val="12"/>
              </w:rPr>
              <w:t xml:space="preserve"> feedback</w:t>
            </w:r>
          </w:p>
        </w:tc>
      </w:tr>
      <w:tr w:rsidR="00EE0F93" w:rsidRPr="004E6812" w14:paraId="5576075F" w14:textId="77777777" w:rsidTr="00B76427">
        <w:tc>
          <w:tcPr>
            <w:tcW w:w="562" w:type="dxa"/>
          </w:tcPr>
          <w:p w14:paraId="0F4AB942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4</w:t>
            </w:r>
          </w:p>
        </w:tc>
        <w:tc>
          <w:tcPr>
            <w:tcW w:w="1756" w:type="dxa"/>
          </w:tcPr>
          <w:p w14:paraId="40B1CC14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Motor training</w:t>
            </w:r>
          </w:p>
        </w:tc>
        <w:tc>
          <w:tcPr>
            <w:tcW w:w="3064" w:type="dxa"/>
            <w:shd w:val="clear" w:color="auto" w:fill="92D050"/>
          </w:tcPr>
          <w:p w14:paraId="7FEEF075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>Active participant motor training targeting either the upper or lower extremities or both</w:t>
            </w:r>
          </w:p>
        </w:tc>
        <w:tc>
          <w:tcPr>
            <w:tcW w:w="3260" w:type="dxa"/>
            <w:shd w:val="clear" w:color="auto" w:fill="FF0000"/>
          </w:tcPr>
          <w:p w14:paraId="0C8BA681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Training target</w:t>
            </w:r>
            <w:r>
              <w:rPr>
                <w:sz w:val="12"/>
                <w:szCs w:val="12"/>
              </w:rPr>
              <w:t>ing</w:t>
            </w:r>
            <w:r w:rsidRPr="004E6812">
              <w:rPr>
                <w:sz w:val="12"/>
                <w:szCs w:val="12"/>
              </w:rPr>
              <w:t xml:space="preserve"> brain activity or mental practice, with no participant motor output.</w:t>
            </w:r>
          </w:p>
          <w:p w14:paraId="647F48DA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021AB08F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Breathing exercises, training of vision</w:t>
            </w:r>
            <w:r>
              <w:rPr>
                <w:sz w:val="12"/>
                <w:szCs w:val="12"/>
              </w:rPr>
              <w:t xml:space="preserve"> or speech</w:t>
            </w:r>
          </w:p>
          <w:p w14:paraId="54F41DDD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342A7ECE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5D4F754F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</w:tc>
        <w:tc>
          <w:tcPr>
            <w:tcW w:w="1814" w:type="dxa"/>
          </w:tcPr>
          <w:p w14:paraId="4C5434AF" w14:textId="77777777" w:rsidR="00EE0F93" w:rsidRPr="004E6812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4E6812">
              <w:rPr>
                <w:b/>
                <w:bCs/>
                <w:sz w:val="12"/>
                <w:szCs w:val="12"/>
              </w:rPr>
              <w:t>No motor training</w:t>
            </w:r>
          </w:p>
        </w:tc>
      </w:tr>
      <w:tr w:rsidR="00EE0F93" w:rsidRPr="004E6812" w14:paraId="11201B00" w14:textId="77777777" w:rsidTr="00B76427">
        <w:tc>
          <w:tcPr>
            <w:tcW w:w="562" w:type="dxa"/>
          </w:tcPr>
          <w:p w14:paraId="2C05B3A3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5</w:t>
            </w:r>
          </w:p>
        </w:tc>
        <w:tc>
          <w:tcPr>
            <w:tcW w:w="1756" w:type="dxa"/>
          </w:tcPr>
          <w:p w14:paraId="71C92BCF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Comparator</w:t>
            </w:r>
          </w:p>
        </w:tc>
        <w:tc>
          <w:tcPr>
            <w:tcW w:w="3064" w:type="dxa"/>
            <w:shd w:val="clear" w:color="auto" w:fill="92D050"/>
          </w:tcPr>
          <w:p w14:paraId="4DA29BDC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>Motor training without the use of feedback, motor training with a different type of feedback (e.g., success-related vs. error-related), or motor training with a different property of feedback (e.g., timing, duration, visual vs. auditive)</w:t>
            </w:r>
          </w:p>
          <w:p w14:paraId="724223E8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</w:p>
          <w:p w14:paraId="6E686514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 w:rsidRPr="004E6812">
              <w:rPr>
                <w:rFonts w:cstheme="minorHAnsi"/>
                <w:sz w:val="12"/>
                <w:szCs w:val="12"/>
              </w:rPr>
              <w:t xml:space="preserve">Controls were diagnosed with the same condition as the intervention group, and the type and intensity of prescribed motor training were the same between groups. </w:t>
            </w:r>
          </w:p>
          <w:p w14:paraId="35FA9C63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260" w:type="dxa"/>
            <w:shd w:val="clear" w:color="auto" w:fill="FF0000"/>
          </w:tcPr>
          <w:p w14:paraId="6A4E5FFF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Prescribed motor training differs from the intervention group</w:t>
            </w:r>
          </w:p>
          <w:p w14:paraId="5BC5B844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Comparator interventions that are not or are poorly described</w:t>
            </w:r>
          </w:p>
          <w:p w14:paraId="4B3AE17E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Interventions that are unrestricted by study protocol (e.g., usual care)</w:t>
            </w:r>
          </w:p>
          <w:p w14:paraId="2CE981FB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152C408B" w14:textId="77777777" w:rsidR="00EE0F93" w:rsidRPr="004E6812" w:rsidRDefault="00EE0F93" w:rsidP="00B76427">
            <w:pPr>
              <w:rPr>
                <w:sz w:val="12"/>
                <w:szCs w:val="12"/>
              </w:rPr>
            </w:pPr>
          </w:p>
          <w:p w14:paraId="5DB4DD7A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Healthy controls or controls that have a different diagnosis than the intervention group</w:t>
            </w:r>
          </w:p>
        </w:tc>
        <w:tc>
          <w:tcPr>
            <w:tcW w:w="1814" w:type="dxa"/>
          </w:tcPr>
          <w:p w14:paraId="7EA16802" w14:textId="77777777" w:rsidR="00EE0F93" w:rsidRPr="004E6812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4E6812">
              <w:rPr>
                <w:b/>
                <w:bCs/>
                <w:sz w:val="12"/>
                <w:szCs w:val="12"/>
              </w:rPr>
              <w:t>Wrong comparator</w:t>
            </w:r>
          </w:p>
        </w:tc>
      </w:tr>
      <w:tr w:rsidR="00EE0F93" w:rsidRPr="004E6812" w14:paraId="7CFD1929" w14:textId="77777777" w:rsidTr="00B76427">
        <w:tc>
          <w:tcPr>
            <w:tcW w:w="562" w:type="dxa"/>
          </w:tcPr>
          <w:p w14:paraId="17B895A9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6</w:t>
            </w:r>
          </w:p>
        </w:tc>
        <w:tc>
          <w:tcPr>
            <w:tcW w:w="1756" w:type="dxa"/>
          </w:tcPr>
          <w:p w14:paraId="1F5232E3" w14:textId="77777777" w:rsidR="00EE0F93" w:rsidRPr="004E6812" w:rsidRDefault="00EE0F93" w:rsidP="00B76427">
            <w:pPr>
              <w:rPr>
                <w:sz w:val="12"/>
                <w:szCs w:val="12"/>
              </w:rPr>
            </w:pPr>
            <w:r w:rsidRPr="004E6812">
              <w:rPr>
                <w:sz w:val="12"/>
                <w:szCs w:val="12"/>
              </w:rPr>
              <w:t>Outcome measure</w:t>
            </w:r>
          </w:p>
        </w:tc>
        <w:tc>
          <w:tcPr>
            <w:tcW w:w="3064" w:type="dxa"/>
            <w:shd w:val="clear" w:color="auto" w:fill="92D050"/>
          </w:tcPr>
          <w:p w14:paraId="2F76F4AD" w14:textId="117CBB18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O</w:t>
            </w:r>
            <w:r w:rsidRPr="004E6812">
              <w:rPr>
                <w:rFonts w:cstheme="minorHAnsi"/>
                <w:sz w:val="12"/>
                <w:szCs w:val="12"/>
              </w:rPr>
              <w:t xml:space="preserve">bjectively measured </w:t>
            </w:r>
            <w:r>
              <w:rPr>
                <w:rFonts w:cstheme="minorHAnsi"/>
                <w:sz w:val="12"/>
                <w:szCs w:val="12"/>
              </w:rPr>
              <w:t>changes in movement behavior</w:t>
            </w:r>
            <w:r w:rsidRPr="004E6812">
              <w:rPr>
                <w:rFonts w:cstheme="minorHAnsi"/>
                <w:sz w:val="12"/>
                <w:szCs w:val="12"/>
              </w:rPr>
              <w:t xml:space="preserve"> </w:t>
            </w:r>
            <w:r>
              <w:rPr>
                <w:rFonts w:cstheme="minorHAnsi"/>
                <w:sz w:val="12"/>
                <w:szCs w:val="12"/>
              </w:rPr>
              <w:t xml:space="preserve">(motor learning and performance) </w:t>
            </w:r>
            <w:r w:rsidRPr="004E6812">
              <w:rPr>
                <w:rFonts w:cstheme="minorHAnsi"/>
                <w:sz w:val="12"/>
                <w:szCs w:val="12"/>
              </w:rPr>
              <w:t>relative to baseline. These can be activity-based measures of motor skill capacity or objectively measured improvements in physiological systems, e.g., on impairment level (WHO, International Classification of Functioning, disability, and Health (ICF)).</w:t>
            </w:r>
          </w:p>
        </w:tc>
        <w:tc>
          <w:tcPr>
            <w:tcW w:w="3260" w:type="dxa"/>
            <w:shd w:val="clear" w:color="auto" w:fill="FF0000"/>
          </w:tcPr>
          <w:p w14:paraId="01954BE5" w14:textId="77777777" w:rsidR="00EE0F93" w:rsidRPr="004E6812" w:rsidRDefault="00EE0F93" w:rsidP="00B76427">
            <w:pPr>
              <w:rPr>
                <w:rFonts w:eastAsia="Times New Roman" w:cstheme="minorHAnsi"/>
                <w:color w:val="0F1111"/>
                <w:kern w:val="36"/>
                <w:sz w:val="12"/>
                <w:szCs w:val="12"/>
                <w:lang w:eastAsia="da-DK"/>
              </w:rPr>
            </w:pPr>
            <w:r w:rsidRPr="004E6812">
              <w:rPr>
                <w:rFonts w:cstheme="minorHAnsi"/>
                <w:sz w:val="12"/>
                <w:szCs w:val="12"/>
              </w:rPr>
              <w:t>Outcomes are measured solely based on brain activity analysis techniques (e.g., EEG, fMRI), mental status (e.g.,</w:t>
            </w:r>
            <w:r w:rsidRPr="004E6812">
              <w:rPr>
                <w:rFonts w:eastAsia="Times New Roman" w:cstheme="minorHAnsi"/>
                <w:color w:val="0F1111"/>
                <w:kern w:val="36"/>
                <w:sz w:val="12"/>
                <w:szCs w:val="12"/>
                <w:lang w:eastAsia="da-DK"/>
              </w:rPr>
              <w:t xml:space="preserve"> depression, motivation), or patient satisfaction.</w:t>
            </w:r>
          </w:p>
          <w:p w14:paraId="578D48C3" w14:textId="77777777" w:rsidR="00EE0F93" w:rsidRPr="004E6812" w:rsidRDefault="00EE0F93" w:rsidP="00B76427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14" w:type="dxa"/>
          </w:tcPr>
          <w:p w14:paraId="622D4000" w14:textId="77777777" w:rsidR="00EE0F93" w:rsidRPr="004E6812" w:rsidRDefault="00EE0F93" w:rsidP="00B76427">
            <w:pPr>
              <w:rPr>
                <w:b/>
                <w:bCs/>
                <w:sz w:val="12"/>
                <w:szCs w:val="12"/>
              </w:rPr>
            </w:pPr>
            <w:r w:rsidRPr="004E6812">
              <w:rPr>
                <w:b/>
                <w:bCs/>
                <w:sz w:val="12"/>
                <w:szCs w:val="12"/>
              </w:rPr>
              <w:t>Wrong outcome</w:t>
            </w:r>
          </w:p>
        </w:tc>
      </w:tr>
    </w:tbl>
    <w:p w14:paraId="0A7AD952" w14:textId="77777777" w:rsidR="00907DD5" w:rsidRDefault="00907DD5"/>
    <w:sectPr w:rsidR="00907DD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F93"/>
    <w:rsid w:val="000A28E6"/>
    <w:rsid w:val="00191792"/>
    <w:rsid w:val="00800F9F"/>
    <w:rsid w:val="00907DD5"/>
    <w:rsid w:val="00AC568B"/>
    <w:rsid w:val="00DB339C"/>
    <w:rsid w:val="00DD3CCB"/>
    <w:rsid w:val="00EE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3CB72"/>
  <w15:chartTrackingRefBased/>
  <w15:docId w15:val="{C8941616-F297-433B-8940-8A5EE40A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F93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0F9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0F9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0F9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0F9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0F9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0F9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0F9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0F9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0F9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0F93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0F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0F93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0F93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0F93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0F93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0F93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0F93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0F93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E0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E0F9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0F93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E0F93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E0F9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E0F9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E0F93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E0F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0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0F93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E0F9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E0F93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EE0F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4642</Characters>
  <Application>Microsoft Office Word</Application>
  <DocSecurity>0</DocSecurity>
  <Lines>38</Lines>
  <Paragraphs>10</Paragraphs>
  <ScaleCrop>false</ScaleCrop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Vittal Babu</cp:lastModifiedBy>
  <cp:revision>2</cp:revision>
  <dcterms:created xsi:type="dcterms:W3CDTF">2025-05-02T07:12:00Z</dcterms:created>
  <dcterms:modified xsi:type="dcterms:W3CDTF">2025-05-02T07:12:00Z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398d93b7-b514-48fe-9d61-b4c20876c046</vt:lpwstr>
  </property>
</Properties>
</file>