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AFF84" w14:textId="151B7967" w:rsidR="007B481D" w:rsidRPr="0021401F" w:rsidRDefault="00FC2F16" w:rsidP="00FC2F16">
      <w:pPr>
        <w:jc w:val="both"/>
        <w:rPr>
          <w:rFonts w:ascii="Arial" w:hAnsi="Arial" w:cs="Arial"/>
          <w:b/>
          <w:bCs/>
          <w:sz w:val="24"/>
          <w:szCs w:val="24"/>
        </w:rPr>
      </w:pPr>
      <w:r w:rsidRPr="0021401F">
        <w:rPr>
          <w:rFonts w:ascii="Arial" w:hAnsi="Arial" w:cs="Arial"/>
          <w:b/>
          <w:bCs/>
          <w:sz w:val="24"/>
          <w:szCs w:val="24"/>
          <w:u w:val="single"/>
        </w:rPr>
        <w:t>Publication</w:t>
      </w:r>
      <w:r w:rsidRPr="0021401F">
        <w:rPr>
          <w:rFonts w:ascii="Arial" w:hAnsi="Arial" w:cs="Arial"/>
          <w:b/>
          <w:bCs/>
          <w:sz w:val="24"/>
          <w:szCs w:val="24"/>
        </w:rPr>
        <w:t xml:space="preserve">: </w:t>
      </w:r>
    </w:p>
    <w:p w14:paraId="4787CDC1" w14:textId="4B25598B" w:rsidR="00FC2F16" w:rsidRPr="0021401F" w:rsidRDefault="007960FA" w:rsidP="00FC2F16">
      <w:pPr>
        <w:jc w:val="both"/>
        <w:rPr>
          <w:rFonts w:ascii="Arial" w:hAnsi="Arial" w:cs="Arial"/>
          <w:sz w:val="24"/>
          <w:szCs w:val="24"/>
        </w:rPr>
      </w:pPr>
      <w:hyperlink r:id="rId5" w:history="1">
        <w:r w:rsidR="00FC2F16" w:rsidRPr="0021401F">
          <w:rPr>
            <w:rStyle w:val="Hyperlink"/>
            <w:rFonts w:ascii="Arial" w:hAnsi="Arial" w:cs="Arial"/>
            <w:sz w:val="24"/>
            <w:szCs w:val="24"/>
          </w:rPr>
          <w:t>D-Serine disrupts Cbln1 and GluD1 interaction and affects Cbln1-dependent synaptic effects and nocifensive responses in the central amygdala</w:t>
        </w:r>
      </w:hyperlink>
    </w:p>
    <w:p w14:paraId="4156287E" w14:textId="1A1045ED" w:rsidR="001158F2" w:rsidRPr="00CC4E7F" w:rsidRDefault="001158F2" w:rsidP="001158F2">
      <w:pPr>
        <w:jc w:val="both"/>
        <w:rPr>
          <w:rFonts w:ascii="Arial" w:hAnsi="Arial" w:cs="Arial"/>
          <w:b/>
          <w:bCs/>
          <w:sz w:val="24"/>
          <w:szCs w:val="24"/>
          <w:u w:val="single"/>
        </w:rPr>
      </w:pPr>
      <w:r w:rsidRPr="00CC4E7F">
        <w:rPr>
          <w:rFonts w:ascii="Arial" w:hAnsi="Arial" w:cs="Arial"/>
          <w:b/>
          <w:bCs/>
          <w:sz w:val="24"/>
          <w:szCs w:val="24"/>
          <w:u w:val="single"/>
        </w:rPr>
        <w:t>Western Blot Imaging and Densitometric Quantification</w:t>
      </w:r>
      <w:r w:rsidR="00CC4E7F">
        <w:rPr>
          <w:rFonts w:ascii="Arial" w:hAnsi="Arial" w:cs="Arial"/>
          <w:b/>
          <w:bCs/>
          <w:sz w:val="24"/>
          <w:szCs w:val="24"/>
          <w:u w:val="single"/>
        </w:rPr>
        <w:t>:</w:t>
      </w:r>
    </w:p>
    <w:p w14:paraId="215C4078" w14:textId="77777777" w:rsidR="001158F2" w:rsidRPr="0021401F" w:rsidRDefault="001158F2" w:rsidP="001158F2">
      <w:pPr>
        <w:jc w:val="both"/>
        <w:rPr>
          <w:rFonts w:ascii="Arial" w:hAnsi="Arial" w:cs="Arial"/>
          <w:sz w:val="24"/>
          <w:szCs w:val="24"/>
        </w:rPr>
      </w:pPr>
      <w:r w:rsidRPr="0021401F">
        <w:rPr>
          <w:rFonts w:ascii="Arial" w:hAnsi="Arial" w:cs="Arial"/>
          <w:sz w:val="24"/>
          <w:szCs w:val="24"/>
        </w:rPr>
        <w:t>As described in the Methods section, Western blots were treated with SuperSignal™ West Pico PLUS substrate (Thermo Fisher) and developed using the ChemiDoc imaging system (Bio-Rad). Optical density was analyzed using ImageJ and normalized to GAPDH or β-actin as loading controls.</w:t>
      </w:r>
    </w:p>
    <w:p w14:paraId="10C62CBD" w14:textId="77777777" w:rsidR="001158F2" w:rsidRPr="0021401F" w:rsidRDefault="001158F2" w:rsidP="001158F2">
      <w:pPr>
        <w:jc w:val="both"/>
        <w:rPr>
          <w:rFonts w:ascii="Arial" w:hAnsi="Arial" w:cs="Arial"/>
          <w:sz w:val="24"/>
          <w:szCs w:val="24"/>
        </w:rPr>
      </w:pPr>
      <w:r w:rsidRPr="0021401F">
        <w:rPr>
          <w:rFonts w:ascii="Arial" w:hAnsi="Arial" w:cs="Arial"/>
          <w:sz w:val="24"/>
          <w:szCs w:val="24"/>
        </w:rPr>
        <w:t>For densitometric analysis, the blot images were opened in ImageJ, and a rectangular selection was drawn around the largest band in the blot to determine a consistent area for measurement. This rectangle was then applied to each band within the blot, and the intensity was measured using the “Measure” tool in ImageJ. This process yielded the “Area” (which remains constant across all bands) and the “Band Intensity” (signal intensity for individual bands/samples).</w:t>
      </w:r>
    </w:p>
    <w:p w14:paraId="5F9B373F" w14:textId="77777777" w:rsidR="001158F2" w:rsidRPr="0021401F" w:rsidRDefault="001158F2" w:rsidP="001158F2">
      <w:pPr>
        <w:jc w:val="both"/>
        <w:rPr>
          <w:rFonts w:ascii="Arial" w:hAnsi="Arial" w:cs="Arial"/>
          <w:sz w:val="24"/>
          <w:szCs w:val="24"/>
        </w:rPr>
      </w:pPr>
      <w:r w:rsidRPr="0021401F">
        <w:rPr>
          <w:rFonts w:ascii="Arial" w:hAnsi="Arial" w:cs="Arial"/>
          <w:sz w:val="24"/>
          <w:szCs w:val="24"/>
        </w:rPr>
        <w:t>To account for background noise, the same rectangular selection was used to measure background intensity by placing it in an empty region above or below the bands. The measured intensity values were exported as a CSV file. The same process was applied to GAPDH or β-actin blots for internal control normalization. The net intensity for each band was calculated by subtracting the background intensity from the band intensity for both the protein of interest and the internal control.</w:t>
      </w:r>
    </w:p>
    <w:p w14:paraId="733AFC4A" w14:textId="77777777" w:rsidR="001158F2" w:rsidRPr="0021401F" w:rsidRDefault="001158F2" w:rsidP="001158F2">
      <w:pPr>
        <w:jc w:val="both"/>
        <w:rPr>
          <w:rFonts w:ascii="Arial" w:hAnsi="Arial" w:cs="Arial"/>
          <w:sz w:val="24"/>
          <w:szCs w:val="24"/>
        </w:rPr>
      </w:pPr>
      <w:r w:rsidRPr="0021401F">
        <w:rPr>
          <w:rFonts w:ascii="Arial" w:hAnsi="Arial" w:cs="Arial"/>
          <w:sz w:val="24"/>
          <w:szCs w:val="24"/>
        </w:rPr>
        <w:t>For normalization, the net intensity of each protein band was divided by the corresponding net intensity of the internal control band. To standardize the data across blots, all values were normalized to the average of the control group, which was set to 1. The normalization formula used was:</w:t>
      </w:r>
    </w:p>
    <w:p w14:paraId="38EDA4E2" w14:textId="33BAC565" w:rsidR="001158F2" w:rsidRPr="0021401F" w:rsidRDefault="001158F2" w:rsidP="001158F2">
      <w:pPr>
        <w:spacing w:after="0"/>
        <w:ind w:left="2160" w:firstLine="720"/>
        <w:jc w:val="both"/>
        <w:rPr>
          <w:rFonts w:ascii="Arial" w:hAnsi="Arial" w:cs="Arial"/>
          <w:sz w:val="24"/>
          <w:szCs w:val="24"/>
        </w:rPr>
      </w:pPr>
      <w:r w:rsidRPr="0021401F">
        <w:rPr>
          <w:rFonts w:ascii="Arial" w:hAnsi="Arial" w:cs="Arial"/>
          <w:sz w:val="24"/>
          <w:szCs w:val="24"/>
        </w:rPr>
        <w:t>Sample value</w:t>
      </w:r>
      <w:r w:rsidRPr="0021401F">
        <w:rPr>
          <w:rFonts w:ascii="Arial" w:hAnsi="Arial" w:cs="Arial"/>
          <w:sz w:val="24"/>
          <w:szCs w:val="24"/>
        </w:rPr>
        <w:t xml:space="preserve"> </w:t>
      </w:r>
      <w:r w:rsidRPr="0021401F">
        <w:rPr>
          <w:rFonts w:ascii="Arial" w:hAnsi="Arial" w:cs="Arial"/>
          <w:sz w:val="24"/>
          <w:szCs w:val="24"/>
        </w:rPr>
        <w:t>×</w:t>
      </w:r>
      <w:r w:rsidRPr="0021401F">
        <w:rPr>
          <w:rFonts w:ascii="Arial" w:hAnsi="Arial" w:cs="Arial"/>
          <w:sz w:val="24"/>
          <w:szCs w:val="24"/>
        </w:rPr>
        <w:t xml:space="preserve"> 1</w:t>
      </w:r>
    </w:p>
    <w:p w14:paraId="6BD7A464" w14:textId="3607C767" w:rsidR="001158F2" w:rsidRPr="0021401F" w:rsidRDefault="001158F2" w:rsidP="001158F2">
      <w:pPr>
        <w:spacing w:after="0"/>
        <w:jc w:val="both"/>
        <w:rPr>
          <w:rFonts w:ascii="Arial" w:hAnsi="Arial" w:cs="Arial"/>
          <w:sz w:val="24"/>
          <w:szCs w:val="24"/>
        </w:rPr>
      </w:pPr>
      <w:r w:rsidRPr="0021401F">
        <w:rPr>
          <w:rFonts w:ascii="Arial" w:hAnsi="Arial" w:cs="Arial"/>
          <w:noProof/>
          <w:sz w:val="24"/>
          <w:szCs w:val="24"/>
        </w:rPr>
        <mc:AlternateContent>
          <mc:Choice Requires="wps">
            <w:drawing>
              <wp:anchor distT="0" distB="0" distL="114300" distR="114300" simplePos="0" relativeHeight="251659264" behindDoc="0" locked="0" layoutInCell="1" allowOverlap="1" wp14:anchorId="5C414EF0" wp14:editId="49F49558">
                <wp:simplePos x="0" y="0"/>
                <wp:positionH relativeFrom="column">
                  <wp:posOffset>1394460</wp:posOffset>
                </wp:positionH>
                <wp:positionV relativeFrom="paragraph">
                  <wp:posOffset>86360</wp:posOffset>
                </wp:positionV>
                <wp:extent cx="1920240" cy="0"/>
                <wp:effectExtent l="0" t="0" r="0" b="0"/>
                <wp:wrapNone/>
                <wp:docPr id="716128606" name="Straight Connector 1"/>
                <wp:cNvGraphicFramePr/>
                <a:graphic xmlns:a="http://schemas.openxmlformats.org/drawingml/2006/main">
                  <a:graphicData uri="http://schemas.microsoft.com/office/word/2010/wordprocessingShape">
                    <wps:wsp>
                      <wps:cNvCnPr/>
                      <wps:spPr>
                        <a:xfrm>
                          <a:off x="0" y="0"/>
                          <a:ext cx="19202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2F2844"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8pt,6.8pt" to="26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" strokecolor="black [3213]" strokeweight="1pt">
                <v:stroke joinstyle="miter"/>
              </v:line>
            </w:pict>
          </mc:Fallback>
        </mc:AlternateContent>
      </w:r>
      <w:r w:rsidRPr="0021401F">
        <w:rPr>
          <w:rFonts w:ascii="Arial" w:hAnsi="Arial" w:cs="Arial"/>
          <w:sz w:val="24"/>
          <w:szCs w:val="24"/>
        </w:rPr>
        <w:t>Normalized value</w:t>
      </w:r>
      <w:r w:rsidRPr="0021401F">
        <w:rPr>
          <w:rFonts w:ascii="Arial" w:hAnsi="Arial" w:cs="Arial"/>
          <w:sz w:val="24"/>
          <w:szCs w:val="24"/>
        </w:rPr>
        <w:t xml:space="preserve"> </w:t>
      </w:r>
      <w:r w:rsidRPr="0021401F">
        <w:rPr>
          <w:rFonts w:ascii="Arial" w:hAnsi="Arial" w:cs="Arial"/>
          <w:sz w:val="24"/>
          <w:szCs w:val="24"/>
        </w:rPr>
        <w:t>=</w:t>
      </w:r>
      <w:r w:rsidRPr="0021401F">
        <w:rPr>
          <w:rFonts w:ascii="Arial" w:hAnsi="Arial" w:cs="Arial"/>
          <w:sz w:val="24"/>
          <w:szCs w:val="24"/>
        </w:rPr>
        <w:t xml:space="preserve">                                                                     </w:t>
      </w:r>
    </w:p>
    <w:p w14:paraId="529685E6" w14:textId="07ED1D3C" w:rsidR="001158F2" w:rsidRPr="0021401F" w:rsidRDefault="001158F2" w:rsidP="001158F2">
      <w:pPr>
        <w:ind w:left="1440" w:firstLine="720"/>
        <w:jc w:val="both"/>
        <w:rPr>
          <w:rFonts w:ascii="Arial" w:hAnsi="Arial" w:cs="Arial"/>
          <w:sz w:val="24"/>
          <w:szCs w:val="24"/>
        </w:rPr>
      </w:pPr>
      <w:r w:rsidRPr="0021401F">
        <w:rPr>
          <w:rFonts w:ascii="Arial" w:hAnsi="Arial" w:cs="Arial"/>
          <w:sz w:val="24"/>
          <w:szCs w:val="24"/>
        </w:rPr>
        <w:t>Average control group value</w:t>
      </w:r>
    </w:p>
    <w:p w14:paraId="5D12FA4B" w14:textId="0E324806" w:rsidR="001158F2" w:rsidRPr="0021401F" w:rsidRDefault="001158F2" w:rsidP="001158F2">
      <w:pPr>
        <w:jc w:val="both"/>
        <w:rPr>
          <w:rFonts w:ascii="Arial" w:hAnsi="Arial" w:cs="Arial"/>
          <w:sz w:val="24"/>
          <w:szCs w:val="24"/>
        </w:rPr>
      </w:pPr>
      <w:r w:rsidRPr="0021401F">
        <w:rPr>
          <w:rFonts w:ascii="Arial" w:hAnsi="Arial" w:cs="Arial"/>
          <w:sz w:val="24"/>
          <w:szCs w:val="24"/>
        </w:rPr>
        <w:t>For example, if a sample had a raw intensity of 2.55 and the control group average was 2.4114, the calculation would be:</w:t>
      </w:r>
    </w:p>
    <w:p w14:paraId="3A9D219F" w14:textId="74BE21EE" w:rsidR="001158F2" w:rsidRPr="0021401F" w:rsidRDefault="001158F2" w:rsidP="0021401F">
      <w:pPr>
        <w:spacing w:after="0"/>
        <w:ind w:left="2160" w:firstLine="720"/>
        <w:jc w:val="both"/>
        <w:rPr>
          <w:rFonts w:ascii="Arial" w:hAnsi="Arial" w:cs="Arial"/>
          <w:sz w:val="24"/>
          <w:szCs w:val="24"/>
        </w:rPr>
      </w:pPr>
      <w:r w:rsidRPr="0021401F">
        <w:rPr>
          <w:rFonts w:ascii="Arial" w:hAnsi="Arial" w:cs="Arial"/>
          <w:sz w:val="24"/>
          <w:szCs w:val="24"/>
        </w:rPr>
        <w:t>2.55</w:t>
      </w:r>
      <w:r w:rsidR="0021401F" w:rsidRPr="0021401F">
        <w:rPr>
          <w:rFonts w:ascii="Arial" w:hAnsi="Arial" w:cs="Arial"/>
          <w:sz w:val="24"/>
          <w:szCs w:val="24"/>
        </w:rPr>
        <w:t xml:space="preserve"> </w:t>
      </w:r>
      <w:r w:rsidRPr="0021401F">
        <w:rPr>
          <w:rFonts w:ascii="Arial" w:hAnsi="Arial" w:cs="Arial"/>
          <w:sz w:val="24"/>
          <w:szCs w:val="24"/>
        </w:rPr>
        <w:t>×</w:t>
      </w:r>
      <w:r w:rsidR="0021401F" w:rsidRPr="0021401F">
        <w:rPr>
          <w:rFonts w:ascii="Arial" w:hAnsi="Arial" w:cs="Arial"/>
          <w:sz w:val="24"/>
          <w:szCs w:val="24"/>
        </w:rPr>
        <w:t xml:space="preserve"> </w:t>
      </w:r>
      <w:r w:rsidRPr="0021401F">
        <w:rPr>
          <w:rFonts w:ascii="Arial" w:hAnsi="Arial" w:cs="Arial"/>
          <w:sz w:val="24"/>
          <w:szCs w:val="24"/>
        </w:rPr>
        <w:t>1</w:t>
      </w:r>
    </w:p>
    <w:p w14:paraId="6623CB5B" w14:textId="3D28AFAE" w:rsidR="0021401F" w:rsidRPr="0021401F" w:rsidRDefault="0021401F" w:rsidP="0021401F">
      <w:pPr>
        <w:spacing w:after="0"/>
        <w:ind w:left="2160" w:firstLine="720"/>
        <w:jc w:val="both"/>
        <w:rPr>
          <w:rFonts w:ascii="Arial" w:hAnsi="Arial" w:cs="Arial"/>
          <w:sz w:val="24"/>
          <w:szCs w:val="24"/>
        </w:rPr>
      </w:pPr>
      <w:r w:rsidRPr="0021401F">
        <w:rPr>
          <w:rFonts w:ascii="Arial" w:hAnsi="Arial" w:cs="Arial"/>
          <w:noProof/>
          <w:sz w:val="24"/>
          <w:szCs w:val="24"/>
        </w:rPr>
        <mc:AlternateContent>
          <mc:Choice Requires="wps">
            <w:drawing>
              <wp:anchor distT="0" distB="0" distL="114300" distR="114300" simplePos="0" relativeHeight="251661312" behindDoc="0" locked="0" layoutInCell="1" allowOverlap="1" wp14:anchorId="6F864756" wp14:editId="38D7B1D6">
                <wp:simplePos x="0" y="0"/>
                <wp:positionH relativeFrom="column">
                  <wp:posOffset>1760220</wp:posOffset>
                </wp:positionH>
                <wp:positionV relativeFrom="paragraph">
                  <wp:posOffset>87842</wp:posOffset>
                </wp:positionV>
                <wp:extent cx="640080" cy="0"/>
                <wp:effectExtent l="0" t="0" r="0" b="0"/>
                <wp:wrapNone/>
                <wp:docPr id="143052837" name="Straight Connector 1"/>
                <wp:cNvGraphicFramePr/>
                <a:graphic xmlns:a="http://schemas.openxmlformats.org/drawingml/2006/main">
                  <a:graphicData uri="http://schemas.microsoft.com/office/word/2010/wordprocessingShape">
                    <wps:wsp>
                      <wps:cNvCnPr/>
                      <wps:spPr>
                        <a:xfrm>
                          <a:off x="0" y="0"/>
                          <a:ext cx="6400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ED4383" id="Straight Connector 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6pt,6.9pt" to="18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" strokecolor="black [3213]" strokeweight="1pt">
                <v:stroke joinstyle="miter"/>
              </v:line>
            </w:pict>
          </mc:Fallback>
        </mc:AlternateContent>
      </w:r>
      <w:r w:rsidRPr="0021401F">
        <w:rPr>
          <w:rFonts w:ascii="Arial" w:hAnsi="Arial" w:cs="Arial"/>
          <w:sz w:val="24"/>
          <w:szCs w:val="24"/>
        </w:rPr>
        <w:tab/>
      </w:r>
      <w:r w:rsidRPr="0021401F">
        <w:rPr>
          <w:rFonts w:ascii="Arial" w:hAnsi="Arial" w:cs="Arial"/>
          <w:sz w:val="24"/>
          <w:szCs w:val="24"/>
        </w:rPr>
        <w:tab/>
        <w:t>= 1.06</w:t>
      </w:r>
    </w:p>
    <w:p w14:paraId="0D93369F" w14:textId="1583A340" w:rsidR="001158F2" w:rsidRPr="0021401F" w:rsidRDefault="001158F2" w:rsidP="0021401F">
      <w:pPr>
        <w:ind w:left="2160" w:firstLine="720"/>
        <w:jc w:val="both"/>
        <w:rPr>
          <w:rFonts w:ascii="Arial" w:hAnsi="Arial" w:cs="Arial"/>
          <w:sz w:val="24"/>
          <w:szCs w:val="24"/>
        </w:rPr>
      </w:pPr>
      <w:r w:rsidRPr="0021401F">
        <w:rPr>
          <w:rFonts w:ascii="Arial" w:hAnsi="Arial" w:cs="Arial"/>
          <w:sz w:val="24"/>
          <w:szCs w:val="24"/>
        </w:rPr>
        <w:t>2.4114</w:t>
      </w:r>
      <w:r w:rsidR="0021401F" w:rsidRPr="0021401F">
        <w:rPr>
          <w:rFonts w:ascii="Arial" w:hAnsi="Arial" w:cs="Arial"/>
          <w:sz w:val="24"/>
          <w:szCs w:val="24"/>
        </w:rPr>
        <w:t xml:space="preserve"> </w:t>
      </w:r>
    </w:p>
    <w:p w14:paraId="36E133A1" w14:textId="7E58DEB9" w:rsidR="000C2A62" w:rsidRPr="0021401F" w:rsidRDefault="001158F2" w:rsidP="001158F2">
      <w:pPr>
        <w:jc w:val="both"/>
        <w:rPr>
          <w:rFonts w:ascii="Arial" w:hAnsi="Arial" w:cs="Arial"/>
          <w:sz w:val="24"/>
          <w:szCs w:val="24"/>
        </w:rPr>
      </w:pPr>
      <w:r w:rsidRPr="0021401F">
        <w:rPr>
          <w:rFonts w:ascii="Arial" w:hAnsi="Arial" w:cs="Arial"/>
          <w:sz w:val="24"/>
          <w:szCs w:val="24"/>
        </w:rPr>
        <w:t>All blots were normalized in this manner, and the data are presented as Mean ± S.E.M.</w:t>
      </w:r>
    </w:p>
    <w:sectPr w:rsidR="000C2A62" w:rsidRPr="00214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A63"/>
    <w:rsid w:val="00026FE5"/>
    <w:rsid w:val="00064838"/>
    <w:rsid w:val="00080A63"/>
    <w:rsid w:val="000927A2"/>
    <w:rsid w:val="000C2A62"/>
    <w:rsid w:val="00101A9A"/>
    <w:rsid w:val="00107EFD"/>
    <w:rsid w:val="001158F2"/>
    <w:rsid w:val="001734E3"/>
    <w:rsid w:val="001B68EA"/>
    <w:rsid w:val="0021401F"/>
    <w:rsid w:val="00335FC8"/>
    <w:rsid w:val="003E77B4"/>
    <w:rsid w:val="00594185"/>
    <w:rsid w:val="005C490A"/>
    <w:rsid w:val="007960FA"/>
    <w:rsid w:val="007B481D"/>
    <w:rsid w:val="00804CDF"/>
    <w:rsid w:val="008F0203"/>
    <w:rsid w:val="00901273"/>
    <w:rsid w:val="00970F7F"/>
    <w:rsid w:val="00A81AD7"/>
    <w:rsid w:val="00B3295C"/>
    <w:rsid w:val="00B820CE"/>
    <w:rsid w:val="00C05999"/>
    <w:rsid w:val="00CC4E7F"/>
    <w:rsid w:val="00D77C8C"/>
    <w:rsid w:val="00FB4AF8"/>
    <w:rsid w:val="00FC2F16"/>
    <w:rsid w:val="00FE2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42A17"/>
  <w15:chartTrackingRefBased/>
  <w15:docId w15:val="{41B3B4B4-EE20-40DB-9164-410FADE0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0A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0A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0A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0A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0A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0A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0A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0A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0A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A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0A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0A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0A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0A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0A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0A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0A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0A63"/>
    <w:rPr>
      <w:rFonts w:eastAsiaTheme="majorEastAsia" w:cstheme="majorBidi"/>
      <w:color w:val="272727" w:themeColor="text1" w:themeTint="D8"/>
    </w:rPr>
  </w:style>
  <w:style w:type="paragraph" w:styleId="Title">
    <w:name w:val="Title"/>
    <w:basedOn w:val="Normal"/>
    <w:next w:val="Normal"/>
    <w:link w:val="TitleChar"/>
    <w:uiPriority w:val="10"/>
    <w:qFormat/>
    <w:rsid w:val="00080A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0A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0A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0A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0A63"/>
    <w:pPr>
      <w:spacing w:before="160"/>
      <w:jc w:val="center"/>
    </w:pPr>
    <w:rPr>
      <w:i/>
      <w:iCs/>
      <w:color w:val="404040" w:themeColor="text1" w:themeTint="BF"/>
    </w:rPr>
  </w:style>
  <w:style w:type="character" w:customStyle="1" w:styleId="QuoteChar">
    <w:name w:val="Quote Char"/>
    <w:basedOn w:val="DefaultParagraphFont"/>
    <w:link w:val="Quote"/>
    <w:uiPriority w:val="29"/>
    <w:rsid w:val="00080A63"/>
    <w:rPr>
      <w:i/>
      <w:iCs/>
      <w:color w:val="404040" w:themeColor="text1" w:themeTint="BF"/>
    </w:rPr>
  </w:style>
  <w:style w:type="paragraph" w:styleId="ListParagraph">
    <w:name w:val="List Paragraph"/>
    <w:basedOn w:val="Normal"/>
    <w:uiPriority w:val="34"/>
    <w:qFormat/>
    <w:rsid w:val="00080A63"/>
    <w:pPr>
      <w:ind w:left="720"/>
      <w:contextualSpacing/>
    </w:pPr>
  </w:style>
  <w:style w:type="character" w:styleId="IntenseEmphasis">
    <w:name w:val="Intense Emphasis"/>
    <w:basedOn w:val="DefaultParagraphFont"/>
    <w:uiPriority w:val="21"/>
    <w:qFormat/>
    <w:rsid w:val="00080A63"/>
    <w:rPr>
      <w:i/>
      <w:iCs/>
      <w:color w:val="0F4761" w:themeColor="accent1" w:themeShade="BF"/>
    </w:rPr>
  </w:style>
  <w:style w:type="paragraph" w:styleId="IntenseQuote">
    <w:name w:val="Intense Quote"/>
    <w:basedOn w:val="Normal"/>
    <w:next w:val="Normal"/>
    <w:link w:val="IntenseQuoteChar"/>
    <w:uiPriority w:val="30"/>
    <w:qFormat/>
    <w:rsid w:val="00080A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0A63"/>
    <w:rPr>
      <w:i/>
      <w:iCs/>
      <w:color w:val="0F4761" w:themeColor="accent1" w:themeShade="BF"/>
    </w:rPr>
  </w:style>
  <w:style w:type="character" w:styleId="IntenseReference">
    <w:name w:val="Intense Reference"/>
    <w:basedOn w:val="DefaultParagraphFont"/>
    <w:uiPriority w:val="32"/>
    <w:qFormat/>
    <w:rsid w:val="00080A63"/>
    <w:rPr>
      <w:b/>
      <w:bCs/>
      <w:smallCaps/>
      <w:color w:val="0F4761" w:themeColor="accent1" w:themeShade="BF"/>
      <w:spacing w:val="5"/>
    </w:rPr>
  </w:style>
  <w:style w:type="character" w:styleId="Hyperlink">
    <w:name w:val="Hyperlink"/>
    <w:basedOn w:val="DefaultParagraphFont"/>
    <w:uiPriority w:val="99"/>
    <w:unhideWhenUsed/>
    <w:rsid w:val="007960FA"/>
    <w:rPr>
      <w:color w:val="467886" w:themeColor="hyperlink"/>
      <w:u w:val="single"/>
    </w:rPr>
  </w:style>
  <w:style w:type="character" w:styleId="UnresolvedMention">
    <w:name w:val="Unresolved Mention"/>
    <w:basedOn w:val="DefaultParagraphFont"/>
    <w:uiPriority w:val="99"/>
    <w:semiHidden/>
    <w:unhideWhenUsed/>
    <w:rsid w:val="00796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link.springer.com/article/10.1007/s00018-024-05554-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75D07-9E77-47DF-9123-44AE364F9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Narasimhan, Kishore</dc:creator>
  <cp:keywords/>
  <dc:description/>
  <cp:lastModifiedBy>Narasimhan, Kishore</cp:lastModifiedBy>
  <cp:revision>25</cp:revision>
  <dcterms:created xsi:type="dcterms:W3CDTF">2025-02-26T21:11:00Z</dcterms:created>
  <dcterms:modified xsi:type="dcterms:W3CDTF">2025-02-26T21:35:00Z</dcterms:modified>
</cp:coreProperties>
</file>