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5D5D16" w14:textId="643092E9" w:rsidR="00DF4879" w:rsidRPr="00DF4879" w:rsidRDefault="00326397" w:rsidP="00DF4879">
      <w:pPr>
        <w:pStyle w:val="NormalWeb"/>
        <w:spacing w:before="0" w:beforeAutospacing="0" w:after="0" w:afterAutospacing="0" w:line="480" w:lineRule="auto"/>
        <w:rPr>
          <w:rFonts w:ascii="Arial" w:hAnsi="Arial" w:cs="Arial"/>
          <w:b/>
          <w:bCs/>
          <w:sz w:val="20"/>
          <w:szCs w:val="20"/>
        </w:rPr>
      </w:pPr>
      <w:r w:rsidRPr="00326397">
        <w:rPr>
          <w:rFonts w:ascii="Arial" w:hAnsi="Arial" w:cs="Arial"/>
          <w:b/>
          <w:bCs/>
          <w:sz w:val="20"/>
          <w:szCs w:val="20"/>
        </w:rPr>
        <w:t>Resume</w:t>
      </w:r>
      <w:r w:rsidR="00DF4879">
        <w:rPr>
          <w:rFonts w:ascii="Arial" w:hAnsi="Arial" w:cs="Arial"/>
          <w:b/>
          <w:bCs/>
          <w:sz w:val="20"/>
          <w:szCs w:val="20"/>
        </w:rPr>
        <w:t>n</w:t>
      </w:r>
    </w:p>
    <w:p w14:paraId="345563F2" w14:textId="1B14285E" w:rsidR="003803E6" w:rsidRPr="004D7281" w:rsidRDefault="003803E6" w:rsidP="003803E6">
      <w:pPr>
        <w:pStyle w:val="NormalWeb"/>
        <w:spacing w:before="0" w:beforeAutospacing="0" w:after="0" w:afterAutospacing="0" w:line="480" w:lineRule="auto"/>
        <w:jc w:val="both"/>
        <w:rPr>
          <w:rFonts w:ascii="Arial" w:hAnsi="Arial" w:cs="Arial"/>
          <w:sz w:val="20"/>
          <w:szCs w:val="20"/>
        </w:rPr>
      </w:pPr>
      <w:r w:rsidRPr="004D7281">
        <w:rPr>
          <w:rFonts w:ascii="Arial" w:hAnsi="Arial" w:cs="Arial"/>
          <w:color w:val="000000"/>
          <w:sz w:val="20"/>
          <w:szCs w:val="20"/>
        </w:rPr>
        <w:t>El presente proyecto de investigación tiene como objetivo demostrar la validez, a través de la evaluación de expertos, de la escala denominada "</w:t>
      </w:r>
      <w:r w:rsidRPr="004D7281">
        <w:rPr>
          <w:rFonts w:ascii="Arial" w:hAnsi="Arial" w:cs="Arial"/>
          <w:i/>
          <w:iCs/>
          <w:color w:val="000000"/>
          <w:sz w:val="20"/>
          <w:szCs w:val="20"/>
        </w:rPr>
        <w:t>Proposed geriatric competences for the Surgical Specialities</w:t>
      </w:r>
      <w:r w:rsidRPr="004D7281">
        <w:rPr>
          <w:rFonts w:ascii="Arial" w:hAnsi="Arial" w:cs="Arial"/>
          <w:color w:val="000000"/>
          <w:sz w:val="20"/>
          <w:szCs w:val="20"/>
        </w:rPr>
        <w:t>". Esta escala, originalmente redactada en inglés, se estructura en tres secciones: "preoperatoria, intraoperatoria y postoperatoria", abarcando un total de 38 preguntas. Su propósito principal radica en evaluar la adherencia de los cirujanos a las recomendaciones establecidas para el manejo de pacientes adultos mayores, contribuyendo así a mejorar la calidad de la atención quirúrgica en esta población. Para llevar a cabo la validación, se implementó un estudio descriptivo que comprendió la traducción de la escala al español. Cuatro investigadores de lengua materna española realizaron esta traducción, que posteriormente fue sometida a la evaluación de expertos geriatras. Estos especialistas, que participaron de manera voluntaria en el estudio, evaluaron aspectos clave como la relevancia, representatividad, claridad y calidad de la traducción, ofreciendo valiosas sugerencias para perfeccionar el instrumento.</w:t>
      </w:r>
    </w:p>
    <w:p w14:paraId="4AE80851" w14:textId="77777777" w:rsidR="003803E6" w:rsidRPr="004D7281" w:rsidRDefault="003803E6" w:rsidP="003803E6">
      <w:pPr>
        <w:pStyle w:val="NormalWeb"/>
        <w:spacing w:before="0" w:beforeAutospacing="0" w:after="0" w:afterAutospacing="0" w:line="480" w:lineRule="auto"/>
        <w:jc w:val="both"/>
        <w:rPr>
          <w:rFonts w:ascii="Arial" w:hAnsi="Arial" w:cs="Arial"/>
          <w:sz w:val="20"/>
          <w:szCs w:val="20"/>
        </w:rPr>
      </w:pPr>
      <w:r w:rsidRPr="004D7281">
        <w:rPr>
          <w:rFonts w:ascii="Arial" w:hAnsi="Arial" w:cs="Arial"/>
          <w:color w:val="000000"/>
          <w:sz w:val="20"/>
          <w:szCs w:val="20"/>
        </w:rPr>
        <w:t>El proceso culminó con la redacción del documento final, que integra las correcciones propuestas por los expertos y valida la escala como una herramienta efectiva para evaluar las competencias geriátricas en el ámbito de las especialidades quirúrgicas. Este proyecto aporta al conocimiento científico y tiene implicaciones prácticas al mejorar la atención y tratamiento de pacientes adultos mayores en entornos quirúrgicos.</w:t>
      </w:r>
    </w:p>
    <w:p w14:paraId="4293D741" w14:textId="5170E6CA" w:rsidR="003803E6" w:rsidRPr="004D7281" w:rsidRDefault="003803E6" w:rsidP="003803E6">
      <w:pPr>
        <w:pStyle w:val="NormalWeb"/>
        <w:spacing w:before="0" w:beforeAutospacing="0" w:after="0" w:afterAutospacing="0"/>
        <w:ind w:left="426"/>
        <w:rPr>
          <w:rFonts w:ascii="Arial" w:hAnsi="Arial" w:cs="Arial"/>
          <w:sz w:val="20"/>
          <w:szCs w:val="20"/>
        </w:rPr>
      </w:pPr>
      <w:r w:rsidRPr="004D7281">
        <w:rPr>
          <w:rFonts w:ascii="Arial" w:hAnsi="Arial" w:cs="Arial"/>
          <w:color w:val="000000"/>
          <w:sz w:val="20"/>
          <w:szCs w:val="20"/>
        </w:rPr>
        <w:t xml:space="preserve">Palabras clave: Geriatría, Revisión por pares, </w:t>
      </w:r>
      <w:r w:rsidR="00980C0E" w:rsidRPr="004D7281">
        <w:rPr>
          <w:rFonts w:ascii="Arial" w:hAnsi="Arial" w:cs="Arial"/>
          <w:color w:val="000000"/>
          <w:sz w:val="20"/>
          <w:szCs w:val="20"/>
        </w:rPr>
        <w:t>Cirugía</w:t>
      </w:r>
    </w:p>
    <w:p w14:paraId="7806082D" w14:textId="77777777" w:rsidR="00D97934" w:rsidRPr="004D7281" w:rsidRDefault="00D97934">
      <w:pPr>
        <w:rPr>
          <w:rFonts w:ascii="Arial" w:eastAsia="Times New Roman" w:hAnsi="Arial" w:cs="Arial"/>
          <w:b/>
          <w:bCs/>
          <w:color w:val="000000"/>
          <w:kern w:val="0"/>
          <w:sz w:val="20"/>
          <w:szCs w:val="20"/>
          <w:lang w:eastAsia="es-PE"/>
          <w14:ligatures w14:val="none"/>
        </w:rPr>
      </w:pPr>
    </w:p>
    <w:p w14:paraId="0845F68E" w14:textId="77777777" w:rsidR="00D97934" w:rsidRPr="004D7281" w:rsidRDefault="00D97934">
      <w:pPr>
        <w:rPr>
          <w:rFonts w:ascii="Arial" w:eastAsia="Times New Roman" w:hAnsi="Arial" w:cs="Arial"/>
          <w:b/>
          <w:bCs/>
          <w:color w:val="000000"/>
          <w:kern w:val="0"/>
          <w:sz w:val="20"/>
          <w:szCs w:val="20"/>
          <w:lang w:eastAsia="es-PE"/>
          <w14:ligatures w14:val="none"/>
        </w:rPr>
      </w:pPr>
    </w:p>
    <w:p w14:paraId="2FC87CE9" w14:textId="77777777" w:rsidR="00D97934" w:rsidRDefault="00D97934">
      <w:pPr>
        <w:rPr>
          <w:rFonts w:ascii="Arial" w:eastAsia="Times New Roman" w:hAnsi="Arial" w:cs="Arial"/>
          <w:b/>
          <w:bCs/>
          <w:color w:val="000000"/>
          <w:kern w:val="0"/>
          <w:sz w:val="20"/>
          <w:szCs w:val="20"/>
          <w:lang w:eastAsia="es-PE"/>
          <w14:ligatures w14:val="none"/>
        </w:rPr>
      </w:pPr>
    </w:p>
    <w:p w14:paraId="280376CB" w14:textId="77777777" w:rsidR="00910FA2" w:rsidRDefault="00910FA2">
      <w:pPr>
        <w:rPr>
          <w:rFonts w:ascii="Arial" w:eastAsia="Times New Roman" w:hAnsi="Arial" w:cs="Arial"/>
          <w:b/>
          <w:bCs/>
          <w:color w:val="000000"/>
          <w:kern w:val="0"/>
          <w:sz w:val="20"/>
          <w:szCs w:val="20"/>
          <w:lang w:eastAsia="es-PE"/>
          <w14:ligatures w14:val="none"/>
        </w:rPr>
      </w:pPr>
    </w:p>
    <w:p w14:paraId="68C1053B" w14:textId="77777777" w:rsidR="00910FA2" w:rsidRDefault="00910FA2">
      <w:pPr>
        <w:rPr>
          <w:rFonts w:ascii="Arial" w:eastAsia="Times New Roman" w:hAnsi="Arial" w:cs="Arial"/>
          <w:b/>
          <w:bCs/>
          <w:color w:val="000000"/>
          <w:kern w:val="0"/>
          <w:sz w:val="20"/>
          <w:szCs w:val="20"/>
          <w:lang w:eastAsia="es-PE"/>
          <w14:ligatures w14:val="none"/>
        </w:rPr>
      </w:pPr>
    </w:p>
    <w:p w14:paraId="298D1A4A" w14:textId="77777777" w:rsidR="00910FA2" w:rsidRDefault="00910FA2">
      <w:pPr>
        <w:rPr>
          <w:rFonts w:ascii="Arial" w:eastAsia="Times New Roman" w:hAnsi="Arial" w:cs="Arial"/>
          <w:b/>
          <w:bCs/>
          <w:color w:val="000000"/>
          <w:kern w:val="0"/>
          <w:sz w:val="20"/>
          <w:szCs w:val="20"/>
          <w:lang w:eastAsia="es-PE"/>
          <w14:ligatures w14:val="none"/>
        </w:rPr>
      </w:pPr>
    </w:p>
    <w:p w14:paraId="2D4BE05F" w14:textId="77777777" w:rsidR="00910FA2" w:rsidRDefault="00910FA2">
      <w:pPr>
        <w:rPr>
          <w:rFonts w:ascii="Arial" w:eastAsia="Times New Roman" w:hAnsi="Arial" w:cs="Arial"/>
          <w:b/>
          <w:bCs/>
          <w:color w:val="000000"/>
          <w:kern w:val="0"/>
          <w:sz w:val="20"/>
          <w:szCs w:val="20"/>
          <w:lang w:eastAsia="es-PE"/>
          <w14:ligatures w14:val="none"/>
        </w:rPr>
      </w:pPr>
    </w:p>
    <w:p w14:paraId="2AB893F1" w14:textId="77777777" w:rsidR="00910FA2" w:rsidRPr="004D7281" w:rsidRDefault="00910FA2">
      <w:pPr>
        <w:rPr>
          <w:rFonts w:ascii="Arial" w:eastAsia="Times New Roman" w:hAnsi="Arial" w:cs="Arial"/>
          <w:b/>
          <w:bCs/>
          <w:color w:val="000000"/>
          <w:kern w:val="0"/>
          <w:sz w:val="20"/>
          <w:szCs w:val="20"/>
          <w:lang w:eastAsia="es-PE"/>
          <w14:ligatures w14:val="none"/>
        </w:rPr>
      </w:pPr>
    </w:p>
    <w:p w14:paraId="6D1FCD75" w14:textId="77777777" w:rsidR="008024FC" w:rsidRPr="004D7281" w:rsidRDefault="008024FC">
      <w:pPr>
        <w:rPr>
          <w:rFonts w:ascii="Arial" w:eastAsia="Times New Roman" w:hAnsi="Arial" w:cs="Arial"/>
          <w:b/>
          <w:bCs/>
          <w:color w:val="000000"/>
          <w:kern w:val="0"/>
          <w:sz w:val="20"/>
          <w:szCs w:val="20"/>
          <w:lang w:eastAsia="es-PE"/>
          <w14:ligatures w14:val="none"/>
        </w:rPr>
      </w:pPr>
    </w:p>
    <w:p w14:paraId="1522B826" w14:textId="77777777" w:rsidR="008024FC" w:rsidRPr="004D7281" w:rsidRDefault="008024FC">
      <w:pPr>
        <w:rPr>
          <w:rFonts w:ascii="Arial" w:eastAsia="Times New Roman" w:hAnsi="Arial" w:cs="Arial"/>
          <w:b/>
          <w:bCs/>
          <w:color w:val="000000"/>
          <w:kern w:val="0"/>
          <w:sz w:val="20"/>
          <w:szCs w:val="20"/>
          <w:lang w:eastAsia="es-PE"/>
          <w14:ligatures w14:val="none"/>
        </w:rPr>
      </w:pPr>
    </w:p>
    <w:p w14:paraId="2C80149B" w14:textId="77777777" w:rsidR="008024FC" w:rsidRPr="004D7281" w:rsidRDefault="008024FC">
      <w:pPr>
        <w:rPr>
          <w:rFonts w:ascii="Arial" w:eastAsia="Times New Roman" w:hAnsi="Arial" w:cs="Arial"/>
          <w:b/>
          <w:bCs/>
          <w:color w:val="000000"/>
          <w:kern w:val="0"/>
          <w:sz w:val="20"/>
          <w:szCs w:val="20"/>
          <w:lang w:eastAsia="es-PE"/>
          <w14:ligatures w14:val="none"/>
        </w:rPr>
      </w:pPr>
    </w:p>
    <w:p w14:paraId="3E037545" w14:textId="77777777" w:rsidR="008024FC" w:rsidRPr="004D7281" w:rsidRDefault="008024FC">
      <w:pPr>
        <w:rPr>
          <w:rFonts w:ascii="Arial" w:eastAsia="Times New Roman" w:hAnsi="Arial" w:cs="Arial"/>
          <w:b/>
          <w:bCs/>
          <w:color w:val="000000"/>
          <w:kern w:val="0"/>
          <w:sz w:val="20"/>
          <w:szCs w:val="20"/>
          <w:lang w:eastAsia="es-PE"/>
          <w14:ligatures w14:val="none"/>
        </w:rPr>
      </w:pPr>
    </w:p>
    <w:p w14:paraId="6BDCAE13" w14:textId="77777777" w:rsidR="008024FC" w:rsidRPr="004D7281" w:rsidRDefault="008024FC">
      <w:pPr>
        <w:rPr>
          <w:rFonts w:ascii="Arial" w:eastAsia="Times New Roman" w:hAnsi="Arial" w:cs="Arial"/>
          <w:b/>
          <w:bCs/>
          <w:color w:val="000000"/>
          <w:kern w:val="0"/>
          <w:sz w:val="20"/>
          <w:szCs w:val="20"/>
          <w:lang w:eastAsia="es-PE"/>
          <w14:ligatures w14:val="none"/>
        </w:rPr>
      </w:pPr>
    </w:p>
    <w:p w14:paraId="327A70C3" w14:textId="77777777" w:rsidR="00D97934" w:rsidRPr="004D7281" w:rsidRDefault="00D97934">
      <w:pPr>
        <w:rPr>
          <w:rFonts w:ascii="Arial" w:eastAsia="Times New Roman" w:hAnsi="Arial" w:cs="Arial"/>
          <w:b/>
          <w:bCs/>
          <w:color w:val="000000"/>
          <w:kern w:val="0"/>
          <w:sz w:val="20"/>
          <w:szCs w:val="20"/>
          <w:lang w:eastAsia="es-PE"/>
          <w14:ligatures w14:val="none"/>
        </w:rPr>
      </w:pPr>
      <w:r w:rsidRPr="004D7281">
        <w:rPr>
          <w:rFonts w:ascii="Arial" w:eastAsia="Times New Roman" w:hAnsi="Arial" w:cs="Arial"/>
          <w:b/>
          <w:bCs/>
          <w:color w:val="000000"/>
          <w:kern w:val="0"/>
          <w:sz w:val="20"/>
          <w:szCs w:val="20"/>
          <w:lang w:eastAsia="es-PE"/>
          <w14:ligatures w14:val="none"/>
        </w:rPr>
        <w:lastRenderedPageBreak/>
        <w:t>Abstract:</w:t>
      </w:r>
    </w:p>
    <w:p w14:paraId="6B06DD03" w14:textId="497B8234" w:rsidR="004477C3" w:rsidRPr="004D7281" w:rsidRDefault="00D97934" w:rsidP="004477C3">
      <w:pPr>
        <w:pStyle w:val="NormalWeb"/>
        <w:spacing w:before="0" w:beforeAutospacing="0" w:after="0" w:afterAutospacing="0" w:line="480" w:lineRule="auto"/>
        <w:jc w:val="both"/>
        <w:rPr>
          <w:rFonts w:ascii="Arial" w:hAnsi="Arial" w:cs="Arial"/>
          <w:color w:val="000000"/>
          <w:sz w:val="20"/>
          <w:szCs w:val="20"/>
          <w:lang w:val="en-US"/>
        </w:rPr>
      </w:pPr>
      <w:r w:rsidRPr="004D7281">
        <w:rPr>
          <w:rFonts w:ascii="Arial" w:hAnsi="Arial" w:cs="Arial"/>
          <w:color w:val="000000"/>
          <w:sz w:val="20"/>
          <w:szCs w:val="20"/>
          <w:lang w:val="en-US"/>
        </w:rPr>
        <w:t>The aim of this research is to demonstrate the validity</w:t>
      </w:r>
      <w:r w:rsidR="00AC0377" w:rsidRPr="004D7281">
        <w:rPr>
          <w:rFonts w:ascii="Arial" w:hAnsi="Arial" w:cs="Arial"/>
          <w:color w:val="000000"/>
          <w:sz w:val="20"/>
          <w:szCs w:val="20"/>
          <w:lang w:val="en-US"/>
        </w:rPr>
        <w:t>,</w:t>
      </w:r>
      <w:r w:rsidRPr="004D7281">
        <w:rPr>
          <w:rFonts w:ascii="Arial" w:hAnsi="Arial" w:cs="Arial"/>
          <w:color w:val="000000"/>
          <w:sz w:val="20"/>
          <w:szCs w:val="20"/>
          <w:lang w:val="en-US"/>
        </w:rPr>
        <w:t xml:space="preserve"> trough expert evaluation, of the scale called “Proposed geriatric competences for the Surgical Specialities”. This scale, originally written</w:t>
      </w:r>
      <w:r w:rsidR="00AC0377" w:rsidRPr="004D7281">
        <w:rPr>
          <w:rFonts w:ascii="Arial" w:hAnsi="Arial" w:cs="Arial"/>
          <w:color w:val="000000"/>
          <w:sz w:val="20"/>
          <w:szCs w:val="20"/>
          <w:lang w:val="en-US"/>
        </w:rPr>
        <w:t xml:space="preserve"> </w:t>
      </w:r>
      <w:r w:rsidR="008024FC" w:rsidRPr="004D7281">
        <w:rPr>
          <w:rFonts w:ascii="Arial" w:hAnsi="Arial" w:cs="Arial"/>
          <w:color w:val="000000"/>
          <w:sz w:val="20"/>
          <w:szCs w:val="20"/>
          <w:lang w:val="en-US"/>
        </w:rPr>
        <w:t>in English, is structured in three sections: “preoperative, intraoperative and postoperative”, covering a total of 38 questions. Its main purpose is to evaluate the adherence of surgeons to the established recommendations for the management of elderly patients, thus contributing to improving the quality of surgical care in this population. To carry out the validation, a descriptive study was implemented that included the translation of the scale into Spanish</w:t>
      </w:r>
      <w:r w:rsidR="004477C3" w:rsidRPr="004D7281">
        <w:rPr>
          <w:rFonts w:ascii="Arial" w:hAnsi="Arial" w:cs="Arial"/>
          <w:color w:val="000000"/>
          <w:sz w:val="20"/>
          <w:szCs w:val="20"/>
          <w:lang w:val="en-US"/>
        </w:rPr>
        <w:t xml:space="preserve">-speaking researchers, which was then submitted to the evaluation of geriatric experts. These specialists, who participated voluntarily in the study, evaluated key aspects such as the relevance, representativeness, </w:t>
      </w:r>
      <w:proofErr w:type="gramStart"/>
      <w:r w:rsidR="004477C3" w:rsidRPr="004D7281">
        <w:rPr>
          <w:rFonts w:ascii="Arial" w:hAnsi="Arial" w:cs="Arial"/>
          <w:color w:val="000000"/>
          <w:sz w:val="20"/>
          <w:szCs w:val="20"/>
          <w:lang w:val="en-US"/>
        </w:rPr>
        <w:t>clarity</w:t>
      </w:r>
      <w:proofErr w:type="gramEnd"/>
      <w:r w:rsidR="004477C3" w:rsidRPr="004D7281">
        <w:rPr>
          <w:rFonts w:ascii="Arial" w:hAnsi="Arial" w:cs="Arial"/>
          <w:color w:val="000000"/>
          <w:sz w:val="20"/>
          <w:szCs w:val="20"/>
          <w:lang w:val="en-US"/>
        </w:rPr>
        <w:t xml:space="preserve"> and quality of the translation, offering valuable suggestions for perfecting the instrument. The process culminated in the drafting of the final document, which integrates the corrections proposed by the experts and validates the scale as an effective tool for assessing geriatric competencies in the field of surgical specialties. This project contributes to scientific knowledge and has practical implications in improving the care and treatment of elderly patients in surgical settings.</w:t>
      </w:r>
    </w:p>
    <w:p w14:paraId="3EC8F058" w14:textId="487BD15C" w:rsidR="007338EA" w:rsidRPr="004D7281" w:rsidRDefault="004477C3" w:rsidP="004477C3">
      <w:pPr>
        <w:pStyle w:val="NormalWeb"/>
        <w:spacing w:before="0" w:beforeAutospacing="0" w:after="0" w:afterAutospacing="0" w:line="480" w:lineRule="auto"/>
        <w:jc w:val="both"/>
        <w:rPr>
          <w:rFonts w:ascii="Arial" w:hAnsi="Arial" w:cs="Arial"/>
          <w:color w:val="000000"/>
          <w:sz w:val="20"/>
          <w:szCs w:val="20"/>
          <w:lang w:val="en-US"/>
        </w:rPr>
      </w:pPr>
      <w:r w:rsidRPr="004D7281">
        <w:rPr>
          <w:rFonts w:ascii="Arial" w:hAnsi="Arial" w:cs="Arial"/>
          <w:color w:val="000000"/>
          <w:sz w:val="20"/>
          <w:szCs w:val="20"/>
          <w:lang w:val="en-US"/>
        </w:rPr>
        <w:t>Keywords: Geriatric, Peer review, Surgery</w:t>
      </w:r>
      <w:r w:rsidR="007338EA" w:rsidRPr="004D7281">
        <w:rPr>
          <w:rFonts w:ascii="Arial" w:hAnsi="Arial" w:cs="Arial"/>
          <w:color w:val="000000"/>
          <w:sz w:val="20"/>
          <w:szCs w:val="20"/>
          <w:lang w:val="en-US"/>
        </w:rPr>
        <w:br w:type="page"/>
      </w:r>
    </w:p>
    <w:p w14:paraId="731EF146" w14:textId="30F84056" w:rsidR="006B3118" w:rsidRPr="004D7281" w:rsidRDefault="006B3118" w:rsidP="006B3118">
      <w:pPr>
        <w:spacing w:after="0" w:line="480" w:lineRule="auto"/>
        <w:rPr>
          <w:rFonts w:ascii="Arial" w:eastAsia="Times New Roman" w:hAnsi="Arial" w:cs="Arial"/>
          <w:kern w:val="0"/>
          <w:sz w:val="20"/>
          <w:szCs w:val="20"/>
          <w:lang w:eastAsia="es-PE"/>
          <w14:ligatures w14:val="none"/>
        </w:rPr>
      </w:pPr>
      <w:r w:rsidRPr="004D7281">
        <w:rPr>
          <w:rFonts w:ascii="Arial" w:eastAsia="Times New Roman" w:hAnsi="Arial" w:cs="Arial"/>
          <w:b/>
          <w:bCs/>
          <w:color w:val="000000"/>
          <w:kern w:val="0"/>
          <w:sz w:val="20"/>
          <w:szCs w:val="20"/>
          <w:lang w:eastAsia="es-PE"/>
          <w14:ligatures w14:val="none"/>
        </w:rPr>
        <w:lastRenderedPageBreak/>
        <w:t>Introducción</w:t>
      </w:r>
    </w:p>
    <w:p w14:paraId="051AF8E1" w14:textId="1C7E5194" w:rsidR="006B3118" w:rsidRPr="004D7281" w:rsidRDefault="006B3118" w:rsidP="006B3118">
      <w:pPr>
        <w:spacing w:after="0" w:line="480" w:lineRule="auto"/>
        <w:jc w:val="both"/>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 xml:space="preserve">La validación de instrumentos de medición garantiza la aplicabilidad y confiabilidad de </w:t>
      </w:r>
      <w:r w:rsidR="00E76D47" w:rsidRPr="004D7281">
        <w:rPr>
          <w:rFonts w:ascii="Arial" w:eastAsia="Times New Roman" w:hAnsi="Arial" w:cs="Arial"/>
          <w:color w:val="000000"/>
          <w:kern w:val="0"/>
          <w:sz w:val="20"/>
          <w:szCs w:val="20"/>
          <w:lang w:eastAsia="es-PE"/>
          <w14:ligatures w14:val="none"/>
        </w:rPr>
        <w:t>estos</w:t>
      </w:r>
      <w:r w:rsidRPr="004D7281">
        <w:rPr>
          <w:rFonts w:ascii="Arial" w:eastAsia="Times New Roman" w:hAnsi="Arial" w:cs="Arial"/>
          <w:color w:val="000000"/>
          <w:kern w:val="0"/>
          <w:sz w:val="20"/>
          <w:szCs w:val="20"/>
          <w:lang w:eastAsia="es-PE"/>
          <w14:ligatures w14:val="none"/>
        </w:rPr>
        <w:t xml:space="preserve"> en la investigación. Existen diversas técnicas de validación, sin embargo, el presente estudio se enfoca en la validación por expertos de la escala "</w:t>
      </w:r>
      <w:r w:rsidRPr="004D7281">
        <w:rPr>
          <w:rFonts w:ascii="Arial" w:eastAsia="Times New Roman" w:hAnsi="Arial" w:cs="Arial"/>
          <w:i/>
          <w:iCs/>
          <w:color w:val="000000"/>
          <w:kern w:val="0"/>
          <w:sz w:val="20"/>
          <w:szCs w:val="20"/>
          <w:lang w:eastAsia="es-PE"/>
          <w14:ligatures w14:val="none"/>
        </w:rPr>
        <w:t>Proposed Geriatric Competencies for the Surgical Specialities</w:t>
      </w:r>
      <w:r w:rsidRPr="004D7281">
        <w:rPr>
          <w:rFonts w:ascii="Arial" w:eastAsia="Times New Roman" w:hAnsi="Arial" w:cs="Arial"/>
          <w:color w:val="000000"/>
          <w:kern w:val="0"/>
          <w:sz w:val="20"/>
          <w:szCs w:val="20"/>
          <w:lang w:eastAsia="es-PE"/>
          <w14:ligatures w14:val="none"/>
        </w:rPr>
        <w:t>" (1)</w:t>
      </w:r>
      <w:r w:rsidR="005E4FC8" w:rsidRPr="004D7281">
        <w:rPr>
          <w:rFonts w:ascii="Arial" w:eastAsia="Times New Roman" w:hAnsi="Arial" w:cs="Arial"/>
          <w:color w:val="000000"/>
          <w:kern w:val="0"/>
          <w:sz w:val="20"/>
          <w:szCs w:val="20"/>
          <w:lang w:eastAsia="es-PE"/>
          <w14:ligatures w14:val="none"/>
        </w:rPr>
        <w:t>,</w:t>
      </w:r>
      <w:r w:rsidRPr="004D7281">
        <w:rPr>
          <w:rFonts w:ascii="Arial" w:eastAsia="Times New Roman" w:hAnsi="Arial" w:cs="Arial"/>
          <w:color w:val="000000"/>
          <w:kern w:val="0"/>
          <w:sz w:val="20"/>
          <w:szCs w:val="20"/>
          <w:lang w:eastAsia="es-PE"/>
          <w14:ligatures w14:val="none"/>
        </w:rPr>
        <w:t xml:space="preserve"> </w:t>
      </w:r>
      <w:r w:rsidR="005E4FC8" w:rsidRPr="004D7281">
        <w:rPr>
          <w:rFonts w:ascii="Arial" w:eastAsia="Times New Roman" w:hAnsi="Arial" w:cs="Arial"/>
          <w:color w:val="000000"/>
          <w:kern w:val="0"/>
          <w:sz w:val="20"/>
          <w:szCs w:val="20"/>
          <w:lang w:eastAsia="es-PE"/>
          <w14:ligatures w14:val="none"/>
        </w:rPr>
        <w:t xml:space="preserve">originalmente </w:t>
      </w:r>
      <w:r w:rsidRPr="004D7281">
        <w:rPr>
          <w:rFonts w:ascii="Arial" w:eastAsia="Times New Roman" w:hAnsi="Arial" w:cs="Arial"/>
          <w:color w:val="000000"/>
          <w:kern w:val="0"/>
          <w:sz w:val="20"/>
          <w:szCs w:val="20"/>
          <w:lang w:eastAsia="es-PE"/>
          <w14:ligatures w14:val="none"/>
        </w:rPr>
        <w:t>redactada en inglés, enlista las competencias esenciales para los cirujanos en el manejo de pacientes geriátricos en preoperatorio, intraoperatorio y postoperatorio. De esta manera, la validez de la escala depende de los juicios de especialistas en el tema sobre la pertinencia de sus ítems y no de un concepto estadístico (2). Este método es rentable y rápido, convirtiéndolo en el más eficiente.</w:t>
      </w:r>
      <w:r w:rsidR="007D2168" w:rsidRPr="004D7281">
        <w:rPr>
          <w:rFonts w:ascii="Arial" w:eastAsia="Times New Roman" w:hAnsi="Arial" w:cs="Arial"/>
          <w:color w:val="000000"/>
          <w:kern w:val="0"/>
          <w:sz w:val="20"/>
          <w:szCs w:val="20"/>
          <w:lang w:eastAsia="es-PE"/>
          <w14:ligatures w14:val="none"/>
        </w:rPr>
        <w:t xml:space="preserve"> </w:t>
      </w:r>
      <w:r w:rsidRPr="004D7281">
        <w:rPr>
          <w:rFonts w:ascii="Arial" w:eastAsia="Times New Roman" w:hAnsi="Arial" w:cs="Arial"/>
          <w:color w:val="000000"/>
          <w:kern w:val="0"/>
          <w:sz w:val="20"/>
          <w:szCs w:val="20"/>
          <w:lang w:eastAsia="es-PE"/>
          <w14:ligatures w14:val="none"/>
        </w:rPr>
        <w:t>(3).</w:t>
      </w:r>
    </w:p>
    <w:p w14:paraId="76CA7952" w14:textId="77777777" w:rsidR="006B3118" w:rsidRPr="004D7281" w:rsidRDefault="006B3118" w:rsidP="006B3118">
      <w:pPr>
        <w:spacing w:after="0" w:line="240" w:lineRule="auto"/>
        <w:rPr>
          <w:rFonts w:ascii="Arial" w:eastAsia="Times New Roman" w:hAnsi="Arial" w:cs="Arial"/>
          <w:kern w:val="0"/>
          <w:sz w:val="20"/>
          <w:szCs w:val="20"/>
          <w:lang w:eastAsia="es-PE"/>
          <w14:ligatures w14:val="none"/>
        </w:rPr>
      </w:pPr>
    </w:p>
    <w:p w14:paraId="509D37B9" w14:textId="7936FA05" w:rsidR="006B3118" w:rsidRPr="004D7281" w:rsidRDefault="006B3118" w:rsidP="006B3118">
      <w:pPr>
        <w:spacing w:after="0" w:line="480" w:lineRule="auto"/>
        <w:jc w:val="both"/>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La Organización Mundial de la Salud</w:t>
      </w:r>
      <w:r w:rsidR="00690405" w:rsidRPr="004D7281">
        <w:rPr>
          <w:rFonts w:ascii="Arial" w:eastAsia="Times New Roman" w:hAnsi="Arial" w:cs="Arial"/>
          <w:color w:val="000000"/>
          <w:kern w:val="0"/>
          <w:sz w:val="20"/>
          <w:szCs w:val="20"/>
          <w:lang w:eastAsia="es-PE"/>
          <w14:ligatures w14:val="none"/>
        </w:rPr>
        <w:t xml:space="preserve"> (OMS)</w:t>
      </w:r>
      <w:r w:rsidRPr="004D7281">
        <w:rPr>
          <w:rFonts w:ascii="Arial" w:eastAsia="Times New Roman" w:hAnsi="Arial" w:cs="Arial"/>
          <w:color w:val="000000"/>
          <w:kern w:val="0"/>
          <w:sz w:val="20"/>
          <w:szCs w:val="20"/>
          <w:lang w:eastAsia="es-PE"/>
          <w14:ligatures w14:val="none"/>
        </w:rPr>
        <w:t xml:space="preserve"> define edadismo como las actitudes relacionadas con la edad (estereotipos), sentimientos negativos (prejuicios) y comportamientos discriminatorios contra los demás o contra nosotros mismos (4). Estos prejuicios afectan nuestra percepción y forma de cómo nos relacionamos con las personas según su edad (5). </w:t>
      </w:r>
    </w:p>
    <w:p w14:paraId="3A6F94A4" w14:textId="6FED0A4F" w:rsidR="006B3118" w:rsidRPr="004D7281" w:rsidRDefault="006B3118" w:rsidP="006B3118">
      <w:pPr>
        <w:spacing w:before="240" w:after="240" w:line="480" w:lineRule="auto"/>
        <w:jc w:val="both"/>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Actualmente hay un mayor número de pacientes geriátricos. La OMS estimó que para el 2030, una de cada seis personas tendría 60 años o más</w:t>
      </w:r>
      <w:r w:rsidR="007D2168" w:rsidRPr="004D7281">
        <w:rPr>
          <w:rFonts w:ascii="Arial" w:eastAsia="Times New Roman" w:hAnsi="Arial" w:cs="Arial"/>
          <w:color w:val="000000"/>
          <w:kern w:val="0"/>
          <w:sz w:val="20"/>
          <w:szCs w:val="20"/>
          <w:lang w:eastAsia="es-PE"/>
          <w14:ligatures w14:val="none"/>
        </w:rPr>
        <w:t xml:space="preserve"> </w:t>
      </w:r>
      <w:r w:rsidRPr="004D7281">
        <w:rPr>
          <w:rFonts w:ascii="Arial" w:eastAsia="Times New Roman" w:hAnsi="Arial" w:cs="Arial"/>
          <w:color w:val="000000"/>
          <w:kern w:val="0"/>
          <w:sz w:val="20"/>
          <w:szCs w:val="20"/>
          <w:lang w:eastAsia="es-PE"/>
          <w14:ligatures w14:val="none"/>
        </w:rPr>
        <w:t xml:space="preserve">(6). En Latino América, se delimitó que para el 2025, habrá 100 millones de </w:t>
      </w:r>
      <w:r w:rsidR="00EA0F22" w:rsidRPr="004D7281">
        <w:rPr>
          <w:rFonts w:ascii="Arial" w:eastAsia="Times New Roman" w:hAnsi="Arial" w:cs="Arial"/>
          <w:color w:val="000000"/>
          <w:kern w:val="0"/>
          <w:sz w:val="20"/>
          <w:szCs w:val="20"/>
          <w:lang w:eastAsia="es-PE"/>
          <w14:ligatures w14:val="none"/>
        </w:rPr>
        <w:t>AM. (</w:t>
      </w:r>
      <w:r w:rsidRPr="004D7281">
        <w:rPr>
          <w:rFonts w:ascii="Arial" w:eastAsia="Times New Roman" w:hAnsi="Arial" w:cs="Arial"/>
          <w:color w:val="000000"/>
          <w:kern w:val="0"/>
          <w:sz w:val="20"/>
          <w:szCs w:val="20"/>
          <w:lang w:eastAsia="es-PE"/>
          <w14:ligatures w14:val="none"/>
        </w:rPr>
        <w:t>7). En 2017 en Perú, se estimó que un 10% de la población era adulta mayor (8); este porcentaje aumentó para el 2022, llegando a aproximadamente un 13.3</w:t>
      </w:r>
      <w:r w:rsidR="00EA0F22" w:rsidRPr="004D7281">
        <w:rPr>
          <w:rFonts w:ascii="Arial" w:eastAsia="Times New Roman" w:hAnsi="Arial" w:cs="Arial"/>
          <w:color w:val="000000"/>
          <w:kern w:val="0"/>
          <w:sz w:val="20"/>
          <w:szCs w:val="20"/>
          <w:lang w:eastAsia="es-PE"/>
          <w14:ligatures w14:val="none"/>
        </w:rPr>
        <w:t>%. (</w:t>
      </w:r>
      <w:r w:rsidRPr="004D7281">
        <w:rPr>
          <w:rFonts w:ascii="Arial" w:eastAsia="Times New Roman" w:hAnsi="Arial" w:cs="Arial"/>
          <w:color w:val="000000"/>
          <w:kern w:val="0"/>
          <w:sz w:val="20"/>
          <w:szCs w:val="20"/>
          <w:lang w:eastAsia="es-PE"/>
          <w14:ligatures w14:val="none"/>
        </w:rPr>
        <w:t>9). </w:t>
      </w:r>
    </w:p>
    <w:p w14:paraId="65A628A6" w14:textId="1ABA77C9" w:rsidR="006B3118" w:rsidRPr="004D7281" w:rsidRDefault="006B3118" w:rsidP="006B3118">
      <w:pPr>
        <w:spacing w:before="240" w:after="240" w:line="480" w:lineRule="auto"/>
        <w:jc w:val="both"/>
        <w:rPr>
          <w:rFonts w:ascii="Arial" w:eastAsia="Times New Roman" w:hAnsi="Arial" w:cs="Arial"/>
          <w:color w:val="000000"/>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En las últimas décadas, la expectativa de vida ha aumentado dramáticamente, llevando a una transición demográfica caracterizada por un aumento en la población de adultos mayores (</w:t>
      </w:r>
      <w:r w:rsidR="004477C3" w:rsidRPr="004D7281">
        <w:rPr>
          <w:rFonts w:ascii="Arial" w:eastAsia="Times New Roman" w:hAnsi="Arial" w:cs="Arial"/>
          <w:color w:val="000000"/>
          <w:kern w:val="0"/>
          <w:sz w:val="20"/>
          <w:szCs w:val="20"/>
          <w:lang w:eastAsia="es-PE"/>
          <w14:ligatures w14:val="none"/>
        </w:rPr>
        <w:t>AM</w:t>
      </w:r>
      <w:r w:rsidRPr="004D7281">
        <w:rPr>
          <w:rFonts w:ascii="Arial" w:eastAsia="Times New Roman" w:hAnsi="Arial" w:cs="Arial"/>
          <w:color w:val="000000"/>
          <w:kern w:val="0"/>
          <w:sz w:val="20"/>
          <w:szCs w:val="20"/>
          <w:lang w:eastAsia="es-PE"/>
          <w14:ligatures w14:val="none"/>
        </w:rPr>
        <w:t>)</w:t>
      </w:r>
      <w:r w:rsidR="004477C3" w:rsidRPr="004D7281">
        <w:rPr>
          <w:rFonts w:ascii="Arial" w:eastAsia="Times New Roman" w:hAnsi="Arial" w:cs="Arial"/>
          <w:color w:val="000000"/>
          <w:kern w:val="0"/>
          <w:sz w:val="20"/>
          <w:szCs w:val="20"/>
          <w:lang w:eastAsia="es-PE"/>
          <w14:ligatures w14:val="none"/>
        </w:rPr>
        <w:t xml:space="preserve"> (10)</w:t>
      </w:r>
      <w:r w:rsidRPr="004D7281">
        <w:rPr>
          <w:rFonts w:ascii="Arial" w:eastAsia="Times New Roman" w:hAnsi="Arial" w:cs="Arial"/>
          <w:color w:val="000000"/>
          <w:kern w:val="0"/>
          <w:sz w:val="20"/>
          <w:szCs w:val="20"/>
          <w:lang w:eastAsia="es-PE"/>
          <w14:ligatures w14:val="none"/>
        </w:rPr>
        <w:t xml:space="preserve">. Esto nos lleva a pensar que la cantidad de pacientes adultos </w:t>
      </w:r>
      <w:r w:rsidR="00BD07CB" w:rsidRPr="004D7281">
        <w:rPr>
          <w:rFonts w:ascii="Arial" w:eastAsia="Times New Roman" w:hAnsi="Arial" w:cs="Arial"/>
          <w:color w:val="000000"/>
          <w:kern w:val="0"/>
          <w:sz w:val="20"/>
          <w:szCs w:val="20"/>
          <w:lang w:eastAsia="es-PE"/>
          <w14:ligatures w14:val="none"/>
        </w:rPr>
        <w:t>mayores que</w:t>
      </w:r>
      <w:r w:rsidRPr="004D7281">
        <w:rPr>
          <w:rFonts w:ascii="Arial" w:eastAsia="Times New Roman" w:hAnsi="Arial" w:cs="Arial"/>
          <w:color w:val="000000"/>
          <w:kern w:val="0"/>
          <w:sz w:val="20"/>
          <w:szCs w:val="20"/>
          <w:lang w:eastAsia="es-PE"/>
          <w14:ligatures w14:val="none"/>
        </w:rPr>
        <w:t xml:space="preserve"> acuden a servicios de salud van a aumentar, incluyendo aquellos que necesitan intervenciones quirúrgicas. Por lo que, resulta imperativo confirmar que los cirujanos estén capacitados para el manejo de estos pacientes. En una investigación conducida por Samra y colaboradores, señala que las diversas patologías y tratamientos farmacológicos en pacientes AM generan desafíos para el profesional médico. Los participantes expresaron que la complejidad de estos pacientes aumenta la probabilidad de errores diagnósticos. (11). Estos hallazgos guardan relación con lo evidenciado en la investigación de Gholamzadeh, donde participantes destacaron la existencia </w:t>
      </w:r>
      <w:r w:rsidRPr="004D7281">
        <w:rPr>
          <w:rFonts w:ascii="Arial" w:eastAsia="Times New Roman" w:hAnsi="Arial" w:cs="Arial"/>
          <w:color w:val="000000"/>
          <w:kern w:val="0"/>
          <w:sz w:val="20"/>
          <w:szCs w:val="20"/>
          <w:lang w:eastAsia="es-PE"/>
          <w14:ligatures w14:val="none"/>
        </w:rPr>
        <w:lastRenderedPageBreak/>
        <w:t>de negligencia médica debido a diagnósticos inexactos. Esta situación condujo a tratamientos inapropiados y a desenlaces adversos para la salud de los pacientes (12). </w:t>
      </w:r>
    </w:p>
    <w:p w14:paraId="327256AD" w14:textId="3D1AF687" w:rsidR="006B3118" w:rsidRPr="004D7281" w:rsidRDefault="006B3118" w:rsidP="006B3118">
      <w:pPr>
        <w:spacing w:before="240" w:after="240" w:line="480" w:lineRule="auto"/>
        <w:jc w:val="both"/>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Es importante destacar que los adultos mayores enfrentan un mayor riesgo de complicaciones postoperatorias. Se estima que entre el 20% y el 50% de las personas mayores de 80 años experimentan complicaciones tras someterse a procedimientos quirúrgicos, mientras que los pacientes más jóvenes presentan aproximadamente la mitad de ese riesgo. Estos datos ilustran, de manera clara, que las complicaciones en adultos mayores continuarán en aumento (13)</w:t>
      </w:r>
      <w:r w:rsidR="007D2168" w:rsidRPr="004D7281">
        <w:rPr>
          <w:rFonts w:ascii="Arial" w:eastAsia="Times New Roman" w:hAnsi="Arial" w:cs="Arial"/>
          <w:color w:val="000000"/>
          <w:kern w:val="0"/>
          <w:sz w:val="20"/>
          <w:szCs w:val="20"/>
          <w:lang w:eastAsia="es-PE"/>
          <w14:ligatures w14:val="none"/>
        </w:rPr>
        <w:t>;</w:t>
      </w:r>
      <w:r w:rsidRPr="004D7281">
        <w:rPr>
          <w:rFonts w:ascii="Arial" w:eastAsia="Times New Roman" w:hAnsi="Arial" w:cs="Arial"/>
          <w:color w:val="000000"/>
          <w:kern w:val="0"/>
          <w:sz w:val="20"/>
          <w:szCs w:val="20"/>
          <w:lang w:eastAsia="es-PE"/>
          <w14:ligatures w14:val="none"/>
        </w:rPr>
        <w:t xml:space="preserve"> </w:t>
      </w:r>
      <w:r w:rsidR="007D2168" w:rsidRPr="004D7281">
        <w:rPr>
          <w:rFonts w:ascii="Arial" w:eastAsia="Times New Roman" w:hAnsi="Arial" w:cs="Arial"/>
          <w:color w:val="000000"/>
          <w:kern w:val="0"/>
          <w:sz w:val="20"/>
          <w:szCs w:val="20"/>
          <w:lang w:eastAsia="es-PE"/>
          <w14:ligatures w14:val="none"/>
        </w:rPr>
        <w:t>entre las</w:t>
      </w:r>
      <w:r w:rsidRPr="004D7281">
        <w:rPr>
          <w:rFonts w:ascii="Arial" w:eastAsia="Times New Roman" w:hAnsi="Arial" w:cs="Arial"/>
          <w:color w:val="000000"/>
          <w:kern w:val="0"/>
          <w:sz w:val="20"/>
          <w:szCs w:val="20"/>
          <w:lang w:eastAsia="es-PE"/>
          <w14:ligatures w14:val="none"/>
        </w:rPr>
        <w:t xml:space="preserve"> más comunes se incluyen problemas cardiovasculares, dificultades respiratorias, retardo en la cicatrización, confusión o delirio postoperatorio, y deterioro funcional (14). Las intervenciones quirúrgicas más frecuentes realizadas en individuos mayores de 80 años abarcan procedimientos digestivos, urológicos y ortopédicos; entre ellas la colecistectomía, la resección transuretral de la próstata, la reparación de hernias, la sustitución electiva de cadera, la colectomía y la cirugía de cataratas (15). En términos estadísticos</w:t>
      </w:r>
      <w:r w:rsidR="007D2168" w:rsidRPr="004D7281">
        <w:rPr>
          <w:rFonts w:ascii="Arial" w:eastAsia="Times New Roman" w:hAnsi="Arial" w:cs="Arial"/>
          <w:color w:val="000000"/>
          <w:kern w:val="0"/>
          <w:sz w:val="20"/>
          <w:szCs w:val="20"/>
          <w:lang w:eastAsia="es-PE"/>
          <w14:ligatures w14:val="none"/>
        </w:rPr>
        <w:t xml:space="preserve">, </w:t>
      </w:r>
      <w:r w:rsidRPr="004D7281">
        <w:rPr>
          <w:rFonts w:ascii="Arial" w:eastAsia="Times New Roman" w:hAnsi="Arial" w:cs="Arial"/>
          <w:color w:val="000000"/>
          <w:kern w:val="0"/>
          <w:sz w:val="20"/>
          <w:szCs w:val="20"/>
          <w:lang w:eastAsia="es-PE"/>
          <w14:ligatures w14:val="none"/>
        </w:rPr>
        <w:t>en México un 14.2% del total de cirugías realizadas (59,145 cirugías) correspondieron a intervenciones quirúrgicas en adultos mayores (16).</w:t>
      </w:r>
    </w:p>
    <w:p w14:paraId="6773F3AD" w14:textId="5751CE07" w:rsidR="006B3118" w:rsidRPr="004D7281" w:rsidRDefault="006B3118" w:rsidP="006B3118">
      <w:pPr>
        <w:spacing w:before="240" w:after="240" w:line="480" w:lineRule="auto"/>
        <w:jc w:val="both"/>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Finalmente, es importante mencionar que actualmente, no hay escalas que midan la adherencia de los cirujanos a recomendaciones para el preoperatorio, intraoperatorio y postoperatorio en el manejo de adultos mayores</w:t>
      </w:r>
      <w:r w:rsidR="003B425D" w:rsidRPr="004D7281">
        <w:rPr>
          <w:rFonts w:ascii="Arial" w:eastAsia="Times New Roman" w:hAnsi="Arial" w:cs="Arial"/>
          <w:color w:val="000000"/>
          <w:kern w:val="0"/>
          <w:sz w:val="20"/>
          <w:szCs w:val="20"/>
          <w:lang w:eastAsia="es-PE"/>
          <w14:ligatures w14:val="none"/>
        </w:rPr>
        <w:t xml:space="preserve"> en español</w:t>
      </w:r>
      <w:r w:rsidRPr="004D7281">
        <w:rPr>
          <w:rFonts w:ascii="Arial" w:eastAsia="Times New Roman" w:hAnsi="Arial" w:cs="Arial"/>
          <w:color w:val="000000"/>
          <w:kern w:val="0"/>
          <w:sz w:val="20"/>
          <w:szCs w:val="20"/>
          <w:lang w:eastAsia="es-PE"/>
          <w14:ligatures w14:val="none"/>
        </w:rPr>
        <w:t>. Por ello, en este estudio se utiliza un conjunto de competencias necesarias llamada “Proposed Geriatric Competencies for the Surgical Specialities”. Los especialistas que formularon la escala la dividireron en tres secciones; desarrollando temas como presentaciones típicas y atípicas de la enfermedad, uso adecuado de fármacos, problemas cognitivos y de comportamiento, enfermedades complejas y crónicas, seguridad del paciente, uso de tratamiento paliativo, entre otras (17). </w:t>
      </w:r>
    </w:p>
    <w:p w14:paraId="665822F7" w14:textId="59470B04" w:rsidR="006B3118" w:rsidRPr="004D7281" w:rsidRDefault="006B3118" w:rsidP="006B3118">
      <w:pPr>
        <w:spacing w:after="0" w:line="480" w:lineRule="auto"/>
        <w:rPr>
          <w:rFonts w:ascii="Arial" w:eastAsia="Times New Roman" w:hAnsi="Arial" w:cs="Arial"/>
          <w:kern w:val="0"/>
          <w:sz w:val="20"/>
          <w:szCs w:val="20"/>
          <w:lang w:eastAsia="es-PE"/>
          <w14:ligatures w14:val="none"/>
        </w:rPr>
      </w:pPr>
      <w:r w:rsidRPr="004D7281">
        <w:rPr>
          <w:rFonts w:ascii="Arial" w:eastAsia="Times New Roman" w:hAnsi="Arial" w:cs="Arial"/>
          <w:b/>
          <w:bCs/>
          <w:color w:val="000000"/>
          <w:kern w:val="0"/>
          <w:sz w:val="20"/>
          <w:szCs w:val="20"/>
          <w:lang w:eastAsia="es-PE"/>
          <w14:ligatures w14:val="none"/>
        </w:rPr>
        <w:t xml:space="preserve">El estudio </w:t>
      </w:r>
    </w:p>
    <w:p w14:paraId="5E4245E1" w14:textId="179D315A" w:rsidR="006B3118" w:rsidRPr="004D7281" w:rsidRDefault="006B3118" w:rsidP="006B3118">
      <w:pPr>
        <w:spacing w:after="0" w:line="480" w:lineRule="auto"/>
        <w:jc w:val="both"/>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La escala “</w:t>
      </w:r>
      <w:r w:rsidRPr="004D7281">
        <w:rPr>
          <w:rFonts w:ascii="Arial" w:eastAsia="Times New Roman" w:hAnsi="Arial" w:cs="Arial"/>
          <w:i/>
          <w:iCs/>
          <w:color w:val="000000"/>
          <w:kern w:val="0"/>
          <w:sz w:val="20"/>
          <w:szCs w:val="20"/>
          <w:lang w:eastAsia="es-PE"/>
          <w14:ligatures w14:val="none"/>
        </w:rPr>
        <w:t>Proposed geriatric competencies for the Surgical Specialities</w:t>
      </w:r>
      <w:r w:rsidRPr="004D7281">
        <w:rPr>
          <w:rFonts w:ascii="Arial" w:eastAsia="Times New Roman" w:hAnsi="Arial" w:cs="Arial"/>
          <w:color w:val="000000"/>
          <w:kern w:val="0"/>
          <w:sz w:val="20"/>
          <w:szCs w:val="20"/>
          <w:lang w:eastAsia="es-PE"/>
          <w14:ligatures w14:val="none"/>
        </w:rPr>
        <w:t>”</w:t>
      </w:r>
      <w:r w:rsidR="00F374A2" w:rsidRPr="004D7281">
        <w:rPr>
          <w:rFonts w:ascii="Arial" w:eastAsia="Times New Roman" w:hAnsi="Arial" w:cs="Arial"/>
          <w:color w:val="000000"/>
          <w:kern w:val="0"/>
          <w:sz w:val="20"/>
          <w:szCs w:val="20"/>
          <w:lang w:eastAsia="es-PE"/>
          <w14:ligatures w14:val="none"/>
        </w:rPr>
        <w:t xml:space="preserve"> (17)</w:t>
      </w:r>
      <w:r w:rsidRPr="004D7281">
        <w:rPr>
          <w:rFonts w:ascii="Arial" w:eastAsia="Times New Roman" w:hAnsi="Arial" w:cs="Arial"/>
          <w:color w:val="000000"/>
          <w:kern w:val="0"/>
          <w:sz w:val="20"/>
          <w:szCs w:val="20"/>
          <w:lang w:eastAsia="es-PE"/>
          <w14:ligatures w14:val="none"/>
        </w:rPr>
        <w:t xml:space="preserve">, originalmente publicada en inglés </w:t>
      </w:r>
      <w:r w:rsidR="00EA0F22" w:rsidRPr="004D7281">
        <w:rPr>
          <w:rFonts w:ascii="Arial" w:eastAsia="Times New Roman" w:hAnsi="Arial" w:cs="Arial"/>
          <w:color w:val="000000"/>
          <w:kern w:val="0"/>
          <w:sz w:val="20"/>
          <w:szCs w:val="20"/>
          <w:lang w:eastAsia="es-PE"/>
          <w14:ligatures w14:val="none"/>
        </w:rPr>
        <w:t xml:space="preserve">en </w:t>
      </w:r>
      <w:r w:rsidR="00EA0F22" w:rsidRPr="004D7281">
        <w:rPr>
          <w:rFonts w:ascii="Arial" w:eastAsia="Times New Roman" w:hAnsi="Arial" w:cs="Arial"/>
          <w:i/>
          <w:iCs/>
          <w:color w:val="000000"/>
          <w:kern w:val="0"/>
          <w:sz w:val="20"/>
          <w:szCs w:val="20"/>
          <w:lang w:eastAsia="es-PE"/>
          <w14:ligatures w14:val="none"/>
        </w:rPr>
        <w:t>Journal</w:t>
      </w:r>
      <w:r w:rsidRPr="004D7281">
        <w:rPr>
          <w:rFonts w:ascii="Arial" w:eastAsia="Times New Roman" w:hAnsi="Arial" w:cs="Arial"/>
          <w:i/>
          <w:iCs/>
          <w:color w:val="000000"/>
          <w:kern w:val="0"/>
          <w:sz w:val="20"/>
          <w:szCs w:val="20"/>
          <w:lang w:eastAsia="es-PE"/>
          <w14:ligatures w14:val="none"/>
        </w:rPr>
        <w:t xml:space="preserve"> of the American College of Surgeon</w:t>
      </w:r>
      <w:r w:rsidRPr="004D7281">
        <w:rPr>
          <w:rFonts w:ascii="Arial" w:eastAsia="Times New Roman" w:hAnsi="Arial" w:cs="Arial"/>
          <w:color w:val="000000"/>
          <w:kern w:val="0"/>
          <w:sz w:val="20"/>
          <w:szCs w:val="20"/>
          <w:lang w:eastAsia="es-PE"/>
          <w14:ligatures w14:val="none"/>
        </w:rPr>
        <w:t>, está dividida en preoperatorio, intraoperatorio y postoperatorio, donde cada una de estas variables presentan competencias a las cuales los cirujanos se deberían ceñir. </w:t>
      </w:r>
    </w:p>
    <w:p w14:paraId="2F7FB503" w14:textId="77777777" w:rsidR="006B3118" w:rsidRPr="004D7281" w:rsidRDefault="006B3118" w:rsidP="006B3118">
      <w:pPr>
        <w:spacing w:after="0" w:line="240" w:lineRule="auto"/>
        <w:rPr>
          <w:rFonts w:ascii="Arial" w:eastAsia="Times New Roman" w:hAnsi="Arial" w:cs="Arial"/>
          <w:kern w:val="0"/>
          <w:sz w:val="20"/>
          <w:szCs w:val="20"/>
          <w:lang w:eastAsia="es-PE"/>
          <w14:ligatures w14:val="none"/>
        </w:rPr>
      </w:pPr>
    </w:p>
    <w:p w14:paraId="514FF99F" w14:textId="395DEC6B" w:rsidR="006B3118" w:rsidRPr="004D7281" w:rsidRDefault="006B3118" w:rsidP="006B3118">
      <w:pPr>
        <w:spacing w:after="0" w:line="480" w:lineRule="auto"/>
        <w:jc w:val="both"/>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lastRenderedPageBreak/>
        <w:t xml:space="preserve">El preoperatorio propone diferentes competencias, </w:t>
      </w:r>
      <w:r w:rsidR="00EA0F22" w:rsidRPr="004D7281">
        <w:rPr>
          <w:rFonts w:ascii="Arial" w:eastAsia="Times New Roman" w:hAnsi="Arial" w:cs="Arial"/>
          <w:color w:val="000000"/>
          <w:kern w:val="0"/>
          <w:sz w:val="20"/>
          <w:szCs w:val="20"/>
          <w:lang w:eastAsia="es-PE"/>
          <w14:ligatures w14:val="none"/>
        </w:rPr>
        <w:t>como,</w:t>
      </w:r>
      <w:r w:rsidRPr="004D7281">
        <w:rPr>
          <w:rFonts w:ascii="Arial" w:eastAsia="Times New Roman" w:hAnsi="Arial" w:cs="Arial"/>
          <w:color w:val="000000"/>
          <w:kern w:val="0"/>
          <w:sz w:val="20"/>
          <w:szCs w:val="20"/>
          <w:lang w:eastAsia="es-PE"/>
          <w14:ligatures w14:val="none"/>
        </w:rPr>
        <w:t xml:space="preserve"> por ejemplo: Presentación atípica de enfermedad, Manejo de medicamentos, Desórdenes cognitivos y de comportamiento, Enfermedades crónicas/ complejas, </w:t>
      </w:r>
      <w:r w:rsidR="00BD07CB" w:rsidRPr="004D7281">
        <w:rPr>
          <w:rFonts w:ascii="Arial" w:eastAsia="Times New Roman" w:hAnsi="Arial" w:cs="Arial"/>
          <w:color w:val="000000"/>
          <w:kern w:val="0"/>
          <w:sz w:val="20"/>
          <w:szCs w:val="20"/>
          <w:lang w:eastAsia="es-PE"/>
          <w14:ligatures w14:val="none"/>
        </w:rPr>
        <w:t>Consentimiento y rechazo informados</w:t>
      </w:r>
      <w:r w:rsidRPr="004D7281">
        <w:rPr>
          <w:rFonts w:ascii="Arial" w:eastAsia="Times New Roman" w:hAnsi="Arial" w:cs="Arial"/>
          <w:color w:val="000000"/>
          <w:kern w:val="0"/>
          <w:sz w:val="20"/>
          <w:szCs w:val="20"/>
          <w:lang w:eastAsia="es-PE"/>
          <w14:ligatures w14:val="none"/>
        </w:rPr>
        <w:t>. En el intraoperatorio: Administración de medicamentos, Seguridad del paciente, Enfermedades complejas/ crónicas, Directivas avanzadas/ cuidados paliativos/ fin de la vida, Transiciones de cuidado. Finalmente, en el postoperatorio: Desórdenes cognitivos y de comportamiento, Enfermedades crónicas/ complejas, Seguridad del paciente, Cuidados paliativos/ fin de la vida, Transiciones de cuidado. Los objetivos de esta investigación son validar la escala mediante la evaluación de expertos, así como traducirla y adaptarla al español.</w:t>
      </w:r>
    </w:p>
    <w:p w14:paraId="0428382F" w14:textId="77777777" w:rsidR="006B3118" w:rsidRPr="004D7281" w:rsidRDefault="006B3118" w:rsidP="006B3118">
      <w:pPr>
        <w:spacing w:after="0" w:line="240" w:lineRule="auto"/>
        <w:rPr>
          <w:rFonts w:ascii="Arial" w:eastAsia="Times New Roman" w:hAnsi="Arial" w:cs="Arial"/>
          <w:kern w:val="0"/>
          <w:sz w:val="20"/>
          <w:szCs w:val="20"/>
          <w:lang w:eastAsia="es-PE"/>
          <w14:ligatures w14:val="none"/>
        </w:rPr>
      </w:pPr>
    </w:p>
    <w:p w14:paraId="16001A60" w14:textId="196D6C8F" w:rsidR="006B3118" w:rsidRPr="004D7281" w:rsidRDefault="006B3118" w:rsidP="006B3118">
      <w:pPr>
        <w:spacing w:after="0" w:line="480" w:lineRule="auto"/>
        <w:jc w:val="both"/>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Este estudio incluyó</w:t>
      </w:r>
      <w:r w:rsidR="00C70F8F" w:rsidRPr="004D7281">
        <w:rPr>
          <w:rFonts w:ascii="Arial" w:eastAsia="Times New Roman" w:hAnsi="Arial" w:cs="Arial"/>
          <w:color w:val="000000"/>
          <w:kern w:val="0"/>
          <w:sz w:val="20"/>
          <w:szCs w:val="20"/>
          <w:lang w:eastAsia="es-PE"/>
          <w14:ligatures w14:val="none"/>
        </w:rPr>
        <w:t xml:space="preserve"> a</w:t>
      </w:r>
      <w:r w:rsidRPr="004D7281">
        <w:rPr>
          <w:rFonts w:ascii="Arial" w:eastAsia="Times New Roman" w:hAnsi="Arial" w:cs="Arial"/>
          <w:color w:val="000000"/>
          <w:kern w:val="0"/>
          <w:sz w:val="20"/>
          <w:szCs w:val="20"/>
          <w:lang w:eastAsia="es-PE"/>
          <w14:ligatures w14:val="none"/>
        </w:rPr>
        <w:t xml:space="preserve"> </w:t>
      </w:r>
      <w:r w:rsidR="00C70F8F" w:rsidRPr="004D7281">
        <w:rPr>
          <w:rFonts w:ascii="Arial" w:eastAsia="Times New Roman" w:hAnsi="Arial" w:cs="Arial"/>
          <w:color w:val="000000"/>
          <w:kern w:val="0"/>
          <w:sz w:val="20"/>
          <w:szCs w:val="20"/>
          <w:lang w:eastAsia="es-PE"/>
          <w14:ligatures w14:val="none"/>
        </w:rPr>
        <w:t xml:space="preserve">seis </w:t>
      </w:r>
      <w:r w:rsidRPr="004D7281">
        <w:rPr>
          <w:rFonts w:ascii="Arial" w:eastAsia="Times New Roman" w:hAnsi="Arial" w:cs="Arial"/>
          <w:color w:val="000000"/>
          <w:kern w:val="0"/>
          <w:sz w:val="20"/>
          <w:szCs w:val="20"/>
          <w:lang w:eastAsia="es-PE"/>
          <w14:ligatures w14:val="none"/>
        </w:rPr>
        <w:t xml:space="preserve">cirujanos generales, </w:t>
      </w:r>
      <w:r w:rsidR="00AF2E45" w:rsidRPr="004D7281">
        <w:rPr>
          <w:rFonts w:ascii="Arial" w:eastAsia="Times New Roman" w:hAnsi="Arial" w:cs="Arial"/>
          <w:color w:val="000000"/>
          <w:kern w:val="0"/>
          <w:sz w:val="20"/>
          <w:szCs w:val="20"/>
          <w:lang w:eastAsia="es-PE"/>
          <w14:ligatures w14:val="none"/>
        </w:rPr>
        <w:t xml:space="preserve">un </w:t>
      </w:r>
      <w:r w:rsidRPr="004D7281">
        <w:rPr>
          <w:rFonts w:ascii="Arial" w:eastAsia="Times New Roman" w:hAnsi="Arial" w:cs="Arial"/>
          <w:color w:val="000000"/>
          <w:kern w:val="0"/>
          <w:sz w:val="20"/>
          <w:szCs w:val="20"/>
          <w:lang w:eastAsia="es-PE"/>
          <w14:ligatures w14:val="none"/>
        </w:rPr>
        <w:t xml:space="preserve">residente de segundo año de cirugía, </w:t>
      </w:r>
      <w:r w:rsidR="00AF2E45" w:rsidRPr="004D7281">
        <w:rPr>
          <w:rFonts w:ascii="Arial" w:eastAsia="Times New Roman" w:hAnsi="Arial" w:cs="Arial"/>
          <w:color w:val="000000"/>
          <w:kern w:val="0"/>
          <w:sz w:val="20"/>
          <w:szCs w:val="20"/>
          <w:lang w:eastAsia="es-PE"/>
          <w14:ligatures w14:val="none"/>
        </w:rPr>
        <w:t xml:space="preserve">seis </w:t>
      </w:r>
      <w:r w:rsidRPr="004D7281">
        <w:rPr>
          <w:rFonts w:ascii="Arial" w:eastAsia="Times New Roman" w:hAnsi="Arial" w:cs="Arial"/>
          <w:color w:val="000000"/>
          <w:kern w:val="0"/>
          <w:sz w:val="20"/>
          <w:szCs w:val="20"/>
          <w:lang w:eastAsia="es-PE"/>
          <w14:ligatures w14:val="none"/>
        </w:rPr>
        <w:t xml:space="preserve">geriatras y </w:t>
      </w:r>
      <w:r w:rsidR="00AF2E45" w:rsidRPr="004D7281">
        <w:rPr>
          <w:rFonts w:ascii="Arial" w:eastAsia="Times New Roman" w:hAnsi="Arial" w:cs="Arial"/>
          <w:color w:val="000000"/>
          <w:kern w:val="0"/>
          <w:sz w:val="20"/>
          <w:szCs w:val="20"/>
          <w:lang w:eastAsia="es-PE"/>
          <w14:ligatures w14:val="none"/>
        </w:rPr>
        <w:t xml:space="preserve">un </w:t>
      </w:r>
      <w:r w:rsidRPr="004D7281">
        <w:rPr>
          <w:rFonts w:ascii="Arial" w:eastAsia="Times New Roman" w:hAnsi="Arial" w:cs="Arial"/>
          <w:color w:val="000000"/>
          <w:kern w:val="0"/>
          <w:sz w:val="20"/>
          <w:szCs w:val="20"/>
          <w:lang w:eastAsia="es-PE"/>
          <w14:ligatures w14:val="none"/>
        </w:rPr>
        <w:t xml:space="preserve">residente de tercer año de geriatría, seleccionados por conveniencia. Se excluyeron aquellos que no habían ejercido durante al menos </w:t>
      </w:r>
      <w:r w:rsidR="00AF2E45" w:rsidRPr="004D7281">
        <w:rPr>
          <w:rFonts w:ascii="Arial" w:eastAsia="Times New Roman" w:hAnsi="Arial" w:cs="Arial"/>
          <w:color w:val="000000"/>
          <w:kern w:val="0"/>
          <w:sz w:val="20"/>
          <w:szCs w:val="20"/>
          <w:lang w:eastAsia="es-PE"/>
          <w14:ligatures w14:val="none"/>
        </w:rPr>
        <w:t xml:space="preserve">dos </w:t>
      </w:r>
      <w:r w:rsidRPr="004D7281">
        <w:rPr>
          <w:rFonts w:ascii="Arial" w:eastAsia="Times New Roman" w:hAnsi="Arial" w:cs="Arial"/>
          <w:color w:val="000000"/>
          <w:kern w:val="0"/>
          <w:sz w:val="20"/>
          <w:szCs w:val="20"/>
          <w:lang w:eastAsia="es-PE"/>
          <w14:ligatures w14:val="none"/>
        </w:rPr>
        <w:t>años, los que participaron en la traducción de la escala y los que anularon su consentimiento informado. </w:t>
      </w:r>
    </w:p>
    <w:p w14:paraId="1D008A4D" w14:textId="77777777" w:rsidR="006B3118" w:rsidRPr="004D7281" w:rsidRDefault="006B3118" w:rsidP="006B3118">
      <w:pPr>
        <w:spacing w:after="0" w:line="240" w:lineRule="auto"/>
        <w:rPr>
          <w:rFonts w:ascii="Arial" w:eastAsia="Times New Roman" w:hAnsi="Arial" w:cs="Arial"/>
          <w:kern w:val="0"/>
          <w:sz w:val="20"/>
          <w:szCs w:val="20"/>
          <w:lang w:eastAsia="es-PE"/>
          <w14:ligatures w14:val="none"/>
        </w:rPr>
      </w:pPr>
    </w:p>
    <w:p w14:paraId="38C67301" w14:textId="77777777" w:rsidR="006B3118" w:rsidRPr="004D7281" w:rsidRDefault="006B3118" w:rsidP="006B3118">
      <w:pPr>
        <w:spacing w:after="0" w:line="480" w:lineRule="auto"/>
        <w:jc w:val="both"/>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Esta escala fue traducida por cuatro investigadores, de habla nativa española. Seguidamente, se entregó a los cirujanos de forma presencial, junto con el consentimiento informado, para que evaluaran su relevancia, representatividad y claridad, y asignaran un puntaje a la traducción de cada ítem. Los ítems se ajustaron según los comentarios de los especialistas y se distribuyó nuevamente la escala para su validación.</w:t>
      </w:r>
    </w:p>
    <w:p w14:paraId="3036CEB2" w14:textId="77777777" w:rsidR="006B3118" w:rsidRPr="004D7281" w:rsidRDefault="006B3118" w:rsidP="006B3118">
      <w:pPr>
        <w:spacing w:after="240" w:line="240" w:lineRule="auto"/>
        <w:rPr>
          <w:rFonts w:ascii="Arial" w:eastAsia="Times New Roman" w:hAnsi="Arial" w:cs="Arial"/>
          <w:kern w:val="0"/>
          <w:sz w:val="20"/>
          <w:szCs w:val="20"/>
          <w:lang w:eastAsia="es-PE"/>
          <w14:ligatures w14:val="none"/>
        </w:rPr>
      </w:pPr>
    </w:p>
    <w:p w14:paraId="41A45AA1" w14:textId="77777777" w:rsidR="006B3118" w:rsidRPr="004D7281" w:rsidRDefault="006B3118" w:rsidP="006B3118">
      <w:pPr>
        <w:spacing w:after="0" w:line="480" w:lineRule="auto"/>
        <w:jc w:val="both"/>
        <w:rPr>
          <w:rFonts w:ascii="Arial" w:eastAsia="Times New Roman" w:hAnsi="Arial" w:cs="Arial"/>
          <w:kern w:val="0"/>
          <w:sz w:val="20"/>
          <w:szCs w:val="20"/>
          <w:lang w:eastAsia="es-PE"/>
          <w14:ligatures w14:val="none"/>
        </w:rPr>
      </w:pPr>
      <w:r w:rsidRPr="004D7281">
        <w:rPr>
          <w:rFonts w:ascii="Arial" w:eastAsia="Times New Roman" w:hAnsi="Arial" w:cs="Arial"/>
          <w:i/>
          <w:iCs/>
          <w:color w:val="000000"/>
          <w:kern w:val="0"/>
          <w:sz w:val="20"/>
          <w:szCs w:val="20"/>
          <w:lang w:eastAsia="es-PE"/>
          <w14:ligatures w14:val="none"/>
        </w:rPr>
        <w:t>Análisis estadístico</w:t>
      </w:r>
    </w:p>
    <w:p w14:paraId="5935B5C4" w14:textId="77777777" w:rsidR="006B3118" w:rsidRPr="004D7281" w:rsidRDefault="006B3118" w:rsidP="006B3118">
      <w:pPr>
        <w:spacing w:after="0" w:line="480" w:lineRule="auto"/>
        <w:jc w:val="both"/>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Una vez se obtuvieron los resultados, se describieron las variables según frecuencia y porcentaje, se calculó el promedio, la desviación estándar y el alfa de Cronbach; para después analizar y discutir los resultados. </w:t>
      </w:r>
    </w:p>
    <w:p w14:paraId="7C8B13E4" w14:textId="77777777" w:rsidR="006B3118" w:rsidRPr="004D7281" w:rsidRDefault="006B3118" w:rsidP="006B3118">
      <w:pPr>
        <w:spacing w:after="0" w:line="240" w:lineRule="auto"/>
        <w:rPr>
          <w:rFonts w:ascii="Arial" w:eastAsia="Times New Roman" w:hAnsi="Arial" w:cs="Arial"/>
          <w:kern w:val="0"/>
          <w:sz w:val="20"/>
          <w:szCs w:val="20"/>
          <w:lang w:eastAsia="es-PE"/>
          <w14:ligatures w14:val="none"/>
        </w:rPr>
      </w:pPr>
    </w:p>
    <w:p w14:paraId="7E86FD0C" w14:textId="77777777" w:rsidR="006B3118" w:rsidRPr="004D7281" w:rsidRDefault="006B3118" w:rsidP="006B3118">
      <w:pPr>
        <w:spacing w:after="0" w:line="480" w:lineRule="auto"/>
        <w:rPr>
          <w:rFonts w:ascii="Arial" w:eastAsia="Times New Roman" w:hAnsi="Arial" w:cs="Arial"/>
          <w:kern w:val="0"/>
          <w:sz w:val="20"/>
          <w:szCs w:val="20"/>
          <w:lang w:eastAsia="es-PE"/>
          <w14:ligatures w14:val="none"/>
        </w:rPr>
      </w:pPr>
      <w:r w:rsidRPr="004D7281">
        <w:rPr>
          <w:rFonts w:ascii="Arial" w:eastAsia="Times New Roman" w:hAnsi="Arial" w:cs="Arial"/>
          <w:i/>
          <w:iCs/>
          <w:color w:val="000000"/>
          <w:kern w:val="0"/>
          <w:sz w:val="20"/>
          <w:szCs w:val="20"/>
          <w:lang w:eastAsia="es-PE"/>
          <w14:ligatures w14:val="none"/>
        </w:rPr>
        <w:t>Aspectos éticos</w:t>
      </w:r>
    </w:p>
    <w:p w14:paraId="1BA6B2DE" w14:textId="77777777" w:rsidR="006B3118" w:rsidRDefault="006B3118" w:rsidP="006B3118">
      <w:pPr>
        <w:spacing w:after="0" w:line="480" w:lineRule="auto"/>
        <w:rPr>
          <w:rFonts w:ascii="Arial" w:eastAsia="Times New Roman" w:hAnsi="Arial" w:cs="Arial"/>
          <w:color w:val="000000"/>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El estudió tuvo la aprobación del Comité de Ética de investigación de la UCSUR (código 028-2023-PREB15)</w:t>
      </w:r>
    </w:p>
    <w:p w14:paraId="449AE4B1" w14:textId="77777777" w:rsidR="00767826" w:rsidRDefault="00767826" w:rsidP="006B3118">
      <w:pPr>
        <w:spacing w:after="0" w:line="480" w:lineRule="auto"/>
        <w:rPr>
          <w:rFonts w:ascii="Arial" w:eastAsia="Times New Roman" w:hAnsi="Arial" w:cs="Arial"/>
          <w:color w:val="000000"/>
          <w:kern w:val="0"/>
          <w:sz w:val="20"/>
          <w:szCs w:val="20"/>
          <w:lang w:eastAsia="es-PE"/>
          <w14:ligatures w14:val="none"/>
        </w:rPr>
      </w:pPr>
    </w:p>
    <w:p w14:paraId="226653B6" w14:textId="77777777" w:rsidR="00767826" w:rsidRPr="004D7281" w:rsidRDefault="00767826" w:rsidP="006B3118">
      <w:pPr>
        <w:spacing w:after="0" w:line="480" w:lineRule="auto"/>
        <w:rPr>
          <w:rFonts w:ascii="Arial" w:eastAsia="Times New Roman" w:hAnsi="Arial" w:cs="Arial"/>
          <w:kern w:val="0"/>
          <w:sz w:val="20"/>
          <w:szCs w:val="20"/>
          <w:lang w:eastAsia="es-PE"/>
          <w14:ligatures w14:val="none"/>
        </w:rPr>
      </w:pPr>
    </w:p>
    <w:p w14:paraId="6528ABB7" w14:textId="77777777" w:rsidR="006B3118" w:rsidRPr="004D7281" w:rsidRDefault="006B3118" w:rsidP="006B3118">
      <w:pPr>
        <w:spacing w:after="0" w:line="240" w:lineRule="auto"/>
        <w:rPr>
          <w:rFonts w:ascii="Arial" w:eastAsia="Times New Roman" w:hAnsi="Arial" w:cs="Arial"/>
          <w:kern w:val="0"/>
          <w:sz w:val="20"/>
          <w:szCs w:val="20"/>
          <w:lang w:eastAsia="es-PE"/>
          <w14:ligatures w14:val="none"/>
        </w:rPr>
      </w:pPr>
    </w:p>
    <w:p w14:paraId="53C6585B" w14:textId="4740455B" w:rsidR="007338EA" w:rsidRPr="009C3D73" w:rsidRDefault="009C3D73" w:rsidP="007338EA">
      <w:pPr>
        <w:spacing w:after="0" w:line="480" w:lineRule="auto"/>
        <w:rPr>
          <w:rFonts w:ascii="Arial" w:eastAsia="Times New Roman" w:hAnsi="Arial" w:cs="Arial"/>
          <w:i/>
          <w:iCs/>
          <w:kern w:val="0"/>
          <w:sz w:val="20"/>
          <w:szCs w:val="20"/>
          <w:lang w:eastAsia="es-PE"/>
          <w14:ligatures w14:val="none"/>
        </w:rPr>
      </w:pPr>
      <w:r w:rsidRPr="009C3D73">
        <w:rPr>
          <w:rFonts w:ascii="Arial" w:eastAsia="Times New Roman" w:hAnsi="Arial" w:cs="Arial"/>
          <w:i/>
          <w:iCs/>
          <w:color w:val="000000"/>
          <w:kern w:val="0"/>
          <w:sz w:val="20"/>
          <w:szCs w:val="20"/>
          <w:lang w:eastAsia="es-PE"/>
          <w14:ligatures w14:val="none"/>
        </w:rPr>
        <w:lastRenderedPageBreak/>
        <w:t>Hallazgos</w:t>
      </w:r>
    </w:p>
    <w:p w14:paraId="7B387D5C" w14:textId="77777777" w:rsidR="007338EA" w:rsidRPr="004D7281" w:rsidRDefault="007338EA" w:rsidP="007338EA">
      <w:pPr>
        <w:spacing w:after="0" w:line="480" w:lineRule="auto"/>
        <w:rPr>
          <w:rFonts w:ascii="Arial" w:eastAsia="Times New Roman" w:hAnsi="Arial" w:cs="Arial"/>
          <w:kern w:val="0"/>
          <w:sz w:val="20"/>
          <w:szCs w:val="20"/>
          <w:lang w:eastAsia="es-PE"/>
          <w14:ligatures w14:val="none"/>
        </w:rPr>
      </w:pPr>
      <w:r w:rsidRPr="004D7281">
        <w:rPr>
          <w:rFonts w:ascii="Arial" w:eastAsia="Times New Roman" w:hAnsi="Arial" w:cs="Arial"/>
          <w:b/>
          <w:bCs/>
          <w:i/>
          <w:iCs/>
          <w:color w:val="000000"/>
          <w:kern w:val="0"/>
          <w:sz w:val="20"/>
          <w:szCs w:val="20"/>
          <w:lang w:eastAsia="es-PE"/>
          <w14:ligatures w14:val="none"/>
        </w:rPr>
        <w:t>Tabla 1: Características de la muestra</w:t>
      </w:r>
    </w:p>
    <w:tbl>
      <w:tblPr>
        <w:tblW w:w="9071" w:type="dxa"/>
        <w:tblCellMar>
          <w:top w:w="15" w:type="dxa"/>
          <w:left w:w="15" w:type="dxa"/>
          <w:bottom w:w="15" w:type="dxa"/>
          <w:right w:w="15" w:type="dxa"/>
        </w:tblCellMar>
        <w:tblLook w:val="04A0" w:firstRow="1" w:lastRow="0" w:firstColumn="1" w:lastColumn="0" w:noHBand="0" w:noVBand="1"/>
      </w:tblPr>
      <w:tblGrid>
        <w:gridCol w:w="4777"/>
        <w:gridCol w:w="1454"/>
        <w:gridCol w:w="1440"/>
        <w:gridCol w:w="1400"/>
      </w:tblGrid>
      <w:tr w:rsidR="007338EA" w:rsidRPr="004D7281" w14:paraId="393CEEA4" w14:textId="77777777" w:rsidTr="00062349">
        <w:trPr>
          <w:trHeight w:val="42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12E3E9D"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624E12E"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Variable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FDF7ADF"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Frecuencia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B79C30E"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Porcentaje</w:t>
            </w:r>
          </w:p>
        </w:tc>
      </w:tr>
      <w:tr w:rsidR="007338EA" w:rsidRPr="004D7281" w14:paraId="033F9F41" w14:textId="77777777" w:rsidTr="00062349">
        <w:trPr>
          <w:trHeight w:val="420"/>
        </w:trPr>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19BDB79"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Cirujanos</w:t>
            </w:r>
          </w:p>
        </w:tc>
      </w:tr>
      <w:tr w:rsidR="007338EA" w:rsidRPr="004D7281" w14:paraId="1F4399C2" w14:textId="77777777" w:rsidTr="00062349">
        <w:trPr>
          <w:trHeight w:val="42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ACD427A"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Sexo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F7C0F32"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Femenino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55FEFF2"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C84D747"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15%</w:t>
            </w:r>
          </w:p>
        </w:tc>
      </w:tr>
      <w:tr w:rsidR="007338EA" w:rsidRPr="004D7281" w14:paraId="11212695" w14:textId="77777777" w:rsidTr="00062349">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F6E6E94"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A95326E"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Masculino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8BC79CE"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199B77D"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85%</w:t>
            </w:r>
          </w:p>
        </w:tc>
      </w:tr>
      <w:tr w:rsidR="007338EA" w:rsidRPr="004D7281" w14:paraId="1376A21E" w14:textId="77777777" w:rsidTr="00062349">
        <w:trPr>
          <w:trHeight w:val="42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FD1D262"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Edad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F80D28A"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30-40 años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C19E946"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917070F"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29%</w:t>
            </w:r>
          </w:p>
        </w:tc>
      </w:tr>
      <w:tr w:rsidR="007338EA" w:rsidRPr="004D7281" w14:paraId="438ED13A" w14:textId="77777777" w:rsidTr="00062349">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936204E"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C822E26"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40-50 años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9312B2A"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E51CF6A"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42%</w:t>
            </w:r>
          </w:p>
        </w:tc>
      </w:tr>
      <w:tr w:rsidR="007338EA" w:rsidRPr="004D7281" w14:paraId="775DD602" w14:textId="77777777" w:rsidTr="00062349">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8FD6EFE"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D97E6B6"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50-60 años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77A7ED4"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1605305"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29%</w:t>
            </w:r>
          </w:p>
        </w:tc>
      </w:tr>
      <w:tr w:rsidR="007338EA" w:rsidRPr="004D7281" w14:paraId="6FF77D12" w14:textId="77777777" w:rsidTr="00062349">
        <w:trPr>
          <w:trHeight w:val="42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5E7F9D8"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Años de experiencia académico- científica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F68BBB3"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&lt;10 años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FF5688A"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4B85DE9"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29%</w:t>
            </w:r>
          </w:p>
        </w:tc>
      </w:tr>
      <w:tr w:rsidR="007338EA" w:rsidRPr="004D7281" w14:paraId="0B8A147F" w14:textId="77777777" w:rsidTr="00062349">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4861C0C"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7EE9941"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&gt;10 años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77A227E"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389E103"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71%</w:t>
            </w:r>
          </w:p>
        </w:tc>
      </w:tr>
      <w:tr w:rsidR="007338EA" w:rsidRPr="004D7281" w14:paraId="19E56154" w14:textId="77777777" w:rsidTr="00062349">
        <w:trPr>
          <w:trHeight w:val="420"/>
        </w:trPr>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B410EE6"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Geriatras</w:t>
            </w:r>
          </w:p>
        </w:tc>
      </w:tr>
      <w:tr w:rsidR="007338EA" w:rsidRPr="004D7281" w14:paraId="51F5AE3C" w14:textId="77777777" w:rsidTr="00062349">
        <w:trPr>
          <w:trHeight w:val="42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FD389D8"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Sexo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15BCB08"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Femenino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988C825"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F733645"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43%</w:t>
            </w:r>
          </w:p>
        </w:tc>
      </w:tr>
      <w:tr w:rsidR="007338EA" w:rsidRPr="004D7281" w14:paraId="7D64EE93" w14:textId="77777777" w:rsidTr="00062349">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92A2457"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0C0F0B4"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Masculino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4DEEDBA"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752C539"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57%</w:t>
            </w:r>
          </w:p>
        </w:tc>
      </w:tr>
      <w:tr w:rsidR="007338EA" w:rsidRPr="004D7281" w14:paraId="3F741985" w14:textId="77777777" w:rsidTr="00062349">
        <w:trPr>
          <w:trHeight w:val="42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4217990"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Edad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3413C0A"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30-40 años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8A92459"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BE44692"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29%</w:t>
            </w:r>
          </w:p>
        </w:tc>
      </w:tr>
      <w:tr w:rsidR="007338EA" w:rsidRPr="004D7281" w14:paraId="59F58106" w14:textId="77777777" w:rsidTr="00062349">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403CBEC"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0B2F6F4"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40-50 años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CB8966D"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06FBEC0"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42%</w:t>
            </w:r>
          </w:p>
        </w:tc>
      </w:tr>
      <w:tr w:rsidR="007338EA" w:rsidRPr="004D7281" w14:paraId="64AF8A7A" w14:textId="77777777" w:rsidTr="00062349">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A63A2A4"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B633C41"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50-60 años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90B58D0"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35AFD2D"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29%</w:t>
            </w:r>
          </w:p>
        </w:tc>
      </w:tr>
      <w:tr w:rsidR="007338EA" w:rsidRPr="004D7281" w14:paraId="06DE36D8" w14:textId="77777777" w:rsidTr="00062349">
        <w:trPr>
          <w:trHeight w:val="42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D605013"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Años de experiencia académico-científica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2ECB601"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&lt;10 años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E0F1AAE"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47F68A4"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43%</w:t>
            </w:r>
          </w:p>
        </w:tc>
      </w:tr>
      <w:tr w:rsidR="007338EA" w:rsidRPr="004D7281" w14:paraId="419EF449" w14:textId="77777777" w:rsidTr="00062349">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5EAB917"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8CB58CE"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&gt;10 años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C1AD28B"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C0BF411"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57%</w:t>
            </w:r>
          </w:p>
        </w:tc>
      </w:tr>
    </w:tbl>
    <w:p w14:paraId="0A0E72A2" w14:textId="77777777" w:rsidR="007338EA" w:rsidRDefault="007338EA" w:rsidP="007338EA">
      <w:pPr>
        <w:spacing w:after="0" w:line="240" w:lineRule="auto"/>
        <w:rPr>
          <w:rFonts w:ascii="Arial" w:eastAsia="Times New Roman" w:hAnsi="Arial" w:cs="Arial"/>
          <w:kern w:val="0"/>
          <w:sz w:val="20"/>
          <w:szCs w:val="20"/>
          <w:lang w:eastAsia="es-PE"/>
          <w14:ligatures w14:val="none"/>
        </w:rPr>
      </w:pPr>
    </w:p>
    <w:p w14:paraId="6661E92B" w14:textId="77777777" w:rsidR="00767826" w:rsidRDefault="00767826" w:rsidP="007338EA">
      <w:pPr>
        <w:spacing w:after="0" w:line="240" w:lineRule="auto"/>
        <w:rPr>
          <w:rFonts w:ascii="Arial" w:eastAsia="Times New Roman" w:hAnsi="Arial" w:cs="Arial"/>
          <w:kern w:val="0"/>
          <w:sz w:val="20"/>
          <w:szCs w:val="20"/>
          <w:lang w:eastAsia="es-PE"/>
          <w14:ligatures w14:val="none"/>
        </w:rPr>
      </w:pPr>
    </w:p>
    <w:p w14:paraId="532A3964" w14:textId="77777777" w:rsidR="00767826" w:rsidRDefault="00767826" w:rsidP="007338EA">
      <w:pPr>
        <w:spacing w:after="0" w:line="240" w:lineRule="auto"/>
        <w:rPr>
          <w:rFonts w:ascii="Arial" w:eastAsia="Times New Roman" w:hAnsi="Arial" w:cs="Arial"/>
          <w:kern w:val="0"/>
          <w:sz w:val="20"/>
          <w:szCs w:val="20"/>
          <w:lang w:eastAsia="es-PE"/>
          <w14:ligatures w14:val="none"/>
        </w:rPr>
      </w:pPr>
    </w:p>
    <w:p w14:paraId="13CE3234" w14:textId="77777777" w:rsidR="00767826" w:rsidRDefault="00767826" w:rsidP="007338EA">
      <w:pPr>
        <w:spacing w:after="0" w:line="240" w:lineRule="auto"/>
        <w:rPr>
          <w:rFonts w:ascii="Arial" w:eastAsia="Times New Roman" w:hAnsi="Arial" w:cs="Arial"/>
          <w:kern w:val="0"/>
          <w:sz w:val="20"/>
          <w:szCs w:val="20"/>
          <w:lang w:eastAsia="es-PE"/>
          <w14:ligatures w14:val="none"/>
        </w:rPr>
      </w:pPr>
    </w:p>
    <w:p w14:paraId="13380281" w14:textId="77777777" w:rsidR="00767826" w:rsidRDefault="00767826" w:rsidP="007338EA">
      <w:pPr>
        <w:spacing w:after="0" w:line="240" w:lineRule="auto"/>
        <w:rPr>
          <w:rFonts w:ascii="Arial" w:eastAsia="Times New Roman" w:hAnsi="Arial" w:cs="Arial"/>
          <w:kern w:val="0"/>
          <w:sz w:val="20"/>
          <w:szCs w:val="20"/>
          <w:lang w:eastAsia="es-PE"/>
          <w14:ligatures w14:val="none"/>
        </w:rPr>
      </w:pPr>
    </w:p>
    <w:p w14:paraId="24F03A53" w14:textId="77777777" w:rsidR="00767826" w:rsidRDefault="00767826" w:rsidP="007338EA">
      <w:pPr>
        <w:spacing w:after="0" w:line="240" w:lineRule="auto"/>
        <w:rPr>
          <w:rFonts w:ascii="Arial" w:eastAsia="Times New Roman" w:hAnsi="Arial" w:cs="Arial"/>
          <w:kern w:val="0"/>
          <w:sz w:val="20"/>
          <w:szCs w:val="20"/>
          <w:lang w:eastAsia="es-PE"/>
          <w14:ligatures w14:val="none"/>
        </w:rPr>
      </w:pPr>
    </w:p>
    <w:p w14:paraId="50EDC764" w14:textId="77777777" w:rsidR="00767826" w:rsidRDefault="00767826" w:rsidP="007338EA">
      <w:pPr>
        <w:spacing w:after="0" w:line="240" w:lineRule="auto"/>
        <w:rPr>
          <w:rFonts w:ascii="Arial" w:eastAsia="Times New Roman" w:hAnsi="Arial" w:cs="Arial"/>
          <w:kern w:val="0"/>
          <w:sz w:val="20"/>
          <w:szCs w:val="20"/>
          <w:lang w:eastAsia="es-PE"/>
          <w14:ligatures w14:val="none"/>
        </w:rPr>
      </w:pPr>
    </w:p>
    <w:p w14:paraId="26C99233" w14:textId="77777777" w:rsidR="00767826" w:rsidRDefault="00767826" w:rsidP="007338EA">
      <w:pPr>
        <w:spacing w:after="0" w:line="240" w:lineRule="auto"/>
        <w:rPr>
          <w:rFonts w:ascii="Arial" w:eastAsia="Times New Roman" w:hAnsi="Arial" w:cs="Arial"/>
          <w:kern w:val="0"/>
          <w:sz w:val="20"/>
          <w:szCs w:val="20"/>
          <w:lang w:eastAsia="es-PE"/>
          <w14:ligatures w14:val="none"/>
        </w:rPr>
      </w:pPr>
    </w:p>
    <w:p w14:paraId="2B299F8B" w14:textId="77777777" w:rsidR="00767826" w:rsidRPr="004D7281" w:rsidRDefault="00767826" w:rsidP="007338EA">
      <w:pPr>
        <w:spacing w:after="0" w:line="240" w:lineRule="auto"/>
        <w:rPr>
          <w:rFonts w:ascii="Arial" w:eastAsia="Times New Roman" w:hAnsi="Arial" w:cs="Arial"/>
          <w:kern w:val="0"/>
          <w:sz w:val="20"/>
          <w:szCs w:val="20"/>
          <w:lang w:eastAsia="es-PE"/>
          <w14:ligatures w14:val="none"/>
        </w:rPr>
      </w:pPr>
    </w:p>
    <w:p w14:paraId="675069B8" w14:textId="728FB4FB" w:rsidR="007338EA" w:rsidRPr="004D7281" w:rsidRDefault="007338EA" w:rsidP="007338EA">
      <w:pPr>
        <w:spacing w:after="0" w:line="480" w:lineRule="auto"/>
        <w:rPr>
          <w:rFonts w:ascii="Arial" w:eastAsia="Times New Roman" w:hAnsi="Arial" w:cs="Arial"/>
          <w:kern w:val="0"/>
          <w:sz w:val="20"/>
          <w:szCs w:val="20"/>
          <w:lang w:eastAsia="es-PE"/>
          <w14:ligatures w14:val="none"/>
        </w:rPr>
      </w:pPr>
      <w:r w:rsidRPr="004D7281">
        <w:rPr>
          <w:rFonts w:ascii="Arial" w:eastAsia="Times New Roman" w:hAnsi="Arial" w:cs="Arial"/>
          <w:b/>
          <w:bCs/>
          <w:i/>
          <w:iCs/>
          <w:color w:val="000000"/>
          <w:kern w:val="0"/>
          <w:sz w:val="20"/>
          <w:szCs w:val="20"/>
          <w:lang w:eastAsia="es-PE"/>
          <w14:ligatures w14:val="none"/>
        </w:rPr>
        <w:lastRenderedPageBreak/>
        <w:t xml:space="preserve">Tabla 2: Propiedades psicométricas de la escala </w:t>
      </w:r>
      <w:r w:rsidR="0048578A" w:rsidRPr="004D7281">
        <w:rPr>
          <w:rFonts w:ascii="Arial" w:eastAsia="Times New Roman" w:hAnsi="Arial" w:cs="Arial"/>
          <w:b/>
          <w:bCs/>
          <w:i/>
          <w:iCs/>
          <w:color w:val="000000"/>
          <w:kern w:val="0"/>
          <w:sz w:val="20"/>
          <w:szCs w:val="20"/>
          <w:lang w:eastAsia="es-PE"/>
          <w14:ligatures w14:val="none"/>
        </w:rPr>
        <w:t>–</w:t>
      </w:r>
      <w:r w:rsidRPr="004D7281">
        <w:rPr>
          <w:rFonts w:ascii="Arial" w:eastAsia="Times New Roman" w:hAnsi="Arial" w:cs="Arial"/>
          <w:b/>
          <w:bCs/>
          <w:i/>
          <w:iCs/>
          <w:color w:val="000000"/>
          <w:kern w:val="0"/>
          <w:sz w:val="20"/>
          <w:szCs w:val="20"/>
          <w:lang w:eastAsia="es-PE"/>
          <w14:ligatures w14:val="none"/>
        </w:rPr>
        <w:t xml:space="preserve"> Cirujanos</w:t>
      </w:r>
      <w:r w:rsidR="0048578A" w:rsidRPr="004D7281">
        <w:rPr>
          <w:rFonts w:ascii="Arial" w:eastAsia="Times New Roman" w:hAnsi="Arial" w:cs="Arial"/>
          <w:b/>
          <w:bCs/>
          <w:i/>
          <w:iCs/>
          <w:color w:val="000000"/>
          <w:kern w:val="0"/>
          <w:sz w:val="20"/>
          <w:szCs w:val="20"/>
          <w:lang w:eastAsia="es-PE"/>
          <w14:ligatures w14:val="none"/>
        </w:rPr>
        <w:t xml:space="preserve"> y geriatras</w:t>
      </w:r>
    </w:p>
    <w:tbl>
      <w:tblPr>
        <w:tblW w:w="9071" w:type="dxa"/>
        <w:tblCellMar>
          <w:top w:w="15" w:type="dxa"/>
          <w:left w:w="15" w:type="dxa"/>
          <w:bottom w:w="15" w:type="dxa"/>
          <w:right w:w="15" w:type="dxa"/>
        </w:tblCellMar>
        <w:tblLook w:val="04A0" w:firstRow="1" w:lastRow="0" w:firstColumn="1" w:lastColumn="0" w:noHBand="0" w:noVBand="1"/>
      </w:tblPr>
      <w:tblGrid>
        <w:gridCol w:w="3101"/>
        <w:gridCol w:w="2985"/>
        <w:gridCol w:w="2985"/>
      </w:tblGrid>
      <w:tr w:rsidR="0048578A" w:rsidRPr="004D7281" w14:paraId="16CF108F" w14:textId="77777777" w:rsidTr="00C41C02">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594C178" w14:textId="275FD13F" w:rsidR="0048578A" w:rsidRPr="004D7281" w:rsidRDefault="0048578A" w:rsidP="00062349">
            <w:pPr>
              <w:spacing w:after="0" w:line="240" w:lineRule="auto"/>
              <w:jc w:val="center"/>
              <w:rPr>
                <w:rFonts w:ascii="Arial" w:eastAsia="Times New Roman" w:hAnsi="Arial" w:cs="Arial"/>
                <w:b/>
                <w:bCs/>
                <w:color w:val="000000"/>
                <w:kern w:val="0"/>
                <w:sz w:val="20"/>
                <w:szCs w:val="20"/>
                <w:lang w:eastAsia="es-PE"/>
                <w14:ligatures w14:val="none"/>
              </w:rPr>
            </w:pPr>
            <w:r w:rsidRPr="004D7281">
              <w:rPr>
                <w:rFonts w:ascii="Arial" w:eastAsia="Times New Roman" w:hAnsi="Arial" w:cs="Arial"/>
                <w:b/>
                <w:bCs/>
                <w:color w:val="000000"/>
                <w:kern w:val="0"/>
                <w:sz w:val="20"/>
                <w:szCs w:val="20"/>
                <w:lang w:eastAsia="es-PE"/>
                <w14:ligatures w14:val="none"/>
              </w:rPr>
              <w:t>Cirujanos</w:t>
            </w:r>
          </w:p>
        </w:tc>
      </w:tr>
      <w:tr w:rsidR="007338EA" w:rsidRPr="004D7281" w14:paraId="431095D8" w14:textId="77777777" w:rsidTr="0006234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2F4B2E1"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07F1EF4"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Varianza del total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7D35FD7"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Alfa de Cronbach</w:t>
            </w:r>
          </w:p>
        </w:tc>
      </w:tr>
      <w:tr w:rsidR="007338EA" w:rsidRPr="004D7281" w14:paraId="23983E92" w14:textId="77777777" w:rsidTr="0006234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E515808"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Relevancia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1AB1F92"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450.12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CE6F6D5"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0.9875</w:t>
            </w:r>
          </w:p>
        </w:tc>
      </w:tr>
      <w:tr w:rsidR="007338EA" w:rsidRPr="004D7281" w14:paraId="1C07A91A" w14:textId="77777777" w:rsidTr="0006234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2A51DD0"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Representatividad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37585F0"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265.67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EA005B4"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0.9789</w:t>
            </w:r>
          </w:p>
        </w:tc>
      </w:tr>
      <w:tr w:rsidR="007338EA" w:rsidRPr="004D7281" w14:paraId="71618E97" w14:textId="77777777" w:rsidTr="0006234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CEF14B2"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Claridad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AF9F118"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267.96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1A2E615"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0.9832</w:t>
            </w:r>
          </w:p>
        </w:tc>
      </w:tr>
      <w:tr w:rsidR="0048578A" w:rsidRPr="004D7281" w14:paraId="67B4B612" w14:textId="77777777" w:rsidTr="005E5DB7">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82BDB6" w14:textId="5959C97D" w:rsidR="0048578A" w:rsidRPr="004D7281" w:rsidRDefault="0048578A" w:rsidP="00062349">
            <w:pPr>
              <w:spacing w:after="0" w:line="240" w:lineRule="auto"/>
              <w:jc w:val="center"/>
              <w:rPr>
                <w:rFonts w:ascii="Arial" w:eastAsia="Times New Roman" w:hAnsi="Arial" w:cs="Arial"/>
                <w:b/>
                <w:bCs/>
                <w:color w:val="000000"/>
                <w:kern w:val="0"/>
                <w:sz w:val="20"/>
                <w:szCs w:val="20"/>
                <w:lang w:eastAsia="es-PE"/>
                <w14:ligatures w14:val="none"/>
              </w:rPr>
            </w:pPr>
            <w:r w:rsidRPr="004D7281">
              <w:rPr>
                <w:rFonts w:ascii="Arial" w:eastAsia="Times New Roman" w:hAnsi="Arial" w:cs="Arial"/>
                <w:b/>
                <w:bCs/>
                <w:color w:val="000000"/>
                <w:kern w:val="0"/>
                <w:sz w:val="20"/>
                <w:szCs w:val="20"/>
                <w:lang w:eastAsia="es-PE"/>
                <w14:ligatures w14:val="none"/>
              </w:rPr>
              <w:t>Geriatras</w:t>
            </w:r>
          </w:p>
        </w:tc>
      </w:tr>
      <w:tr w:rsidR="0048578A" w:rsidRPr="004D7281" w14:paraId="682075C5" w14:textId="77777777" w:rsidTr="0006234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92F0BC" w14:textId="77777777" w:rsidR="0048578A" w:rsidRPr="004D7281" w:rsidRDefault="0048578A" w:rsidP="00062349">
            <w:pPr>
              <w:spacing w:after="0" w:line="240" w:lineRule="auto"/>
              <w:jc w:val="center"/>
              <w:rPr>
                <w:rFonts w:ascii="Arial" w:eastAsia="Times New Roman" w:hAnsi="Arial" w:cs="Arial"/>
                <w:color w:val="000000"/>
                <w:kern w:val="0"/>
                <w:sz w:val="20"/>
                <w:szCs w:val="20"/>
                <w:lang w:eastAsia="es-PE"/>
                <w14:ligatures w14:val="none"/>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2A0F79" w14:textId="64208F20" w:rsidR="0048578A" w:rsidRPr="004D7281" w:rsidRDefault="0048578A" w:rsidP="00062349">
            <w:pPr>
              <w:spacing w:after="0" w:line="240" w:lineRule="auto"/>
              <w:jc w:val="center"/>
              <w:rPr>
                <w:rFonts w:ascii="Arial" w:eastAsia="Times New Roman" w:hAnsi="Arial" w:cs="Arial"/>
                <w:color w:val="000000"/>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Varianza del total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A0711F" w14:textId="67EA8B09" w:rsidR="0048578A" w:rsidRPr="004D7281" w:rsidRDefault="0048578A" w:rsidP="00062349">
            <w:pPr>
              <w:spacing w:after="0" w:line="240" w:lineRule="auto"/>
              <w:jc w:val="center"/>
              <w:rPr>
                <w:rFonts w:ascii="Arial" w:eastAsia="Times New Roman" w:hAnsi="Arial" w:cs="Arial"/>
                <w:color w:val="000000"/>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Alfa de Cronbach</w:t>
            </w:r>
          </w:p>
        </w:tc>
      </w:tr>
      <w:tr w:rsidR="0048578A" w:rsidRPr="004D7281" w14:paraId="46986674" w14:textId="77777777" w:rsidTr="0006234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4A71F8" w14:textId="3C9C987A" w:rsidR="0048578A" w:rsidRPr="004D7281" w:rsidRDefault="0048578A" w:rsidP="0048578A">
            <w:pPr>
              <w:spacing w:after="0" w:line="240" w:lineRule="auto"/>
              <w:jc w:val="center"/>
              <w:rPr>
                <w:rFonts w:ascii="Arial" w:eastAsia="Times New Roman" w:hAnsi="Arial" w:cs="Arial"/>
                <w:color w:val="000000"/>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Relevancia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02DEF5" w14:textId="3F7B4F6B" w:rsidR="0048578A" w:rsidRPr="004D7281" w:rsidRDefault="0048578A" w:rsidP="0048578A">
            <w:pPr>
              <w:spacing w:after="0" w:line="240" w:lineRule="auto"/>
              <w:jc w:val="center"/>
              <w:rPr>
                <w:rFonts w:ascii="Arial" w:eastAsia="Times New Roman" w:hAnsi="Arial" w:cs="Arial"/>
                <w:color w:val="000000"/>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128.81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3028C3" w14:textId="0846308D" w:rsidR="0048578A" w:rsidRPr="004D7281" w:rsidRDefault="0048578A" w:rsidP="0048578A">
            <w:pPr>
              <w:spacing w:after="0" w:line="240" w:lineRule="auto"/>
              <w:jc w:val="center"/>
              <w:rPr>
                <w:rFonts w:ascii="Arial" w:eastAsia="Times New Roman" w:hAnsi="Arial" w:cs="Arial"/>
                <w:color w:val="000000"/>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0.9724</w:t>
            </w:r>
          </w:p>
        </w:tc>
      </w:tr>
      <w:tr w:rsidR="0048578A" w:rsidRPr="004D7281" w14:paraId="4182CF2C" w14:textId="77777777" w:rsidTr="0006234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D826A1" w14:textId="696BEE84" w:rsidR="0048578A" w:rsidRPr="004D7281" w:rsidRDefault="0048578A" w:rsidP="0048578A">
            <w:pPr>
              <w:spacing w:after="0" w:line="240" w:lineRule="auto"/>
              <w:jc w:val="center"/>
              <w:rPr>
                <w:rFonts w:ascii="Arial" w:eastAsia="Times New Roman" w:hAnsi="Arial" w:cs="Arial"/>
                <w:color w:val="000000"/>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Representatividad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4ECD93" w14:textId="78A2A032" w:rsidR="0048578A" w:rsidRPr="004D7281" w:rsidRDefault="0048578A" w:rsidP="0048578A">
            <w:pPr>
              <w:spacing w:after="0" w:line="240" w:lineRule="auto"/>
              <w:jc w:val="center"/>
              <w:rPr>
                <w:rFonts w:ascii="Arial" w:eastAsia="Times New Roman" w:hAnsi="Arial" w:cs="Arial"/>
                <w:color w:val="000000"/>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135.63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314723" w14:textId="07C13977" w:rsidR="0048578A" w:rsidRPr="004D7281" w:rsidRDefault="0048578A" w:rsidP="0048578A">
            <w:pPr>
              <w:spacing w:after="0" w:line="240" w:lineRule="auto"/>
              <w:jc w:val="center"/>
              <w:rPr>
                <w:rFonts w:ascii="Arial" w:eastAsia="Times New Roman" w:hAnsi="Arial" w:cs="Arial"/>
                <w:color w:val="000000"/>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0.9698</w:t>
            </w:r>
          </w:p>
        </w:tc>
      </w:tr>
      <w:tr w:rsidR="0048578A" w:rsidRPr="004D7281" w14:paraId="47EB7C10" w14:textId="77777777" w:rsidTr="0006234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7EFDF7" w14:textId="6E3E2512" w:rsidR="0048578A" w:rsidRPr="004D7281" w:rsidRDefault="0048578A" w:rsidP="0048578A">
            <w:pPr>
              <w:spacing w:after="0" w:line="240" w:lineRule="auto"/>
              <w:jc w:val="center"/>
              <w:rPr>
                <w:rFonts w:ascii="Arial" w:eastAsia="Times New Roman" w:hAnsi="Arial" w:cs="Arial"/>
                <w:color w:val="000000"/>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Claridad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CE1B87C" w14:textId="11E8A6B0" w:rsidR="0048578A" w:rsidRPr="004D7281" w:rsidRDefault="0048578A" w:rsidP="0048578A">
            <w:pPr>
              <w:spacing w:after="0" w:line="240" w:lineRule="auto"/>
              <w:jc w:val="center"/>
              <w:rPr>
                <w:rFonts w:ascii="Arial" w:eastAsia="Times New Roman" w:hAnsi="Arial" w:cs="Arial"/>
                <w:color w:val="000000"/>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146.24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6F3906" w14:textId="1AC62C1A" w:rsidR="0048578A" w:rsidRPr="004D7281" w:rsidRDefault="0048578A" w:rsidP="0048578A">
            <w:pPr>
              <w:spacing w:after="0" w:line="240" w:lineRule="auto"/>
              <w:jc w:val="center"/>
              <w:rPr>
                <w:rFonts w:ascii="Arial" w:eastAsia="Times New Roman" w:hAnsi="Arial" w:cs="Arial"/>
                <w:color w:val="000000"/>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0.9645</w:t>
            </w:r>
          </w:p>
        </w:tc>
      </w:tr>
    </w:tbl>
    <w:p w14:paraId="3B866C87" w14:textId="30034655" w:rsidR="007338EA" w:rsidRPr="004D7281" w:rsidRDefault="007338EA" w:rsidP="007338EA">
      <w:pPr>
        <w:spacing w:after="0" w:line="480" w:lineRule="auto"/>
        <w:rPr>
          <w:rFonts w:ascii="Arial" w:eastAsia="Times New Roman" w:hAnsi="Arial" w:cs="Arial"/>
          <w:kern w:val="0"/>
          <w:sz w:val="20"/>
          <w:szCs w:val="20"/>
          <w:lang w:eastAsia="es-PE"/>
          <w14:ligatures w14:val="none"/>
        </w:rPr>
      </w:pPr>
    </w:p>
    <w:p w14:paraId="739C0266" w14:textId="77777777" w:rsidR="007338EA" w:rsidRPr="004D7281" w:rsidRDefault="007338EA" w:rsidP="007338EA">
      <w:pPr>
        <w:spacing w:after="0" w:line="240" w:lineRule="auto"/>
        <w:rPr>
          <w:rFonts w:ascii="Arial" w:eastAsia="Times New Roman" w:hAnsi="Arial" w:cs="Arial"/>
          <w:kern w:val="0"/>
          <w:sz w:val="20"/>
          <w:szCs w:val="20"/>
          <w:lang w:eastAsia="es-PE"/>
          <w14:ligatures w14:val="none"/>
        </w:rPr>
      </w:pPr>
    </w:p>
    <w:p w14:paraId="4314EEE0" w14:textId="2C5A968F" w:rsidR="007338EA" w:rsidRPr="004D7281" w:rsidRDefault="007338EA" w:rsidP="007338EA">
      <w:pPr>
        <w:spacing w:after="0" w:line="480" w:lineRule="auto"/>
        <w:rPr>
          <w:rFonts w:ascii="Arial" w:eastAsia="Times New Roman" w:hAnsi="Arial" w:cs="Arial"/>
          <w:kern w:val="0"/>
          <w:sz w:val="20"/>
          <w:szCs w:val="20"/>
          <w:lang w:eastAsia="es-PE"/>
          <w14:ligatures w14:val="none"/>
        </w:rPr>
      </w:pPr>
      <w:r w:rsidRPr="004D7281">
        <w:rPr>
          <w:rFonts w:ascii="Arial" w:eastAsia="Times New Roman" w:hAnsi="Arial" w:cs="Arial"/>
          <w:b/>
          <w:bCs/>
          <w:i/>
          <w:iCs/>
          <w:color w:val="000000"/>
          <w:kern w:val="0"/>
          <w:sz w:val="20"/>
          <w:szCs w:val="20"/>
          <w:lang w:eastAsia="es-PE"/>
          <w14:ligatures w14:val="none"/>
        </w:rPr>
        <w:t xml:space="preserve">Tabla </w:t>
      </w:r>
      <w:r w:rsidR="0048578A" w:rsidRPr="004D7281">
        <w:rPr>
          <w:rFonts w:ascii="Arial" w:eastAsia="Times New Roman" w:hAnsi="Arial" w:cs="Arial"/>
          <w:b/>
          <w:bCs/>
          <w:i/>
          <w:iCs/>
          <w:color w:val="000000"/>
          <w:kern w:val="0"/>
          <w:sz w:val="20"/>
          <w:szCs w:val="20"/>
          <w:lang w:eastAsia="es-PE"/>
          <w14:ligatures w14:val="none"/>
        </w:rPr>
        <w:t>3</w:t>
      </w:r>
      <w:r w:rsidRPr="004D7281">
        <w:rPr>
          <w:rFonts w:ascii="Arial" w:eastAsia="Times New Roman" w:hAnsi="Arial" w:cs="Arial"/>
          <w:b/>
          <w:bCs/>
          <w:i/>
          <w:iCs/>
          <w:color w:val="000000"/>
          <w:kern w:val="0"/>
          <w:sz w:val="20"/>
          <w:szCs w:val="20"/>
          <w:lang w:eastAsia="es-PE"/>
          <w14:ligatures w14:val="none"/>
        </w:rPr>
        <w:t>: Propiedades psicométricas de la escala - Total</w:t>
      </w:r>
    </w:p>
    <w:tbl>
      <w:tblPr>
        <w:tblW w:w="9071" w:type="dxa"/>
        <w:tblCellMar>
          <w:top w:w="15" w:type="dxa"/>
          <w:left w:w="15" w:type="dxa"/>
          <w:bottom w:w="15" w:type="dxa"/>
          <w:right w:w="15" w:type="dxa"/>
        </w:tblCellMar>
        <w:tblLook w:val="04A0" w:firstRow="1" w:lastRow="0" w:firstColumn="1" w:lastColumn="0" w:noHBand="0" w:noVBand="1"/>
      </w:tblPr>
      <w:tblGrid>
        <w:gridCol w:w="3101"/>
        <w:gridCol w:w="2985"/>
        <w:gridCol w:w="2985"/>
      </w:tblGrid>
      <w:tr w:rsidR="007338EA" w:rsidRPr="004D7281" w14:paraId="0A73016C" w14:textId="77777777" w:rsidTr="0006234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51CEFE7"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22C334F"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Varianza del total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4B90EA1"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Alfa de Cronbach</w:t>
            </w:r>
          </w:p>
        </w:tc>
      </w:tr>
      <w:tr w:rsidR="007338EA" w:rsidRPr="004D7281" w14:paraId="6154C496" w14:textId="77777777" w:rsidTr="0006234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90A31EC"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Relevancia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72A1296"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308.45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417D50A"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0.9834</w:t>
            </w:r>
          </w:p>
        </w:tc>
      </w:tr>
      <w:tr w:rsidR="007338EA" w:rsidRPr="004D7281" w14:paraId="0FF8CD60" w14:textId="77777777" w:rsidTr="0006234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C06942C"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Representatividad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36F221D"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207.27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97CB357"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0.9741</w:t>
            </w:r>
          </w:p>
        </w:tc>
      </w:tr>
      <w:tr w:rsidR="007338EA" w:rsidRPr="004D7281" w14:paraId="7C592898" w14:textId="77777777" w:rsidTr="0006234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6EB9B43"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Claridad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7B04CCE"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211.39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17F5128" w14:textId="77777777" w:rsidR="007338EA" w:rsidRPr="004D7281" w:rsidRDefault="007338EA" w:rsidP="00062349">
            <w:pPr>
              <w:spacing w:after="0" w:line="240" w:lineRule="auto"/>
              <w:jc w:val="center"/>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0.9755</w:t>
            </w:r>
          </w:p>
        </w:tc>
      </w:tr>
    </w:tbl>
    <w:p w14:paraId="507EBB27" w14:textId="77777777" w:rsidR="006B3118" w:rsidRPr="004D7281" w:rsidRDefault="006B3118" w:rsidP="006B3118">
      <w:pPr>
        <w:spacing w:after="0" w:line="240" w:lineRule="auto"/>
        <w:rPr>
          <w:rFonts w:ascii="Arial" w:eastAsia="Times New Roman" w:hAnsi="Arial" w:cs="Arial"/>
          <w:kern w:val="0"/>
          <w:sz w:val="20"/>
          <w:szCs w:val="20"/>
          <w:lang w:eastAsia="es-PE"/>
          <w14:ligatures w14:val="none"/>
        </w:rPr>
      </w:pPr>
    </w:p>
    <w:p w14:paraId="28DEAAC0" w14:textId="77777777" w:rsidR="006B3118" w:rsidRPr="004D7281" w:rsidRDefault="006B3118" w:rsidP="006B3118">
      <w:pPr>
        <w:spacing w:after="0" w:line="480" w:lineRule="auto"/>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Traducción:</w:t>
      </w:r>
    </w:p>
    <w:p w14:paraId="01494A97" w14:textId="77777777" w:rsidR="006B3118" w:rsidRPr="00465A1D" w:rsidRDefault="006B3118" w:rsidP="006B3118">
      <w:pPr>
        <w:spacing w:after="0" w:line="480" w:lineRule="auto"/>
        <w:jc w:val="both"/>
        <w:rPr>
          <w:rFonts w:ascii="Arial" w:eastAsia="Times New Roman" w:hAnsi="Arial" w:cs="Arial"/>
          <w:kern w:val="0"/>
          <w:sz w:val="20"/>
          <w:szCs w:val="20"/>
          <w:lang w:eastAsia="es-PE"/>
          <w14:ligatures w14:val="none"/>
        </w:rPr>
      </w:pPr>
      <w:r w:rsidRPr="00465A1D">
        <w:rPr>
          <w:rFonts w:ascii="Arial" w:eastAsia="Times New Roman" w:hAnsi="Arial" w:cs="Arial"/>
          <w:color w:val="000000"/>
          <w:kern w:val="0"/>
          <w:sz w:val="20"/>
          <w:szCs w:val="20"/>
          <w:lang w:eastAsia="es-PE"/>
          <w14:ligatures w14:val="none"/>
        </w:rPr>
        <w:t>En este ítem el puntaje fue de 0-1, siendo 0 un indicador que se tenía que mejorar la traducción y 1 significando que la traducción fue correcta. Se obtuvo una media de 0.9906, con un 85% de expertos comentando que la traducción estaba correcta en su totalidad.</w:t>
      </w:r>
    </w:p>
    <w:p w14:paraId="73BF373A" w14:textId="77777777" w:rsidR="006B3118" w:rsidRPr="00465A1D" w:rsidRDefault="006B3118" w:rsidP="006B3118">
      <w:pPr>
        <w:spacing w:after="0" w:line="240" w:lineRule="auto"/>
        <w:rPr>
          <w:rFonts w:ascii="Arial" w:eastAsia="Times New Roman" w:hAnsi="Arial" w:cs="Arial"/>
          <w:kern w:val="0"/>
          <w:sz w:val="20"/>
          <w:szCs w:val="20"/>
          <w:lang w:eastAsia="es-PE"/>
          <w14:ligatures w14:val="none"/>
        </w:rPr>
      </w:pPr>
    </w:p>
    <w:p w14:paraId="09B6AB01" w14:textId="77777777" w:rsidR="006B3118" w:rsidRPr="00465A1D" w:rsidRDefault="006B3118" w:rsidP="006B3118">
      <w:pPr>
        <w:spacing w:after="0" w:line="480" w:lineRule="auto"/>
        <w:rPr>
          <w:rFonts w:ascii="Arial" w:eastAsia="Times New Roman" w:hAnsi="Arial" w:cs="Arial"/>
          <w:kern w:val="0"/>
          <w:sz w:val="20"/>
          <w:szCs w:val="20"/>
          <w:lang w:eastAsia="es-PE"/>
          <w14:ligatures w14:val="none"/>
        </w:rPr>
      </w:pPr>
      <w:r w:rsidRPr="00465A1D">
        <w:rPr>
          <w:rFonts w:ascii="Arial" w:eastAsia="Times New Roman" w:hAnsi="Arial" w:cs="Arial"/>
          <w:b/>
          <w:bCs/>
          <w:color w:val="000000"/>
          <w:kern w:val="0"/>
          <w:sz w:val="20"/>
          <w:szCs w:val="20"/>
          <w:lang w:eastAsia="es-PE"/>
          <w14:ligatures w14:val="none"/>
        </w:rPr>
        <w:t>Discusión</w:t>
      </w:r>
    </w:p>
    <w:p w14:paraId="39941422" w14:textId="77777777" w:rsidR="00582539" w:rsidRPr="00465A1D" w:rsidRDefault="00582539" w:rsidP="00582539">
      <w:pPr>
        <w:spacing w:after="0" w:line="480" w:lineRule="auto"/>
        <w:jc w:val="both"/>
        <w:rPr>
          <w:rFonts w:ascii="Arial" w:eastAsia="Times New Roman" w:hAnsi="Arial" w:cs="Arial"/>
          <w:kern w:val="0"/>
          <w:sz w:val="20"/>
          <w:szCs w:val="20"/>
          <w:lang w:eastAsia="es-PE"/>
          <w14:ligatures w14:val="none"/>
        </w:rPr>
      </w:pPr>
      <w:r w:rsidRPr="00465A1D">
        <w:rPr>
          <w:rFonts w:ascii="Arial" w:eastAsia="Times New Roman" w:hAnsi="Arial" w:cs="Arial"/>
          <w:color w:val="000000"/>
          <w:kern w:val="0"/>
          <w:sz w:val="20"/>
          <w:szCs w:val="20"/>
          <w:lang w:eastAsia="es-PE"/>
          <w14:ligatures w14:val="none"/>
        </w:rPr>
        <w:t>Actualmente no existe una escala en español que mencione las recomendaciones para competencias en el manejo preoperatorio, intraoperatorio y postoperatorio de pacientes adultos mayores. En 1950 la población adulta mayor en el Perú fue de 5.7% y en el 2023; 13.6% (18). Por lo tanto, se necesita garantizar el correcto manejo médico de este grupo etario. La escala “</w:t>
      </w:r>
      <w:proofErr w:type="spellStart"/>
      <w:r w:rsidRPr="00465A1D">
        <w:rPr>
          <w:rFonts w:ascii="Arial" w:eastAsia="Times New Roman" w:hAnsi="Arial" w:cs="Arial"/>
          <w:color w:val="000000"/>
          <w:kern w:val="0"/>
          <w:sz w:val="20"/>
          <w:szCs w:val="20"/>
          <w:lang w:eastAsia="es-PE"/>
          <w14:ligatures w14:val="none"/>
        </w:rPr>
        <w:t>Proposed</w:t>
      </w:r>
      <w:proofErr w:type="spellEnd"/>
      <w:r w:rsidRPr="00465A1D">
        <w:rPr>
          <w:rFonts w:ascii="Arial" w:eastAsia="Times New Roman" w:hAnsi="Arial" w:cs="Arial"/>
          <w:color w:val="000000"/>
          <w:kern w:val="0"/>
          <w:sz w:val="20"/>
          <w:szCs w:val="20"/>
          <w:lang w:eastAsia="es-PE"/>
          <w14:ligatures w14:val="none"/>
        </w:rPr>
        <w:t xml:space="preserve"> </w:t>
      </w:r>
      <w:proofErr w:type="spellStart"/>
      <w:r w:rsidRPr="00465A1D">
        <w:rPr>
          <w:rFonts w:ascii="Arial" w:eastAsia="Times New Roman" w:hAnsi="Arial" w:cs="Arial"/>
          <w:color w:val="000000"/>
          <w:kern w:val="0"/>
          <w:sz w:val="20"/>
          <w:szCs w:val="20"/>
          <w:lang w:eastAsia="es-PE"/>
          <w14:ligatures w14:val="none"/>
        </w:rPr>
        <w:t>geriatric</w:t>
      </w:r>
      <w:proofErr w:type="spellEnd"/>
      <w:r w:rsidRPr="00465A1D">
        <w:rPr>
          <w:rFonts w:ascii="Arial" w:eastAsia="Times New Roman" w:hAnsi="Arial" w:cs="Arial"/>
          <w:color w:val="000000"/>
          <w:kern w:val="0"/>
          <w:sz w:val="20"/>
          <w:szCs w:val="20"/>
          <w:lang w:eastAsia="es-PE"/>
          <w14:ligatures w14:val="none"/>
        </w:rPr>
        <w:t xml:space="preserve"> </w:t>
      </w:r>
      <w:proofErr w:type="spellStart"/>
      <w:r w:rsidRPr="00465A1D">
        <w:rPr>
          <w:rFonts w:ascii="Arial" w:eastAsia="Times New Roman" w:hAnsi="Arial" w:cs="Arial"/>
          <w:color w:val="000000"/>
          <w:kern w:val="0"/>
          <w:sz w:val="20"/>
          <w:szCs w:val="20"/>
          <w:lang w:eastAsia="es-PE"/>
          <w14:ligatures w14:val="none"/>
        </w:rPr>
        <w:t>competencies</w:t>
      </w:r>
      <w:proofErr w:type="spellEnd"/>
      <w:r w:rsidRPr="00465A1D">
        <w:rPr>
          <w:rFonts w:ascii="Arial" w:eastAsia="Times New Roman" w:hAnsi="Arial" w:cs="Arial"/>
          <w:color w:val="000000"/>
          <w:kern w:val="0"/>
          <w:sz w:val="20"/>
          <w:szCs w:val="20"/>
          <w:lang w:eastAsia="es-PE"/>
          <w14:ligatures w14:val="none"/>
        </w:rPr>
        <w:t xml:space="preserve"> </w:t>
      </w:r>
      <w:proofErr w:type="spellStart"/>
      <w:r w:rsidRPr="00465A1D">
        <w:rPr>
          <w:rFonts w:ascii="Arial" w:eastAsia="Times New Roman" w:hAnsi="Arial" w:cs="Arial"/>
          <w:color w:val="000000"/>
          <w:kern w:val="0"/>
          <w:sz w:val="20"/>
          <w:szCs w:val="20"/>
          <w:lang w:eastAsia="es-PE"/>
          <w14:ligatures w14:val="none"/>
        </w:rPr>
        <w:t>for</w:t>
      </w:r>
      <w:proofErr w:type="spellEnd"/>
      <w:r w:rsidRPr="00465A1D">
        <w:rPr>
          <w:rFonts w:ascii="Arial" w:eastAsia="Times New Roman" w:hAnsi="Arial" w:cs="Arial"/>
          <w:color w:val="000000"/>
          <w:kern w:val="0"/>
          <w:sz w:val="20"/>
          <w:szCs w:val="20"/>
          <w:lang w:eastAsia="es-PE"/>
          <w14:ligatures w14:val="none"/>
        </w:rPr>
        <w:t xml:space="preserve"> </w:t>
      </w:r>
      <w:proofErr w:type="spellStart"/>
      <w:r w:rsidRPr="00465A1D">
        <w:rPr>
          <w:rFonts w:ascii="Arial" w:eastAsia="Times New Roman" w:hAnsi="Arial" w:cs="Arial"/>
          <w:color w:val="000000"/>
          <w:kern w:val="0"/>
          <w:sz w:val="20"/>
          <w:szCs w:val="20"/>
          <w:lang w:eastAsia="es-PE"/>
          <w14:ligatures w14:val="none"/>
        </w:rPr>
        <w:t>the</w:t>
      </w:r>
      <w:proofErr w:type="spellEnd"/>
      <w:r w:rsidRPr="00465A1D">
        <w:rPr>
          <w:rFonts w:ascii="Arial" w:eastAsia="Times New Roman" w:hAnsi="Arial" w:cs="Arial"/>
          <w:color w:val="000000"/>
          <w:kern w:val="0"/>
          <w:sz w:val="20"/>
          <w:szCs w:val="20"/>
          <w:lang w:eastAsia="es-PE"/>
          <w14:ligatures w14:val="none"/>
        </w:rPr>
        <w:t xml:space="preserve"> </w:t>
      </w:r>
      <w:proofErr w:type="spellStart"/>
      <w:r w:rsidRPr="00465A1D">
        <w:rPr>
          <w:rFonts w:ascii="Arial" w:eastAsia="Times New Roman" w:hAnsi="Arial" w:cs="Arial"/>
          <w:color w:val="000000"/>
          <w:kern w:val="0"/>
          <w:sz w:val="20"/>
          <w:szCs w:val="20"/>
          <w:lang w:eastAsia="es-PE"/>
          <w14:ligatures w14:val="none"/>
        </w:rPr>
        <w:t>Surgical</w:t>
      </w:r>
      <w:proofErr w:type="spellEnd"/>
      <w:r w:rsidRPr="00465A1D">
        <w:rPr>
          <w:rFonts w:ascii="Arial" w:eastAsia="Times New Roman" w:hAnsi="Arial" w:cs="Arial"/>
          <w:color w:val="000000"/>
          <w:kern w:val="0"/>
          <w:sz w:val="20"/>
          <w:szCs w:val="20"/>
          <w:lang w:eastAsia="es-PE"/>
          <w14:ligatures w14:val="none"/>
        </w:rPr>
        <w:t xml:space="preserve"> </w:t>
      </w:r>
      <w:proofErr w:type="spellStart"/>
      <w:r w:rsidRPr="00465A1D">
        <w:rPr>
          <w:rFonts w:ascii="Arial" w:eastAsia="Times New Roman" w:hAnsi="Arial" w:cs="Arial"/>
          <w:color w:val="000000"/>
          <w:kern w:val="0"/>
          <w:sz w:val="20"/>
          <w:szCs w:val="20"/>
          <w:lang w:eastAsia="es-PE"/>
          <w14:ligatures w14:val="none"/>
        </w:rPr>
        <w:t>Specialities</w:t>
      </w:r>
      <w:proofErr w:type="spellEnd"/>
      <w:r w:rsidRPr="00465A1D">
        <w:rPr>
          <w:rFonts w:ascii="Arial" w:eastAsia="Times New Roman" w:hAnsi="Arial" w:cs="Arial"/>
          <w:color w:val="000000"/>
          <w:kern w:val="0"/>
          <w:sz w:val="20"/>
          <w:szCs w:val="20"/>
          <w:lang w:eastAsia="es-PE"/>
          <w14:ligatures w14:val="none"/>
        </w:rPr>
        <w:t xml:space="preserve">” presenta 38 ítems, divididos en 14 competencias preoperatorias, 10 intraoperatorias y 14 postoperatorias. La falta de una escala en español que aborde recomendaciones para el manejo de pacientes adultos mayores en los </w:t>
      </w:r>
      <w:r w:rsidRPr="00465A1D">
        <w:rPr>
          <w:rFonts w:ascii="Arial" w:eastAsia="Times New Roman" w:hAnsi="Arial" w:cs="Arial"/>
          <w:color w:val="000000"/>
          <w:kern w:val="0"/>
          <w:sz w:val="20"/>
          <w:szCs w:val="20"/>
          <w:lang w:eastAsia="es-PE"/>
          <w14:ligatures w14:val="none"/>
        </w:rPr>
        <w:lastRenderedPageBreak/>
        <w:t>períodos preoperatorio, intraoperatorio y postoperatorio es identificada como una carencia significativa. El pobre conocimiento sobre el manejo de adultos mayores y el envejecimiento lleva a conductas negativas hacia estos pacientes (19). El aumento en la proporción de adultos mayores en la población enfatiza la urgencia de desarrollar herramientas específicas para garantizar un tratamiento adecuado de este grupo demográfico.</w:t>
      </w:r>
    </w:p>
    <w:p w14:paraId="00D53538" w14:textId="77777777" w:rsidR="00582539" w:rsidRPr="00465A1D" w:rsidRDefault="00582539" w:rsidP="00582539">
      <w:pPr>
        <w:spacing w:after="0" w:line="480" w:lineRule="auto"/>
        <w:jc w:val="both"/>
        <w:rPr>
          <w:rFonts w:ascii="Arial" w:eastAsia="Times New Roman" w:hAnsi="Arial" w:cs="Arial"/>
          <w:color w:val="000000"/>
          <w:kern w:val="0"/>
          <w:sz w:val="20"/>
          <w:szCs w:val="20"/>
          <w:lang w:eastAsia="es-PE"/>
          <w14:ligatures w14:val="none"/>
        </w:rPr>
      </w:pPr>
      <w:r w:rsidRPr="00465A1D">
        <w:rPr>
          <w:rFonts w:ascii="Arial" w:eastAsia="Times New Roman" w:hAnsi="Arial" w:cs="Arial"/>
          <w:color w:val="000000"/>
          <w:kern w:val="0"/>
          <w:sz w:val="20"/>
          <w:szCs w:val="20"/>
          <w:lang w:eastAsia="es-PE"/>
          <w14:ligatures w14:val="none"/>
        </w:rPr>
        <w:t>Los resultados obtenidos indican que la escala es eficaz y fiable, siendo pertinente, representativa y clara en su presentación y comunicación de la información; y los resultados de la traducción nos indican que se confirma la satisfacción general con la traducción, y las correcciones realizadas reflejan el proceso riguroso para asegurar la calidad lingüística de la escala.</w:t>
      </w:r>
    </w:p>
    <w:p w14:paraId="0E676928" w14:textId="77777777" w:rsidR="00582539" w:rsidRPr="00465A1D" w:rsidRDefault="00582539" w:rsidP="00582539">
      <w:pPr>
        <w:spacing w:after="0" w:line="480" w:lineRule="auto"/>
        <w:jc w:val="both"/>
        <w:rPr>
          <w:rFonts w:ascii="Arial" w:eastAsia="Times New Roman" w:hAnsi="Arial" w:cs="Arial"/>
          <w:kern w:val="0"/>
          <w:sz w:val="20"/>
          <w:szCs w:val="20"/>
          <w:lang w:eastAsia="es-PE"/>
          <w14:ligatures w14:val="none"/>
        </w:rPr>
      </w:pPr>
      <w:r w:rsidRPr="00465A1D">
        <w:rPr>
          <w:rFonts w:ascii="Arial" w:eastAsia="Times New Roman" w:hAnsi="Arial" w:cs="Arial"/>
          <w:kern w:val="0"/>
          <w:sz w:val="20"/>
          <w:szCs w:val="20"/>
          <w:lang w:eastAsia="es-PE"/>
          <w14:ligatures w14:val="none"/>
        </w:rPr>
        <w:t>Hoy en día hay una carencia evidente de una sólida base en medicina geriátrica entre los médicos en formación de especialidades quirúrgicas. Esta deficiencia impacta negativamente en el manejo preoperatorio, intraoperatorio y postoperatorio de los adultos mayores, resultando en consecuencias adversas como una prolongada estancia hospitalaria, infecciones del sitio operatorio, incremento en la mortalidad, y un aumento en los costos asociados. Es crucial contar con instrumentos validados que se adapten a cada realidad lingüística, permitiendo a los tutores de residentes emplearlos eficazmente en su práctica diaria, de manera que puedan ser capaces de cumplir la demanda en salud de pacientes adultos mayores (20).</w:t>
      </w:r>
    </w:p>
    <w:p w14:paraId="3039E5C5" w14:textId="77777777" w:rsidR="00582539" w:rsidRPr="00465A1D" w:rsidRDefault="00582539" w:rsidP="00582539">
      <w:pPr>
        <w:spacing w:after="0" w:line="240" w:lineRule="auto"/>
        <w:rPr>
          <w:rFonts w:ascii="Arial" w:eastAsia="Times New Roman" w:hAnsi="Arial" w:cs="Arial"/>
          <w:kern w:val="0"/>
          <w:sz w:val="20"/>
          <w:szCs w:val="20"/>
          <w:lang w:eastAsia="es-PE"/>
          <w14:ligatures w14:val="none"/>
        </w:rPr>
      </w:pPr>
    </w:p>
    <w:p w14:paraId="38308B6C" w14:textId="77777777" w:rsidR="00582539" w:rsidRPr="00465A1D" w:rsidRDefault="00582539" w:rsidP="00582539">
      <w:pPr>
        <w:spacing w:after="0" w:line="480" w:lineRule="auto"/>
        <w:rPr>
          <w:rFonts w:ascii="Arial" w:eastAsia="Times New Roman" w:hAnsi="Arial" w:cs="Arial"/>
          <w:b/>
          <w:bCs/>
          <w:kern w:val="0"/>
          <w:sz w:val="20"/>
          <w:szCs w:val="20"/>
          <w:lang w:eastAsia="es-PE"/>
          <w14:ligatures w14:val="none"/>
        </w:rPr>
      </w:pPr>
      <w:r w:rsidRPr="00465A1D">
        <w:rPr>
          <w:rFonts w:ascii="Arial" w:eastAsia="Times New Roman" w:hAnsi="Arial" w:cs="Arial"/>
          <w:b/>
          <w:bCs/>
          <w:kern w:val="0"/>
          <w:sz w:val="20"/>
          <w:szCs w:val="20"/>
          <w:lang w:eastAsia="es-PE"/>
          <w14:ligatures w14:val="none"/>
        </w:rPr>
        <w:t>Conclusiones</w:t>
      </w:r>
    </w:p>
    <w:p w14:paraId="6EE034C3" w14:textId="59F266BE" w:rsidR="00582539" w:rsidRPr="00465A1D" w:rsidRDefault="00582539" w:rsidP="00582539">
      <w:pPr>
        <w:spacing w:after="0" w:line="480" w:lineRule="auto"/>
        <w:jc w:val="both"/>
        <w:rPr>
          <w:rFonts w:ascii="Arial" w:eastAsia="Times New Roman" w:hAnsi="Arial" w:cs="Arial"/>
          <w:kern w:val="0"/>
          <w:sz w:val="20"/>
          <w:szCs w:val="20"/>
          <w:lang w:eastAsia="es-PE"/>
          <w14:ligatures w14:val="none"/>
        </w:rPr>
      </w:pPr>
      <w:r w:rsidRPr="00465A1D">
        <w:rPr>
          <w:rFonts w:ascii="Arial" w:eastAsia="Times New Roman" w:hAnsi="Arial" w:cs="Arial"/>
          <w:kern w:val="0"/>
          <w:sz w:val="20"/>
          <w:szCs w:val="20"/>
          <w:lang w:eastAsia="es-PE"/>
          <w14:ligatures w14:val="none"/>
        </w:rPr>
        <w:t xml:space="preserve">En términos de relevancia, representatividad y claridad, tanto en la opinión de cirujanos como de geriatras, considerados como expertos en este estudio, contamos con una escala válida para su uso en la medición de competencias geriátricas para especialidades quirúrgicas en el contexto peruano. Además, parte de la traducción de la escala incluyó la interpretación de los tres </w:t>
      </w:r>
      <w:proofErr w:type="spellStart"/>
      <w:r w:rsidRPr="00465A1D">
        <w:rPr>
          <w:rFonts w:ascii="Arial" w:eastAsia="Times New Roman" w:hAnsi="Arial" w:cs="Arial"/>
          <w:kern w:val="0"/>
          <w:sz w:val="20"/>
          <w:szCs w:val="20"/>
          <w:lang w:eastAsia="es-PE"/>
          <w14:ligatures w14:val="none"/>
        </w:rPr>
        <w:t>subítems</w:t>
      </w:r>
      <w:proofErr w:type="spellEnd"/>
      <w:r w:rsidRPr="00465A1D">
        <w:rPr>
          <w:rFonts w:ascii="Arial" w:eastAsia="Times New Roman" w:hAnsi="Arial" w:cs="Arial"/>
          <w:kern w:val="0"/>
          <w:sz w:val="20"/>
          <w:szCs w:val="20"/>
          <w:lang w:eastAsia="es-PE"/>
          <w14:ligatures w14:val="none"/>
        </w:rPr>
        <w:t xml:space="preserve"> y del total de la escala para facilitar su uso (Ver tabla Nº2). El edadismo puede causar estrés en los adultos mayores y por consecuencia, el estrés crónico acelera el envejecimiento y aumenta el riesgo de enfermedades y muerte temprana (21). Por ejemplo, en un estudio, como no hay una </w:t>
      </w:r>
      <w:proofErr w:type="spellStart"/>
      <w:r w:rsidRPr="00465A1D">
        <w:rPr>
          <w:rFonts w:ascii="Arial" w:eastAsia="Times New Roman" w:hAnsi="Arial" w:cs="Arial"/>
          <w:kern w:val="0"/>
          <w:sz w:val="20"/>
          <w:szCs w:val="20"/>
          <w:lang w:eastAsia="es-PE"/>
          <w14:ligatures w14:val="none"/>
        </w:rPr>
        <w:t>orientacion</w:t>
      </w:r>
      <w:proofErr w:type="spellEnd"/>
      <w:r w:rsidRPr="00465A1D">
        <w:rPr>
          <w:rFonts w:ascii="Arial" w:eastAsia="Times New Roman" w:hAnsi="Arial" w:cs="Arial"/>
          <w:kern w:val="0"/>
          <w:sz w:val="20"/>
          <w:szCs w:val="20"/>
          <w:lang w:eastAsia="es-PE"/>
          <w14:ligatures w14:val="none"/>
        </w:rPr>
        <w:t xml:space="preserve"> para </w:t>
      </w:r>
      <w:proofErr w:type="spellStart"/>
      <w:r w:rsidRPr="00465A1D">
        <w:rPr>
          <w:rFonts w:ascii="Arial" w:eastAsia="Times New Roman" w:hAnsi="Arial" w:cs="Arial"/>
          <w:kern w:val="0"/>
          <w:sz w:val="20"/>
          <w:szCs w:val="20"/>
          <w:lang w:eastAsia="es-PE"/>
          <w14:ligatures w14:val="none"/>
        </w:rPr>
        <w:t>cuantifiar</w:t>
      </w:r>
      <w:proofErr w:type="spellEnd"/>
      <w:r w:rsidRPr="00465A1D">
        <w:rPr>
          <w:rFonts w:ascii="Arial" w:eastAsia="Times New Roman" w:hAnsi="Arial" w:cs="Arial"/>
          <w:kern w:val="0"/>
          <w:sz w:val="20"/>
          <w:szCs w:val="20"/>
          <w:lang w:eastAsia="es-PE"/>
          <w14:ligatures w14:val="none"/>
        </w:rPr>
        <w:t xml:space="preserve"> la fragilidad, basaban el tratamiento de cáncer de mama en mujeres mayores según en lo que suponían que la paciente fuera a tolerar o desear por su edad. Se evidencia edadismo y cómo los cirujanos toman </w:t>
      </w:r>
      <w:proofErr w:type="spellStart"/>
      <w:r w:rsidRPr="00465A1D">
        <w:rPr>
          <w:rFonts w:ascii="Arial" w:eastAsia="Times New Roman" w:hAnsi="Arial" w:cs="Arial"/>
          <w:kern w:val="0"/>
          <w:sz w:val="20"/>
          <w:szCs w:val="20"/>
          <w:lang w:eastAsia="es-PE"/>
          <w14:ligatures w14:val="none"/>
        </w:rPr>
        <w:t>desciciones</w:t>
      </w:r>
      <w:proofErr w:type="spellEnd"/>
      <w:r w:rsidRPr="00465A1D">
        <w:rPr>
          <w:rFonts w:ascii="Arial" w:eastAsia="Times New Roman" w:hAnsi="Arial" w:cs="Arial"/>
          <w:kern w:val="0"/>
          <w:sz w:val="20"/>
          <w:szCs w:val="20"/>
          <w:lang w:eastAsia="es-PE"/>
          <w14:ligatures w14:val="none"/>
        </w:rPr>
        <w:t xml:space="preserve"> basados en suposiciones </w:t>
      </w:r>
      <w:r w:rsidRPr="00465A1D">
        <w:rPr>
          <w:rFonts w:ascii="Arial" w:eastAsia="Times New Roman" w:hAnsi="Arial" w:cs="Arial"/>
          <w:kern w:val="0"/>
          <w:sz w:val="20"/>
          <w:szCs w:val="20"/>
          <w:lang w:eastAsia="es-PE"/>
          <w14:ligatures w14:val="none"/>
        </w:rPr>
        <w:lastRenderedPageBreak/>
        <w:t xml:space="preserve">y no en pruebas. Esto demuestra aún más la necesidad de una escala que apoye la toma de decisiones (22). </w:t>
      </w:r>
    </w:p>
    <w:p w14:paraId="1B28E4B3" w14:textId="3978DA88" w:rsidR="00582539" w:rsidRPr="00465A1D" w:rsidRDefault="00582539" w:rsidP="00582539">
      <w:pPr>
        <w:spacing w:after="0" w:line="480" w:lineRule="auto"/>
        <w:jc w:val="both"/>
        <w:rPr>
          <w:rFonts w:ascii="Arial" w:eastAsia="Times New Roman" w:hAnsi="Arial" w:cs="Arial"/>
          <w:kern w:val="0"/>
          <w:sz w:val="20"/>
          <w:szCs w:val="20"/>
          <w:lang w:eastAsia="es-PE"/>
          <w14:ligatures w14:val="none"/>
        </w:rPr>
      </w:pPr>
      <w:r w:rsidRPr="00465A1D">
        <w:rPr>
          <w:rFonts w:ascii="Arial" w:eastAsia="Times New Roman" w:hAnsi="Arial" w:cs="Arial"/>
          <w:kern w:val="0"/>
          <w:sz w:val="20"/>
          <w:szCs w:val="20"/>
          <w:lang w:eastAsia="es-PE"/>
          <w14:ligatures w14:val="none"/>
        </w:rPr>
        <w:t xml:space="preserve">Finalmente, la valoración integral del adulto mayor en el contexto de la cirugía es un componente importante dentro de la atención médica. La evidencia presentada resalta la necesidad de un buen </w:t>
      </w:r>
      <w:proofErr w:type="spellStart"/>
      <w:r w:rsidRPr="00465A1D">
        <w:rPr>
          <w:rFonts w:ascii="Arial" w:eastAsia="Times New Roman" w:hAnsi="Arial" w:cs="Arial"/>
          <w:kern w:val="0"/>
          <w:sz w:val="20"/>
          <w:szCs w:val="20"/>
          <w:lang w:eastAsia="es-PE"/>
          <w14:ligatures w14:val="none"/>
        </w:rPr>
        <w:t>conocimeinto</w:t>
      </w:r>
      <w:proofErr w:type="spellEnd"/>
      <w:r w:rsidRPr="00465A1D">
        <w:rPr>
          <w:rFonts w:ascii="Arial" w:eastAsia="Times New Roman" w:hAnsi="Arial" w:cs="Arial"/>
          <w:kern w:val="0"/>
          <w:sz w:val="20"/>
          <w:szCs w:val="20"/>
          <w:lang w:eastAsia="es-PE"/>
          <w14:ligatures w14:val="none"/>
        </w:rPr>
        <w:t xml:space="preserve"> en medicina geriátrica entre los médicos en formación de especialidades quirúrgicas, con el fin de disminuir los riesgos asociados con el manejo de esta población vulnerable. El Presidente del Real Colegio de Cirujanos, Norman Williams, declaró </w:t>
      </w:r>
      <w:proofErr w:type="gramStart"/>
      <w:r w:rsidRPr="00465A1D">
        <w:rPr>
          <w:rFonts w:ascii="Arial" w:eastAsia="Times New Roman" w:hAnsi="Arial" w:cs="Arial"/>
          <w:kern w:val="0"/>
          <w:sz w:val="20"/>
          <w:szCs w:val="20"/>
          <w:lang w:eastAsia="es-PE"/>
          <w14:ligatures w14:val="none"/>
        </w:rPr>
        <w:t>que</w:t>
      </w:r>
      <w:proofErr w:type="gramEnd"/>
      <w:r w:rsidRPr="00465A1D">
        <w:rPr>
          <w:rFonts w:ascii="Arial" w:eastAsia="Times New Roman" w:hAnsi="Arial" w:cs="Arial"/>
          <w:kern w:val="0"/>
          <w:sz w:val="20"/>
          <w:szCs w:val="20"/>
          <w:lang w:eastAsia="es-PE"/>
          <w14:ligatures w14:val="none"/>
        </w:rPr>
        <w:t xml:space="preserve"> para los pacientes mayores con dolor de cadera, la cirugía puede ser más barata y ofrecer independencia en comparación de medicamentos. Por ello, la cirugía debe basarse en necesidad médica más no en la edad (23). Muchos adultos mayores pueden beneficiarse de la </w:t>
      </w:r>
      <w:proofErr w:type="spellStart"/>
      <w:r w:rsidRPr="00465A1D">
        <w:rPr>
          <w:rFonts w:ascii="Arial" w:eastAsia="Times New Roman" w:hAnsi="Arial" w:cs="Arial"/>
          <w:kern w:val="0"/>
          <w:sz w:val="20"/>
          <w:szCs w:val="20"/>
          <w:lang w:eastAsia="es-PE"/>
          <w14:ligatures w14:val="none"/>
        </w:rPr>
        <w:t>cirugia</w:t>
      </w:r>
      <w:proofErr w:type="spellEnd"/>
      <w:r w:rsidRPr="00465A1D">
        <w:rPr>
          <w:rFonts w:ascii="Arial" w:eastAsia="Times New Roman" w:hAnsi="Arial" w:cs="Arial"/>
          <w:kern w:val="0"/>
          <w:sz w:val="20"/>
          <w:szCs w:val="20"/>
          <w:lang w:eastAsia="es-PE"/>
          <w14:ligatures w14:val="none"/>
        </w:rPr>
        <w:t xml:space="preserve">, pero son </w:t>
      </w:r>
      <w:proofErr w:type="spellStart"/>
      <w:r w:rsidRPr="00465A1D">
        <w:rPr>
          <w:rFonts w:ascii="Arial" w:eastAsia="Times New Roman" w:hAnsi="Arial" w:cs="Arial"/>
          <w:kern w:val="0"/>
          <w:sz w:val="20"/>
          <w:szCs w:val="20"/>
          <w:lang w:eastAsia="es-PE"/>
          <w14:ligatures w14:val="none"/>
        </w:rPr>
        <w:t>rechazdos</w:t>
      </w:r>
      <w:proofErr w:type="spellEnd"/>
      <w:r w:rsidRPr="00465A1D">
        <w:rPr>
          <w:rFonts w:ascii="Arial" w:eastAsia="Times New Roman" w:hAnsi="Arial" w:cs="Arial"/>
          <w:kern w:val="0"/>
          <w:sz w:val="20"/>
          <w:szCs w:val="20"/>
          <w:lang w:eastAsia="es-PE"/>
          <w14:ligatures w14:val="none"/>
        </w:rPr>
        <w:t xml:space="preserve"> por su edad, no hay pruebas de operaciones extremadamente peligrosas para pacientes adultos mayores; sin embargo, debemos reconocer sus necesidades únicas (24). </w:t>
      </w:r>
    </w:p>
    <w:p w14:paraId="0ADA5BC8" w14:textId="77777777" w:rsidR="00582539" w:rsidRPr="00465A1D" w:rsidRDefault="00582539" w:rsidP="00582539">
      <w:pPr>
        <w:spacing w:after="0" w:line="480" w:lineRule="auto"/>
        <w:jc w:val="both"/>
        <w:rPr>
          <w:rFonts w:ascii="Arial" w:eastAsia="Times New Roman" w:hAnsi="Arial" w:cs="Arial"/>
          <w:kern w:val="0"/>
          <w:sz w:val="20"/>
          <w:szCs w:val="20"/>
          <w:lang w:eastAsia="es-PE"/>
          <w14:ligatures w14:val="none"/>
        </w:rPr>
      </w:pPr>
      <w:r w:rsidRPr="00465A1D">
        <w:rPr>
          <w:rFonts w:ascii="Arial" w:eastAsia="Times New Roman" w:hAnsi="Arial" w:cs="Arial"/>
          <w:kern w:val="0"/>
          <w:sz w:val="20"/>
          <w:szCs w:val="20"/>
          <w:lang w:eastAsia="es-PE"/>
          <w14:ligatures w14:val="none"/>
        </w:rPr>
        <w:t xml:space="preserve">La implementación de instrumentos validados adaptados a la realidad lingüística de cada entorno es fundamental para mejorar la calidad de la atención y reducir las complicaciones postoperatorias, la estancia hospitalaria prolongada, las infecciones del sitio operatorio y la mortalidad. Por ello, una adecuada valoración del adulto mayor antes, durante y después de la cirugía no solo mejora los resultados clínicos, sino que también contribuye a una atención más eficiente y centrada en el paciente, promoviendo así el bienestar de esta población la cual se encuentra en constante crecimiento. El edadismo tuvo un impacto negativo y aumentan con el tiempo. Hay una mayor prevalencia en países menos desarrollados, especialmente en personas de bajos recursos (25). </w:t>
      </w:r>
    </w:p>
    <w:p w14:paraId="6FDC6FF2" w14:textId="1D8177CD" w:rsidR="0048578A" w:rsidRPr="00465A1D" w:rsidRDefault="0048578A" w:rsidP="006B3118">
      <w:pPr>
        <w:spacing w:after="0" w:line="480" w:lineRule="auto"/>
        <w:jc w:val="both"/>
        <w:rPr>
          <w:rFonts w:ascii="Arial" w:eastAsia="Times New Roman" w:hAnsi="Arial" w:cs="Arial"/>
          <w:b/>
          <w:bCs/>
          <w:color w:val="000000"/>
          <w:kern w:val="0"/>
          <w:sz w:val="20"/>
          <w:szCs w:val="20"/>
          <w:lang w:eastAsia="es-PE"/>
          <w14:ligatures w14:val="none"/>
        </w:rPr>
      </w:pPr>
      <w:r w:rsidRPr="00465A1D">
        <w:rPr>
          <w:rFonts w:ascii="Arial" w:eastAsia="Times New Roman" w:hAnsi="Arial" w:cs="Arial"/>
          <w:b/>
          <w:bCs/>
          <w:color w:val="000000"/>
          <w:kern w:val="0"/>
          <w:sz w:val="20"/>
          <w:szCs w:val="20"/>
          <w:lang w:eastAsia="es-PE"/>
          <w14:ligatures w14:val="none"/>
        </w:rPr>
        <w:t>Tabla 4: Cálculo de nivel de adherencia</w:t>
      </w:r>
    </w:p>
    <w:tbl>
      <w:tblPr>
        <w:tblStyle w:val="Tablaconcuadrcula"/>
        <w:tblW w:w="9181" w:type="dxa"/>
        <w:tblLook w:val="04A0" w:firstRow="1" w:lastRow="0" w:firstColumn="1" w:lastColumn="0" w:noHBand="0" w:noVBand="1"/>
      </w:tblPr>
      <w:tblGrid>
        <w:gridCol w:w="1586"/>
        <w:gridCol w:w="1183"/>
        <w:gridCol w:w="972"/>
        <w:gridCol w:w="5440"/>
      </w:tblGrid>
      <w:tr w:rsidR="0048578A" w:rsidRPr="004D7281" w14:paraId="7604459C" w14:textId="77777777" w:rsidTr="00372748">
        <w:trPr>
          <w:trHeight w:val="703"/>
        </w:trPr>
        <w:tc>
          <w:tcPr>
            <w:tcW w:w="1589" w:type="dxa"/>
            <w:vAlign w:val="center"/>
          </w:tcPr>
          <w:p w14:paraId="70AD3286" w14:textId="77777777" w:rsidR="0048578A" w:rsidRPr="004D7281" w:rsidRDefault="0048578A" w:rsidP="00372748">
            <w:pPr>
              <w:jc w:val="center"/>
              <w:rPr>
                <w:rFonts w:ascii="Arial" w:hAnsi="Arial" w:cs="Arial"/>
                <w:b/>
                <w:bCs/>
                <w:sz w:val="20"/>
                <w:szCs w:val="20"/>
                <w:lang w:val="es-ES"/>
              </w:rPr>
            </w:pPr>
            <w:r w:rsidRPr="004D7281">
              <w:rPr>
                <w:rFonts w:ascii="Arial" w:hAnsi="Arial" w:cs="Arial"/>
                <w:b/>
                <w:bCs/>
                <w:sz w:val="20"/>
                <w:szCs w:val="20"/>
                <w:lang w:val="es-ES"/>
              </w:rPr>
              <w:t>Subítems</w:t>
            </w:r>
          </w:p>
        </w:tc>
        <w:tc>
          <w:tcPr>
            <w:tcW w:w="1113" w:type="dxa"/>
            <w:vAlign w:val="center"/>
          </w:tcPr>
          <w:p w14:paraId="3F7825A2" w14:textId="77777777" w:rsidR="0048578A" w:rsidRPr="004D7281" w:rsidRDefault="0048578A" w:rsidP="00372748">
            <w:pPr>
              <w:jc w:val="center"/>
              <w:rPr>
                <w:rFonts w:ascii="Arial" w:hAnsi="Arial" w:cs="Arial"/>
                <w:b/>
                <w:bCs/>
                <w:sz w:val="20"/>
                <w:szCs w:val="20"/>
                <w:lang w:val="es-ES"/>
              </w:rPr>
            </w:pPr>
            <w:r w:rsidRPr="004D7281">
              <w:rPr>
                <w:rFonts w:ascii="Arial" w:hAnsi="Arial" w:cs="Arial"/>
                <w:b/>
                <w:bCs/>
                <w:sz w:val="20"/>
                <w:szCs w:val="20"/>
                <w:lang w:val="es-ES"/>
              </w:rPr>
              <w:t>Número de preguntas</w:t>
            </w:r>
          </w:p>
        </w:tc>
        <w:tc>
          <w:tcPr>
            <w:tcW w:w="935" w:type="dxa"/>
            <w:vAlign w:val="center"/>
          </w:tcPr>
          <w:p w14:paraId="7F488181" w14:textId="77777777" w:rsidR="0048578A" w:rsidRPr="004D7281" w:rsidRDefault="0048578A" w:rsidP="00372748">
            <w:pPr>
              <w:jc w:val="center"/>
              <w:rPr>
                <w:rFonts w:ascii="Arial" w:hAnsi="Arial" w:cs="Arial"/>
                <w:b/>
                <w:bCs/>
                <w:sz w:val="20"/>
                <w:szCs w:val="20"/>
                <w:lang w:val="es-ES"/>
              </w:rPr>
            </w:pPr>
            <w:r w:rsidRPr="004D7281">
              <w:rPr>
                <w:rFonts w:ascii="Arial" w:hAnsi="Arial" w:cs="Arial"/>
                <w:b/>
                <w:bCs/>
                <w:sz w:val="20"/>
                <w:szCs w:val="20"/>
                <w:lang w:val="es-ES"/>
              </w:rPr>
              <w:t>Puntaje máximo</w:t>
            </w:r>
          </w:p>
        </w:tc>
        <w:tc>
          <w:tcPr>
            <w:tcW w:w="5544" w:type="dxa"/>
            <w:vAlign w:val="center"/>
          </w:tcPr>
          <w:p w14:paraId="1B9D20E9" w14:textId="193BE875" w:rsidR="0048578A" w:rsidRPr="004D7281" w:rsidRDefault="0048578A" w:rsidP="00372748">
            <w:pPr>
              <w:jc w:val="center"/>
              <w:rPr>
                <w:rFonts w:ascii="Arial" w:hAnsi="Arial" w:cs="Arial"/>
                <w:b/>
                <w:bCs/>
                <w:sz w:val="20"/>
                <w:szCs w:val="20"/>
                <w:lang w:val="es-ES"/>
              </w:rPr>
            </w:pPr>
            <w:r w:rsidRPr="004D7281">
              <w:rPr>
                <w:rFonts w:ascii="Arial" w:hAnsi="Arial" w:cs="Arial"/>
                <w:b/>
                <w:bCs/>
                <w:sz w:val="20"/>
                <w:szCs w:val="20"/>
                <w:lang w:val="es-ES"/>
              </w:rPr>
              <w:t>Cálculo de porcentaje de adherencia</w:t>
            </w:r>
            <w:r w:rsidR="0021100B" w:rsidRPr="004D7281">
              <w:rPr>
                <w:rFonts w:ascii="Arial" w:hAnsi="Arial" w:cs="Arial"/>
                <w:b/>
                <w:bCs/>
                <w:sz w:val="20"/>
                <w:szCs w:val="20"/>
                <w:lang w:val="es-ES"/>
              </w:rPr>
              <w:t xml:space="preserve"> a recomendaciones</w:t>
            </w:r>
          </w:p>
        </w:tc>
      </w:tr>
      <w:tr w:rsidR="0048578A" w:rsidRPr="004D7281" w14:paraId="2384FEC1" w14:textId="77777777" w:rsidTr="00372748">
        <w:trPr>
          <w:trHeight w:val="703"/>
        </w:trPr>
        <w:tc>
          <w:tcPr>
            <w:tcW w:w="1589" w:type="dxa"/>
            <w:vAlign w:val="center"/>
          </w:tcPr>
          <w:p w14:paraId="1CEF7001" w14:textId="77777777" w:rsidR="0048578A" w:rsidRPr="004D7281" w:rsidRDefault="0048578A" w:rsidP="00372748">
            <w:pPr>
              <w:jc w:val="center"/>
              <w:rPr>
                <w:rFonts w:ascii="Arial" w:hAnsi="Arial" w:cs="Arial"/>
                <w:sz w:val="20"/>
                <w:szCs w:val="20"/>
                <w:lang w:val="es-ES"/>
              </w:rPr>
            </w:pPr>
            <w:r w:rsidRPr="004D7281">
              <w:rPr>
                <w:rFonts w:ascii="Arial" w:hAnsi="Arial" w:cs="Arial"/>
                <w:sz w:val="20"/>
                <w:szCs w:val="20"/>
                <w:lang w:val="es-ES"/>
              </w:rPr>
              <w:t>Preoperatorio</w:t>
            </w:r>
          </w:p>
        </w:tc>
        <w:tc>
          <w:tcPr>
            <w:tcW w:w="1113" w:type="dxa"/>
            <w:vAlign w:val="center"/>
          </w:tcPr>
          <w:p w14:paraId="28A8936E" w14:textId="77777777" w:rsidR="0048578A" w:rsidRPr="004D7281" w:rsidRDefault="0048578A" w:rsidP="00372748">
            <w:pPr>
              <w:jc w:val="center"/>
              <w:rPr>
                <w:rFonts w:ascii="Arial" w:hAnsi="Arial" w:cs="Arial"/>
                <w:sz w:val="20"/>
                <w:szCs w:val="20"/>
                <w:lang w:val="es-ES"/>
              </w:rPr>
            </w:pPr>
            <w:r w:rsidRPr="004D7281">
              <w:rPr>
                <w:rFonts w:ascii="Arial" w:hAnsi="Arial" w:cs="Arial"/>
                <w:sz w:val="20"/>
                <w:szCs w:val="20"/>
                <w:lang w:val="es-ES"/>
              </w:rPr>
              <w:t>14</w:t>
            </w:r>
          </w:p>
        </w:tc>
        <w:tc>
          <w:tcPr>
            <w:tcW w:w="935" w:type="dxa"/>
            <w:vAlign w:val="center"/>
          </w:tcPr>
          <w:p w14:paraId="662CBE39" w14:textId="77777777" w:rsidR="0048578A" w:rsidRPr="004D7281" w:rsidRDefault="0048578A" w:rsidP="00372748">
            <w:pPr>
              <w:jc w:val="center"/>
              <w:rPr>
                <w:rFonts w:ascii="Arial" w:hAnsi="Arial" w:cs="Arial"/>
                <w:sz w:val="20"/>
                <w:szCs w:val="20"/>
                <w:lang w:val="es-ES"/>
              </w:rPr>
            </w:pPr>
            <w:r w:rsidRPr="004D7281">
              <w:rPr>
                <w:rFonts w:ascii="Arial" w:hAnsi="Arial" w:cs="Arial"/>
                <w:sz w:val="20"/>
                <w:szCs w:val="20"/>
                <w:lang w:val="es-ES"/>
              </w:rPr>
              <w:t>70</w:t>
            </w:r>
          </w:p>
        </w:tc>
        <w:tc>
          <w:tcPr>
            <w:tcW w:w="5544" w:type="dxa"/>
            <w:vAlign w:val="center"/>
          </w:tcPr>
          <w:p w14:paraId="5D8A73B0" w14:textId="30472C6E" w:rsidR="0048578A" w:rsidRPr="00767826" w:rsidRDefault="0048578A" w:rsidP="00372748">
            <w:pPr>
              <w:jc w:val="center"/>
              <w:rPr>
                <w:rFonts w:ascii="Arial" w:hAnsi="Arial" w:cs="Arial"/>
                <w:sz w:val="18"/>
                <w:szCs w:val="18"/>
                <w:lang w:val="es-ES"/>
              </w:rPr>
            </w:pPr>
            <m:oMathPara>
              <m:oMath>
                <m:r>
                  <w:rPr>
                    <w:rFonts w:ascii="Cambria Math" w:hAnsi="Cambria Math" w:cs="Arial"/>
                    <w:sz w:val="18"/>
                    <w:szCs w:val="18"/>
                    <w:lang w:val="es-ES"/>
                  </w:rPr>
                  <m:t>% adherencia preoperatorio=</m:t>
                </m:r>
                <m:d>
                  <m:dPr>
                    <m:ctrlPr>
                      <w:rPr>
                        <w:rFonts w:ascii="Cambria Math" w:hAnsi="Cambria Math" w:cs="Arial"/>
                        <w:i/>
                        <w:sz w:val="18"/>
                        <w:szCs w:val="18"/>
                        <w:lang w:val="es-ES"/>
                      </w:rPr>
                    </m:ctrlPr>
                  </m:dPr>
                  <m:e>
                    <m:f>
                      <m:fPr>
                        <m:ctrlPr>
                          <w:rPr>
                            <w:rFonts w:ascii="Cambria Math" w:hAnsi="Cambria Math" w:cs="Arial"/>
                            <w:i/>
                            <w:sz w:val="18"/>
                            <w:szCs w:val="18"/>
                            <w:lang w:val="es-ES"/>
                          </w:rPr>
                        </m:ctrlPr>
                      </m:fPr>
                      <m:num>
                        <m:r>
                          <w:rPr>
                            <w:rFonts w:ascii="Cambria Math" w:hAnsi="Cambria Math" w:cs="Arial"/>
                            <w:sz w:val="18"/>
                            <w:szCs w:val="18"/>
                            <w:lang w:val="es-ES"/>
                          </w:rPr>
                          <m:t>Puntaje del participante</m:t>
                        </m:r>
                      </m:num>
                      <m:den>
                        <m:r>
                          <w:rPr>
                            <w:rFonts w:ascii="Cambria Math" w:hAnsi="Cambria Math" w:cs="Arial"/>
                            <w:sz w:val="18"/>
                            <w:szCs w:val="18"/>
                            <w:lang w:val="es-ES"/>
                          </w:rPr>
                          <m:t>70</m:t>
                        </m:r>
                      </m:den>
                    </m:f>
                  </m:e>
                </m:d>
                <m:r>
                  <w:rPr>
                    <w:rFonts w:ascii="Cambria Math" w:hAnsi="Cambria Math" w:cs="Arial"/>
                    <w:sz w:val="18"/>
                    <w:szCs w:val="18"/>
                    <w:lang w:val="es-ES"/>
                  </w:rPr>
                  <m:t>x100</m:t>
                </m:r>
              </m:oMath>
            </m:oMathPara>
          </w:p>
        </w:tc>
      </w:tr>
      <w:tr w:rsidR="0048578A" w:rsidRPr="004D7281" w14:paraId="5788C2C3" w14:textId="77777777" w:rsidTr="00372748">
        <w:trPr>
          <w:trHeight w:val="703"/>
        </w:trPr>
        <w:tc>
          <w:tcPr>
            <w:tcW w:w="1589" w:type="dxa"/>
            <w:vAlign w:val="center"/>
          </w:tcPr>
          <w:p w14:paraId="402E0775" w14:textId="77777777" w:rsidR="0048578A" w:rsidRPr="004D7281" w:rsidRDefault="0048578A" w:rsidP="00372748">
            <w:pPr>
              <w:jc w:val="center"/>
              <w:rPr>
                <w:rFonts w:ascii="Arial" w:hAnsi="Arial" w:cs="Arial"/>
                <w:sz w:val="20"/>
                <w:szCs w:val="20"/>
                <w:lang w:val="es-ES"/>
              </w:rPr>
            </w:pPr>
            <w:r w:rsidRPr="004D7281">
              <w:rPr>
                <w:rFonts w:ascii="Arial" w:hAnsi="Arial" w:cs="Arial"/>
                <w:sz w:val="20"/>
                <w:szCs w:val="20"/>
                <w:lang w:val="es-ES"/>
              </w:rPr>
              <w:t>Intraoperatorio</w:t>
            </w:r>
          </w:p>
        </w:tc>
        <w:tc>
          <w:tcPr>
            <w:tcW w:w="1113" w:type="dxa"/>
            <w:vAlign w:val="center"/>
          </w:tcPr>
          <w:p w14:paraId="40E0E913" w14:textId="77777777" w:rsidR="0048578A" w:rsidRPr="004D7281" w:rsidRDefault="0048578A" w:rsidP="00372748">
            <w:pPr>
              <w:jc w:val="center"/>
              <w:rPr>
                <w:rFonts w:ascii="Arial" w:hAnsi="Arial" w:cs="Arial"/>
                <w:sz w:val="20"/>
                <w:szCs w:val="20"/>
                <w:lang w:val="es-ES"/>
              </w:rPr>
            </w:pPr>
            <w:r w:rsidRPr="004D7281">
              <w:rPr>
                <w:rFonts w:ascii="Arial" w:hAnsi="Arial" w:cs="Arial"/>
                <w:sz w:val="20"/>
                <w:szCs w:val="20"/>
                <w:lang w:val="es-ES"/>
              </w:rPr>
              <w:t>10</w:t>
            </w:r>
          </w:p>
        </w:tc>
        <w:tc>
          <w:tcPr>
            <w:tcW w:w="935" w:type="dxa"/>
            <w:vAlign w:val="center"/>
          </w:tcPr>
          <w:p w14:paraId="0F5A4204" w14:textId="77777777" w:rsidR="0048578A" w:rsidRPr="004D7281" w:rsidRDefault="0048578A" w:rsidP="00372748">
            <w:pPr>
              <w:jc w:val="center"/>
              <w:rPr>
                <w:rFonts w:ascii="Arial" w:hAnsi="Arial" w:cs="Arial"/>
                <w:sz w:val="20"/>
                <w:szCs w:val="20"/>
                <w:lang w:val="es-ES"/>
              </w:rPr>
            </w:pPr>
            <w:r w:rsidRPr="004D7281">
              <w:rPr>
                <w:rFonts w:ascii="Arial" w:hAnsi="Arial" w:cs="Arial"/>
                <w:sz w:val="20"/>
                <w:szCs w:val="20"/>
                <w:lang w:val="es-ES"/>
              </w:rPr>
              <w:t>50</w:t>
            </w:r>
          </w:p>
        </w:tc>
        <w:tc>
          <w:tcPr>
            <w:tcW w:w="5544" w:type="dxa"/>
            <w:vAlign w:val="center"/>
          </w:tcPr>
          <w:p w14:paraId="14A34B34" w14:textId="77777777" w:rsidR="0048578A" w:rsidRPr="00767826" w:rsidRDefault="0048578A" w:rsidP="00372748">
            <w:pPr>
              <w:jc w:val="center"/>
              <w:rPr>
                <w:rFonts w:ascii="Arial" w:hAnsi="Arial" w:cs="Arial"/>
                <w:sz w:val="18"/>
                <w:szCs w:val="18"/>
                <w:lang w:val="es-ES"/>
              </w:rPr>
            </w:pPr>
            <m:oMathPara>
              <m:oMath>
                <m:r>
                  <w:rPr>
                    <w:rFonts w:ascii="Cambria Math" w:hAnsi="Cambria Math" w:cs="Arial"/>
                    <w:sz w:val="18"/>
                    <w:szCs w:val="18"/>
                    <w:lang w:val="es-ES"/>
                  </w:rPr>
                  <m:t>%adherencia intraoperatorio=</m:t>
                </m:r>
                <m:d>
                  <m:dPr>
                    <m:ctrlPr>
                      <w:rPr>
                        <w:rFonts w:ascii="Cambria Math" w:hAnsi="Cambria Math" w:cs="Arial"/>
                        <w:i/>
                        <w:sz w:val="18"/>
                        <w:szCs w:val="18"/>
                        <w:lang w:val="es-ES"/>
                      </w:rPr>
                    </m:ctrlPr>
                  </m:dPr>
                  <m:e>
                    <m:f>
                      <m:fPr>
                        <m:ctrlPr>
                          <w:rPr>
                            <w:rFonts w:ascii="Cambria Math" w:hAnsi="Cambria Math" w:cs="Arial"/>
                            <w:i/>
                            <w:sz w:val="18"/>
                            <w:szCs w:val="18"/>
                            <w:lang w:val="es-ES"/>
                          </w:rPr>
                        </m:ctrlPr>
                      </m:fPr>
                      <m:num>
                        <m:r>
                          <w:rPr>
                            <w:rFonts w:ascii="Cambria Math" w:hAnsi="Cambria Math" w:cs="Arial"/>
                            <w:sz w:val="18"/>
                            <w:szCs w:val="18"/>
                            <w:lang w:val="es-ES"/>
                          </w:rPr>
                          <m:t>Puntaje del participante</m:t>
                        </m:r>
                      </m:num>
                      <m:den>
                        <m:r>
                          <w:rPr>
                            <w:rFonts w:ascii="Cambria Math" w:hAnsi="Cambria Math" w:cs="Arial"/>
                            <w:sz w:val="18"/>
                            <w:szCs w:val="18"/>
                            <w:lang w:val="es-ES"/>
                          </w:rPr>
                          <m:t>50</m:t>
                        </m:r>
                      </m:den>
                    </m:f>
                  </m:e>
                </m:d>
                <m:r>
                  <w:rPr>
                    <w:rFonts w:ascii="Cambria Math" w:hAnsi="Cambria Math" w:cs="Arial"/>
                    <w:sz w:val="18"/>
                    <w:szCs w:val="18"/>
                    <w:lang w:val="es-ES"/>
                  </w:rPr>
                  <m:t>x100</m:t>
                </m:r>
              </m:oMath>
            </m:oMathPara>
          </w:p>
        </w:tc>
      </w:tr>
      <w:tr w:rsidR="0048578A" w:rsidRPr="004D7281" w14:paraId="42AB1E4B" w14:textId="77777777" w:rsidTr="00372748">
        <w:trPr>
          <w:trHeight w:val="704"/>
        </w:trPr>
        <w:tc>
          <w:tcPr>
            <w:tcW w:w="1589" w:type="dxa"/>
            <w:vAlign w:val="center"/>
          </w:tcPr>
          <w:p w14:paraId="34A48783" w14:textId="77777777" w:rsidR="0048578A" w:rsidRPr="004D7281" w:rsidRDefault="0048578A" w:rsidP="00372748">
            <w:pPr>
              <w:jc w:val="center"/>
              <w:rPr>
                <w:rFonts w:ascii="Arial" w:hAnsi="Arial" w:cs="Arial"/>
                <w:sz w:val="20"/>
                <w:szCs w:val="20"/>
                <w:lang w:val="es-ES"/>
              </w:rPr>
            </w:pPr>
            <w:r w:rsidRPr="004D7281">
              <w:rPr>
                <w:rFonts w:ascii="Arial" w:hAnsi="Arial" w:cs="Arial"/>
                <w:sz w:val="20"/>
                <w:szCs w:val="20"/>
                <w:lang w:val="es-ES"/>
              </w:rPr>
              <w:t>Postoperatorio</w:t>
            </w:r>
          </w:p>
        </w:tc>
        <w:tc>
          <w:tcPr>
            <w:tcW w:w="1113" w:type="dxa"/>
            <w:vAlign w:val="center"/>
          </w:tcPr>
          <w:p w14:paraId="26EF69CF" w14:textId="77777777" w:rsidR="0048578A" w:rsidRPr="004D7281" w:rsidRDefault="0048578A" w:rsidP="00372748">
            <w:pPr>
              <w:jc w:val="center"/>
              <w:rPr>
                <w:rFonts w:ascii="Arial" w:hAnsi="Arial" w:cs="Arial"/>
                <w:sz w:val="20"/>
                <w:szCs w:val="20"/>
                <w:lang w:val="es-ES"/>
              </w:rPr>
            </w:pPr>
            <w:r w:rsidRPr="004D7281">
              <w:rPr>
                <w:rFonts w:ascii="Arial" w:hAnsi="Arial" w:cs="Arial"/>
                <w:sz w:val="20"/>
                <w:szCs w:val="20"/>
                <w:lang w:val="es-ES"/>
              </w:rPr>
              <w:t>14</w:t>
            </w:r>
          </w:p>
        </w:tc>
        <w:tc>
          <w:tcPr>
            <w:tcW w:w="935" w:type="dxa"/>
            <w:vAlign w:val="center"/>
          </w:tcPr>
          <w:p w14:paraId="49BAED09" w14:textId="77777777" w:rsidR="0048578A" w:rsidRPr="004D7281" w:rsidRDefault="0048578A" w:rsidP="00372748">
            <w:pPr>
              <w:jc w:val="center"/>
              <w:rPr>
                <w:rFonts w:ascii="Arial" w:hAnsi="Arial" w:cs="Arial"/>
                <w:sz w:val="20"/>
                <w:szCs w:val="20"/>
                <w:lang w:val="es-ES"/>
              </w:rPr>
            </w:pPr>
            <w:r w:rsidRPr="004D7281">
              <w:rPr>
                <w:rFonts w:ascii="Arial" w:hAnsi="Arial" w:cs="Arial"/>
                <w:sz w:val="20"/>
                <w:szCs w:val="20"/>
                <w:lang w:val="es-ES"/>
              </w:rPr>
              <w:t>70</w:t>
            </w:r>
          </w:p>
        </w:tc>
        <w:tc>
          <w:tcPr>
            <w:tcW w:w="5544" w:type="dxa"/>
            <w:vAlign w:val="center"/>
          </w:tcPr>
          <w:p w14:paraId="23244D03" w14:textId="77777777" w:rsidR="0048578A" w:rsidRPr="00767826" w:rsidRDefault="0048578A" w:rsidP="00372748">
            <w:pPr>
              <w:jc w:val="center"/>
              <w:rPr>
                <w:rFonts w:ascii="Arial" w:hAnsi="Arial" w:cs="Arial"/>
                <w:sz w:val="18"/>
                <w:szCs w:val="18"/>
                <w:lang w:val="es-ES"/>
              </w:rPr>
            </w:pPr>
            <m:oMathPara>
              <m:oMath>
                <m:r>
                  <w:rPr>
                    <w:rFonts w:ascii="Cambria Math" w:hAnsi="Cambria Math" w:cs="Arial"/>
                    <w:sz w:val="18"/>
                    <w:szCs w:val="18"/>
                    <w:lang w:val="es-ES"/>
                  </w:rPr>
                  <m:t>%adherencia postoperatorio=</m:t>
                </m:r>
                <m:d>
                  <m:dPr>
                    <m:ctrlPr>
                      <w:rPr>
                        <w:rFonts w:ascii="Cambria Math" w:hAnsi="Cambria Math" w:cs="Arial"/>
                        <w:i/>
                        <w:sz w:val="18"/>
                        <w:szCs w:val="18"/>
                        <w:lang w:val="es-ES"/>
                      </w:rPr>
                    </m:ctrlPr>
                  </m:dPr>
                  <m:e>
                    <m:f>
                      <m:fPr>
                        <m:ctrlPr>
                          <w:rPr>
                            <w:rFonts w:ascii="Cambria Math" w:hAnsi="Cambria Math" w:cs="Arial"/>
                            <w:i/>
                            <w:sz w:val="18"/>
                            <w:szCs w:val="18"/>
                            <w:lang w:val="es-ES"/>
                          </w:rPr>
                        </m:ctrlPr>
                      </m:fPr>
                      <m:num>
                        <m:r>
                          <w:rPr>
                            <w:rFonts w:ascii="Cambria Math" w:hAnsi="Cambria Math" w:cs="Arial"/>
                            <w:sz w:val="18"/>
                            <w:szCs w:val="18"/>
                            <w:lang w:val="es-ES"/>
                          </w:rPr>
                          <m:t>Puntaje del participante</m:t>
                        </m:r>
                      </m:num>
                      <m:den>
                        <m:r>
                          <w:rPr>
                            <w:rFonts w:ascii="Cambria Math" w:hAnsi="Cambria Math" w:cs="Arial"/>
                            <w:sz w:val="18"/>
                            <w:szCs w:val="18"/>
                            <w:lang w:val="es-ES"/>
                          </w:rPr>
                          <m:t>70</m:t>
                        </m:r>
                      </m:den>
                    </m:f>
                  </m:e>
                </m:d>
                <m:r>
                  <w:rPr>
                    <w:rFonts w:ascii="Cambria Math" w:hAnsi="Cambria Math" w:cs="Arial"/>
                    <w:sz w:val="18"/>
                    <w:szCs w:val="18"/>
                    <w:lang w:val="es-ES"/>
                  </w:rPr>
                  <m:t>x100</m:t>
                </m:r>
              </m:oMath>
            </m:oMathPara>
          </w:p>
        </w:tc>
      </w:tr>
      <w:tr w:rsidR="0048578A" w:rsidRPr="004D7281" w14:paraId="37BA38FC" w14:textId="77777777" w:rsidTr="00372748">
        <w:trPr>
          <w:trHeight w:val="703"/>
        </w:trPr>
        <w:tc>
          <w:tcPr>
            <w:tcW w:w="1589" w:type="dxa"/>
            <w:vAlign w:val="center"/>
          </w:tcPr>
          <w:p w14:paraId="39B5F18C" w14:textId="77777777" w:rsidR="0048578A" w:rsidRPr="004D7281" w:rsidRDefault="0048578A" w:rsidP="00372748">
            <w:pPr>
              <w:jc w:val="center"/>
              <w:rPr>
                <w:rFonts w:ascii="Arial" w:hAnsi="Arial" w:cs="Arial"/>
                <w:sz w:val="20"/>
                <w:szCs w:val="20"/>
                <w:lang w:val="es-ES"/>
              </w:rPr>
            </w:pPr>
            <w:proofErr w:type="gramStart"/>
            <w:r w:rsidRPr="004D7281">
              <w:rPr>
                <w:rFonts w:ascii="Arial" w:hAnsi="Arial" w:cs="Arial"/>
                <w:sz w:val="20"/>
                <w:szCs w:val="20"/>
                <w:lang w:val="es-ES"/>
              </w:rPr>
              <w:t>Total</w:t>
            </w:r>
            <w:proofErr w:type="gramEnd"/>
            <w:r w:rsidRPr="004D7281">
              <w:rPr>
                <w:rFonts w:ascii="Arial" w:hAnsi="Arial" w:cs="Arial"/>
                <w:sz w:val="20"/>
                <w:szCs w:val="20"/>
                <w:lang w:val="es-ES"/>
              </w:rPr>
              <w:t xml:space="preserve"> de preguntas</w:t>
            </w:r>
          </w:p>
        </w:tc>
        <w:tc>
          <w:tcPr>
            <w:tcW w:w="1113" w:type="dxa"/>
            <w:vAlign w:val="center"/>
          </w:tcPr>
          <w:p w14:paraId="14005A95" w14:textId="77777777" w:rsidR="0048578A" w:rsidRPr="004D7281" w:rsidRDefault="0048578A" w:rsidP="00372748">
            <w:pPr>
              <w:jc w:val="center"/>
              <w:rPr>
                <w:rFonts w:ascii="Arial" w:hAnsi="Arial" w:cs="Arial"/>
                <w:sz w:val="20"/>
                <w:szCs w:val="20"/>
                <w:lang w:val="es-ES"/>
              </w:rPr>
            </w:pPr>
            <w:r w:rsidRPr="004D7281">
              <w:rPr>
                <w:rFonts w:ascii="Arial" w:hAnsi="Arial" w:cs="Arial"/>
                <w:sz w:val="20"/>
                <w:szCs w:val="20"/>
                <w:lang w:val="es-ES"/>
              </w:rPr>
              <w:t>38</w:t>
            </w:r>
          </w:p>
        </w:tc>
        <w:tc>
          <w:tcPr>
            <w:tcW w:w="935" w:type="dxa"/>
            <w:vAlign w:val="center"/>
          </w:tcPr>
          <w:p w14:paraId="6C9FCDFC" w14:textId="77777777" w:rsidR="0048578A" w:rsidRPr="004D7281" w:rsidRDefault="0048578A" w:rsidP="00372748">
            <w:pPr>
              <w:jc w:val="center"/>
              <w:rPr>
                <w:rFonts w:ascii="Arial" w:hAnsi="Arial" w:cs="Arial"/>
                <w:sz w:val="20"/>
                <w:szCs w:val="20"/>
                <w:lang w:val="es-ES"/>
              </w:rPr>
            </w:pPr>
            <w:r w:rsidRPr="004D7281">
              <w:rPr>
                <w:rFonts w:ascii="Arial" w:hAnsi="Arial" w:cs="Arial"/>
                <w:sz w:val="20"/>
                <w:szCs w:val="20"/>
                <w:lang w:val="es-ES"/>
              </w:rPr>
              <w:t>190</w:t>
            </w:r>
          </w:p>
        </w:tc>
        <w:tc>
          <w:tcPr>
            <w:tcW w:w="5544" w:type="dxa"/>
            <w:vAlign w:val="center"/>
          </w:tcPr>
          <w:p w14:paraId="49AE1DCE" w14:textId="77777777" w:rsidR="0048578A" w:rsidRPr="00767826" w:rsidRDefault="0048578A" w:rsidP="00372748">
            <w:pPr>
              <w:jc w:val="center"/>
              <w:rPr>
                <w:rFonts w:ascii="Arial" w:hAnsi="Arial" w:cs="Arial"/>
                <w:sz w:val="18"/>
                <w:szCs w:val="18"/>
                <w:lang w:val="es-ES"/>
              </w:rPr>
            </w:pPr>
            <m:oMathPara>
              <m:oMath>
                <m:r>
                  <w:rPr>
                    <w:rFonts w:ascii="Cambria Math" w:hAnsi="Cambria Math" w:cs="Arial"/>
                    <w:sz w:val="18"/>
                    <w:szCs w:val="18"/>
                    <w:lang w:val="es-ES"/>
                  </w:rPr>
                  <m:t>%adherencia total=</m:t>
                </m:r>
                <m:d>
                  <m:dPr>
                    <m:ctrlPr>
                      <w:rPr>
                        <w:rFonts w:ascii="Cambria Math" w:hAnsi="Cambria Math" w:cs="Arial"/>
                        <w:i/>
                        <w:sz w:val="18"/>
                        <w:szCs w:val="18"/>
                        <w:lang w:val="es-ES"/>
                      </w:rPr>
                    </m:ctrlPr>
                  </m:dPr>
                  <m:e>
                    <m:f>
                      <m:fPr>
                        <m:ctrlPr>
                          <w:rPr>
                            <w:rFonts w:ascii="Cambria Math" w:hAnsi="Cambria Math" w:cs="Arial"/>
                            <w:i/>
                            <w:sz w:val="18"/>
                            <w:szCs w:val="18"/>
                            <w:lang w:val="es-ES"/>
                          </w:rPr>
                        </m:ctrlPr>
                      </m:fPr>
                      <m:num>
                        <m:r>
                          <w:rPr>
                            <w:rFonts w:ascii="Cambria Math" w:hAnsi="Cambria Math" w:cs="Arial"/>
                            <w:sz w:val="18"/>
                            <w:szCs w:val="18"/>
                            <w:lang w:val="es-ES"/>
                          </w:rPr>
                          <m:t>Puntaje del participante</m:t>
                        </m:r>
                      </m:num>
                      <m:den>
                        <m:r>
                          <w:rPr>
                            <w:rFonts w:ascii="Cambria Math" w:hAnsi="Cambria Math" w:cs="Arial"/>
                            <w:sz w:val="18"/>
                            <w:szCs w:val="18"/>
                            <w:lang w:val="es-ES"/>
                          </w:rPr>
                          <m:t>190</m:t>
                        </m:r>
                      </m:den>
                    </m:f>
                  </m:e>
                </m:d>
                <m:r>
                  <w:rPr>
                    <w:rFonts w:ascii="Cambria Math" w:hAnsi="Cambria Math" w:cs="Arial"/>
                    <w:sz w:val="18"/>
                    <w:szCs w:val="18"/>
                    <w:lang w:val="es-ES"/>
                  </w:rPr>
                  <m:t>x100</m:t>
                </m:r>
              </m:oMath>
            </m:oMathPara>
          </w:p>
        </w:tc>
      </w:tr>
    </w:tbl>
    <w:p w14:paraId="7E9965D9" w14:textId="77777777" w:rsidR="0048578A" w:rsidRPr="004D7281" w:rsidRDefault="0048578A" w:rsidP="006B3118">
      <w:pPr>
        <w:spacing w:after="0" w:line="480" w:lineRule="auto"/>
        <w:jc w:val="both"/>
        <w:rPr>
          <w:rFonts w:ascii="Arial" w:eastAsia="Times New Roman" w:hAnsi="Arial" w:cs="Arial"/>
          <w:color w:val="000000"/>
          <w:kern w:val="0"/>
          <w:sz w:val="20"/>
          <w:szCs w:val="20"/>
          <w:lang w:val="es-ES" w:eastAsia="es-PE"/>
          <w14:ligatures w14:val="none"/>
        </w:rPr>
      </w:pPr>
    </w:p>
    <w:p w14:paraId="5E6C695D" w14:textId="77777777" w:rsidR="006B3118" w:rsidRPr="004D7281" w:rsidRDefault="006B3118" w:rsidP="006B3118">
      <w:pPr>
        <w:spacing w:after="0" w:line="480" w:lineRule="auto"/>
        <w:rPr>
          <w:rFonts w:ascii="Arial" w:eastAsia="Times New Roman" w:hAnsi="Arial" w:cs="Arial"/>
          <w:kern w:val="0"/>
          <w:sz w:val="20"/>
          <w:szCs w:val="20"/>
          <w:lang w:eastAsia="es-PE"/>
          <w14:ligatures w14:val="none"/>
        </w:rPr>
      </w:pPr>
      <w:r w:rsidRPr="004D7281">
        <w:rPr>
          <w:rFonts w:ascii="Arial" w:eastAsia="Times New Roman" w:hAnsi="Arial" w:cs="Arial"/>
          <w:b/>
          <w:bCs/>
          <w:color w:val="000000"/>
          <w:kern w:val="0"/>
          <w:sz w:val="20"/>
          <w:szCs w:val="20"/>
          <w:lang w:eastAsia="es-PE"/>
          <w14:ligatures w14:val="none"/>
        </w:rPr>
        <w:lastRenderedPageBreak/>
        <w:t>Financiación</w:t>
      </w:r>
    </w:p>
    <w:p w14:paraId="00130961" w14:textId="77777777" w:rsidR="006B3118" w:rsidRPr="004D7281" w:rsidRDefault="006B3118" w:rsidP="006B3118">
      <w:pPr>
        <w:spacing w:after="0" w:line="480" w:lineRule="auto"/>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El presente estudio fue financiado por la beca Cabieses de la Universidad Científica del Sur. </w:t>
      </w:r>
    </w:p>
    <w:p w14:paraId="755B73A0" w14:textId="77777777" w:rsidR="006B3118" w:rsidRPr="004D7281" w:rsidRDefault="006B3118" w:rsidP="006B3118">
      <w:pPr>
        <w:spacing w:after="0" w:line="480" w:lineRule="auto"/>
        <w:rPr>
          <w:rFonts w:ascii="Arial" w:eastAsia="Times New Roman" w:hAnsi="Arial" w:cs="Arial"/>
          <w:kern w:val="0"/>
          <w:sz w:val="20"/>
          <w:szCs w:val="20"/>
          <w:lang w:eastAsia="es-PE"/>
          <w14:ligatures w14:val="none"/>
        </w:rPr>
      </w:pPr>
      <w:r w:rsidRPr="004D7281">
        <w:rPr>
          <w:rFonts w:ascii="Arial" w:eastAsia="Times New Roman" w:hAnsi="Arial" w:cs="Arial"/>
          <w:b/>
          <w:bCs/>
          <w:color w:val="000000"/>
          <w:kern w:val="0"/>
          <w:sz w:val="20"/>
          <w:szCs w:val="20"/>
          <w:lang w:eastAsia="es-PE"/>
          <w14:ligatures w14:val="none"/>
        </w:rPr>
        <w:t>Conflictos de interés</w:t>
      </w:r>
    </w:p>
    <w:p w14:paraId="506FB377" w14:textId="77777777" w:rsidR="006B3118" w:rsidRPr="004D7281" w:rsidRDefault="006B3118" w:rsidP="006B3118">
      <w:pPr>
        <w:spacing w:after="0" w:line="480" w:lineRule="auto"/>
        <w:rPr>
          <w:rFonts w:ascii="Arial" w:eastAsia="Times New Roman" w:hAnsi="Arial" w:cs="Arial"/>
          <w:kern w:val="0"/>
          <w:sz w:val="20"/>
          <w:szCs w:val="20"/>
          <w:lang w:eastAsia="es-PE"/>
          <w14:ligatures w14:val="none"/>
        </w:rPr>
      </w:pPr>
      <w:r w:rsidRPr="004D7281">
        <w:rPr>
          <w:rFonts w:ascii="Arial" w:eastAsia="Times New Roman" w:hAnsi="Arial" w:cs="Arial"/>
          <w:color w:val="000000"/>
          <w:kern w:val="0"/>
          <w:sz w:val="20"/>
          <w:szCs w:val="20"/>
          <w:lang w:eastAsia="es-PE"/>
          <w14:ligatures w14:val="none"/>
        </w:rPr>
        <w:t>Los autores niegan tener algún conflicto de interés</w:t>
      </w:r>
    </w:p>
    <w:p w14:paraId="6844CAE6" w14:textId="77777777" w:rsidR="006B3118" w:rsidRPr="004D7281" w:rsidRDefault="006B3118" w:rsidP="006B3118">
      <w:pPr>
        <w:spacing w:after="0" w:line="480" w:lineRule="auto"/>
        <w:rPr>
          <w:rFonts w:ascii="Arial" w:eastAsia="Times New Roman" w:hAnsi="Arial" w:cs="Arial"/>
          <w:kern w:val="0"/>
          <w:sz w:val="20"/>
          <w:szCs w:val="20"/>
          <w:lang w:eastAsia="es-PE"/>
          <w14:ligatures w14:val="none"/>
        </w:rPr>
      </w:pPr>
      <w:r w:rsidRPr="004D7281">
        <w:rPr>
          <w:rFonts w:ascii="Arial" w:eastAsia="Times New Roman" w:hAnsi="Arial" w:cs="Arial"/>
          <w:b/>
          <w:bCs/>
          <w:color w:val="000000"/>
          <w:kern w:val="0"/>
          <w:sz w:val="20"/>
          <w:szCs w:val="20"/>
          <w:lang w:eastAsia="es-PE"/>
          <w14:ligatures w14:val="none"/>
        </w:rPr>
        <w:t>Anexo. Material adicional</w:t>
      </w:r>
    </w:p>
    <w:p w14:paraId="3228BE42" w14:textId="1F9F1588" w:rsidR="006B3118" w:rsidRDefault="006B3118" w:rsidP="006B3118">
      <w:pPr>
        <w:spacing w:after="0" w:line="480" w:lineRule="auto"/>
      </w:pPr>
      <w:r w:rsidRPr="004D7281">
        <w:rPr>
          <w:rFonts w:ascii="Arial" w:eastAsia="Times New Roman" w:hAnsi="Arial" w:cs="Arial"/>
          <w:color w:val="000000" w:themeColor="text1"/>
          <w:kern w:val="0"/>
          <w:sz w:val="20"/>
          <w:szCs w:val="20"/>
          <w:lang w:eastAsia="es-PE"/>
          <w14:ligatures w14:val="none"/>
        </w:rPr>
        <w:t>Se puede consultar material adicional respecto a la validación en:</w:t>
      </w:r>
      <w:r w:rsidR="0009408A" w:rsidRPr="004D7281">
        <w:rPr>
          <w:rFonts w:ascii="Arial" w:eastAsia="Times New Roman" w:hAnsi="Arial" w:cs="Arial"/>
          <w:color w:val="000000" w:themeColor="text1"/>
          <w:kern w:val="0"/>
          <w:sz w:val="20"/>
          <w:szCs w:val="20"/>
          <w:lang w:eastAsia="es-PE"/>
          <w14:ligatures w14:val="none"/>
        </w:rPr>
        <w:t xml:space="preserve"> </w:t>
      </w:r>
    </w:p>
    <w:p w14:paraId="52C6D76D" w14:textId="5EDFC55A" w:rsidR="00083C08" w:rsidRPr="004D7281" w:rsidRDefault="00F82D2A" w:rsidP="006B3118">
      <w:pPr>
        <w:spacing w:after="0" w:line="480" w:lineRule="auto"/>
        <w:rPr>
          <w:rFonts w:ascii="Arial" w:eastAsia="Times New Roman" w:hAnsi="Arial" w:cs="Arial"/>
          <w:color w:val="000000" w:themeColor="text1"/>
          <w:kern w:val="0"/>
          <w:sz w:val="20"/>
          <w:szCs w:val="20"/>
          <w:lang w:eastAsia="es-PE"/>
          <w14:ligatures w14:val="none"/>
        </w:rPr>
      </w:pPr>
      <w:r w:rsidRPr="00F82D2A">
        <w:rPr>
          <w:rFonts w:ascii="Arial" w:eastAsia="Times New Roman" w:hAnsi="Arial" w:cs="Arial"/>
          <w:color w:val="000000" w:themeColor="text1"/>
          <w:kern w:val="0"/>
          <w:sz w:val="20"/>
          <w:szCs w:val="20"/>
          <w:lang w:eastAsia="es-PE"/>
          <w14:ligatures w14:val="none"/>
        </w:rPr>
        <w:t>https://doi.org/10.6084/m9.figshare.25199678.v2</w:t>
      </w:r>
    </w:p>
    <w:p w14:paraId="6017C89C" w14:textId="77777777" w:rsidR="006B3118" w:rsidRPr="00596A40" w:rsidRDefault="006B3118" w:rsidP="006B3118">
      <w:pPr>
        <w:spacing w:after="240" w:line="240" w:lineRule="auto"/>
        <w:jc w:val="both"/>
        <w:textAlignment w:val="baseline"/>
        <w:rPr>
          <w:rFonts w:ascii="Calibri" w:eastAsia="Times New Roman" w:hAnsi="Calibri" w:cs="Calibri"/>
          <w:color w:val="000000"/>
          <w:kern w:val="0"/>
          <w:sz w:val="24"/>
          <w:szCs w:val="24"/>
          <w:lang w:eastAsia="es-PE"/>
          <w14:ligatures w14:val="none"/>
        </w:rPr>
      </w:pPr>
    </w:p>
    <w:p w14:paraId="0B77F253" w14:textId="16B953D9" w:rsidR="005E242C" w:rsidRDefault="005E242C">
      <w:pPr>
        <w:rPr>
          <w:rFonts w:ascii="Times New Roman" w:eastAsia="Times New Roman" w:hAnsi="Times New Roman" w:cs="Times New Roman"/>
          <w:kern w:val="0"/>
          <w:sz w:val="24"/>
          <w:szCs w:val="24"/>
          <w:lang w:eastAsia="es-PE"/>
          <w14:ligatures w14:val="none"/>
        </w:rPr>
      </w:pPr>
      <w:r>
        <w:rPr>
          <w:rFonts w:ascii="Times New Roman" w:eastAsia="Times New Roman" w:hAnsi="Times New Roman" w:cs="Times New Roman"/>
          <w:kern w:val="0"/>
          <w:sz w:val="24"/>
          <w:szCs w:val="24"/>
          <w:lang w:eastAsia="es-PE"/>
          <w14:ligatures w14:val="none"/>
        </w:rPr>
        <w:br w:type="page"/>
      </w:r>
    </w:p>
    <w:p w14:paraId="213C3C37" w14:textId="77777777" w:rsidR="006E630C" w:rsidRPr="00465F10" w:rsidRDefault="006E630C" w:rsidP="00465F10">
      <w:pPr>
        <w:spacing w:after="0" w:line="480" w:lineRule="auto"/>
        <w:jc w:val="both"/>
        <w:rPr>
          <w:rFonts w:ascii="Arial" w:eastAsia="Times New Roman" w:hAnsi="Arial" w:cs="Arial"/>
          <w:kern w:val="0"/>
          <w:sz w:val="20"/>
          <w:szCs w:val="20"/>
          <w:lang w:eastAsia="es-PE"/>
          <w14:ligatures w14:val="none"/>
        </w:rPr>
      </w:pPr>
      <w:r w:rsidRPr="00465F10">
        <w:rPr>
          <w:rFonts w:ascii="Arial" w:eastAsia="Times New Roman" w:hAnsi="Arial" w:cs="Arial"/>
          <w:b/>
          <w:bCs/>
          <w:kern w:val="0"/>
          <w:sz w:val="20"/>
          <w:szCs w:val="20"/>
          <w:lang w:eastAsia="es-PE"/>
          <w14:ligatures w14:val="none"/>
        </w:rPr>
        <w:lastRenderedPageBreak/>
        <w:t>Bibliografía</w:t>
      </w:r>
    </w:p>
    <w:p w14:paraId="1EDEBAE9" w14:textId="77777777" w:rsidR="006E630C" w:rsidRPr="00465F10" w:rsidRDefault="006E630C" w:rsidP="00465F10">
      <w:pPr>
        <w:numPr>
          <w:ilvl w:val="0"/>
          <w:numId w:val="1"/>
        </w:numPr>
        <w:spacing w:after="0" w:line="240" w:lineRule="auto"/>
        <w:ind w:right="282"/>
        <w:jc w:val="both"/>
        <w:textAlignment w:val="baseline"/>
        <w:rPr>
          <w:rFonts w:ascii="Arial" w:eastAsia="Times New Roman" w:hAnsi="Arial" w:cs="Arial"/>
          <w:kern w:val="0"/>
          <w:sz w:val="20"/>
          <w:szCs w:val="20"/>
          <w:lang w:val="en-US" w:eastAsia="es-PE"/>
          <w14:ligatures w14:val="none"/>
        </w:rPr>
      </w:pPr>
      <w:r w:rsidRPr="00465F10">
        <w:rPr>
          <w:rFonts w:ascii="Arial" w:eastAsia="Times New Roman" w:hAnsi="Arial" w:cs="Arial"/>
          <w:kern w:val="0"/>
          <w:sz w:val="20"/>
          <w:szCs w:val="20"/>
          <w:lang w:val="en-US" w:eastAsia="es-PE"/>
          <w14:ligatures w14:val="none"/>
        </w:rPr>
        <w:t>Bell RH, Drach GW, Rosenthal RA. Proposed Competencies in Geriatric Patient Care for Use in Assessment for Initial and Continued Board Certification of Surgical Specialists. Journal of the American College of Surgeons.2011 Nov;213(5):683–90.</w:t>
      </w:r>
    </w:p>
    <w:p w14:paraId="61B54792" w14:textId="77777777" w:rsidR="006E630C" w:rsidRPr="00465F10" w:rsidRDefault="006E630C" w:rsidP="00465F10">
      <w:pPr>
        <w:numPr>
          <w:ilvl w:val="0"/>
          <w:numId w:val="1"/>
        </w:numPr>
        <w:spacing w:before="240" w:after="0" w:line="240" w:lineRule="auto"/>
        <w:ind w:right="360"/>
        <w:jc w:val="both"/>
        <w:textAlignment w:val="baseline"/>
        <w:rPr>
          <w:rFonts w:ascii="Arial" w:eastAsia="Times New Roman" w:hAnsi="Arial" w:cs="Arial"/>
          <w:kern w:val="0"/>
          <w:sz w:val="20"/>
          <w:szCs w:val="20"/>
          <w:lang w:eastAsia="es-PE"/>
          <w14:ligatures w14:val="none"/>
        </w:rPr>
      </w:pPr>
      <w:r w:rsidRPr="00465F10">
        <w:rPr>
          <w:rFonts w:ascii="Arial" w:eastAsia="Times New Roman" w:hAnsi="Arial" w:cs="Arial"/>
          <w:kern w:val="0"/>
          <w:sz w:val="20"/>
          <w:szCs w:val="20"/>
          <w:lang w:eastAsia="es-PE"/>
          <w14:ligatures w14:val="none"/>
        </w:rPr>
        <w:t xml:space="preserve">Lamprea J, Gómez-Restrepo C. Validez en la evaluación de escalas Metodología de investigación y lectura crítica de estudios [Internet]. Disponible en: </w:t>
      </w:r>
      <w:hyperlink r:id="rId7" w:history="1">
        <w:r w:rsidRPr="00465F10">
          <w:rPr>
            <w:rFonts w:ascii="Arial" w:eastAsia="Times New Roman" w:hAnsi="Arial" w:cs="Arial"/>
            <w:kern w:val="0"/>
            <w:sz w:val="20"/>
            <w:szCs w:val="20"/>
            <w:lang w:eastAsia="es-PE"/>
            <w14:ligatures w14:val="none"/>
          </w:rPr>
          <w:t>http://www.scielo.org.co/pdf/rcp/v36n2/v36n2a13.pdf</w:t>
        </w:r>
      </w:hyperlink>
      <w:r w:rsidRPr="00465F10">
        <w:rPr>
          <w:rFonts w:ascii="Arial" w:eastAsia="Times New Roman" w:hAnsi="Arial" w:cs="Arial"/>
          <w:kern w:val="0"/>
          <w:sz w:val="20"/>
          <w:szCs w:val="20"/>
          <w:lang w:eastAsia="es-PE"/>
          <w14:ligatures w14:val="none"/>
        </w:rPr>
        <w:t> </w:t>
      </w:r>
    </w:p>
    <w:p w14:paraId="02879E75" w14:textId="77777777" w:rsidR="006E630C" w:rsidRPr="00465F10" w:rsidRDefault="006E630C" w:rsidP="00465F10">
      <w:pPr>
        <w:numPr>
          <w:ilvl w:val="0"/>
          <w:numId w:val="1"/>
        </w:numPr>
        <w:spacing w:after="0" w:line="240" w:lineRule="auto"/>
        <w:ind w:right="360"/>
        <w:jc w:val="both"/>
        <w:textAlignment w:val="baseline"/>
        <w:rPr>
          <w:rFonts w:ascii="Arial" w:eastAsia="Times New Roman" w:hAnsi="Arial" w:cs="Arial"/>
          <w:kern w:val="0"/>
          <w:sz w:val="20"/>
          <w:szCs w:val="20"/>
          <w:lang w:eastAsia="es-PE"/>
          <w14:ligatures w14:val="none"/>
        </w:rPr>
      </w:pPr>
      <w:r w:rsidRPr="00465F10">
        <w:rPr>
          <w:rFonts w:ascii="Arial" w:eastAsia="Times New Roman" w:hAnsi="Arial" w:cs="Arial"/>
          <w:kern w:val="0"/>
          <w:sz w:val="20"/>
          <w:szCs w:val="20"/>
          <w:lang w:eastAsia="es-PE"/>
          <w14:ligatures w14:val="none"/>
        </w:rPr>
        <w:t xml:space="preserve">Sánchez R, Echeverry J. Validación de escalas de medición en salud. Revista de Salud Pública [Internet]. noviembre de 2004;6(3). Disponible en:  </w:t>
      </w:r>
      <w:hyperlink r:id="rId8" w:history="1">
        <w:r w:rsidRPr="00465F10">
          <w:rPr>
            <w:rFonts w:ascii="Arial" w:eastAsia="Times New Roman" w:hAnsi="Arial" w:cs="Arial"/>
            <w:kern w:val="0"/>
            <w:sz w:val="20"/>
            <w:szCs w:val="20"/>
            <w:lang w:eastAsia="es-PE"/>
            <w14:ligatures w14:val="none"/>
          </w:rPr>
          <w:t>https://scielosp.org/article/rsap/2004.v6n3/302-318/</w:t>
        </w:r>
      </w:hyperlink>
      <w:r w:rsidRPr="00465F10">
        <w:rPr>
          <w:rFonts w:ascii="Arial" w:eastAsia="Times New Roman" w:hAnsi="Arial" w:cs="Arial"/>
          <w:kern w:val="0"/>
          <w:sz w:val="20"/>
          <w:szCs w:val="20"/>
          <w:lang w:eastAsia="es-PE"/>
          <w14:ligatures w14:val="none"/>
        </w:rPr>
        <w:t> </w:t>
      </w:r>
    </w:p>
    <w:p w14:paraId="27D6AFFE" w14:textId="77777777" w:rsidR="006E630C" w:rsidRPr="00465F10" w:rsidRDefault="006E630C" w:rsidP="00465F10">
      <w:pPr>
        <w:numPr>
          <w:ilvl w:val="0"/>
          <w:numId w:val="1"/>
        </w:numPr>
        <w:spacing w:after="0" w:line="240" w:lineRule="auto"/>
        <w:ind w:right="360"/>
        <w:jc w:val="both"/>
        <w:textAlignment w:val="baseline"/>
        <w:rPr>
          <w:rFonts w:ascii="Arial" w:eastAsia="Times New Roman" w:hAnsi="Arial" w:cs="Arial"/>
          <w:kern w:val="0"/>
          <w:sz w:val="20"/>
          <w:szCs w:val="20"/>
          <w:lang w:eastAsia="es-PE"/>
          <w14:ligatures w14:val="none"/>
        </w:rPr>
      </w:pPr>
      <w:r w:rsidRPr="00465F10">
        <w:rPr>
          <w:rFonts w:ascii="Arial" w:eastAsia="Times New Roman" w:hAnsi="Arial" w:cs="Arial"/>
          <w:kern w:val="0"/>
          <w:sz w:val="20"/>
          <w:szCs w:val="20"/>
          <w:lang w:eastAsia="es-PE"/>
          <w14:ligatures w14:val="none"/>
        </w:rPr>
        <w:t xml:space="preserve">Envejecimiento: edadismo [Internet]. who.int. 2021. [citado 10 de febrero de 2023]. Disponible en: </w:t>
      </w:r>
      <w:hyperlink r:id="rId9" w:history="1">
        <w:r w:rsidRPr="00465F10">
          <w:rPr>
            <w:rFonts w:ascii="Arial" w:eastAsia="Times New Roman" w:hAnsi="Arial" w:cs="Arial"/>
            <w:kern w:val="0"/>
            <w:sz w:val="20"/>
            <w:szCs w:val="20"/>
            <w:shd w:val="clear" w:color="auto" w:fill="FFFFFF"/>
            <w:lang w:eastAsia="es-PE"/>
            <w14:ligatures w14:val="none"/>
          </w:rPr>
          <w:t>https://www.who.int/es/news-room/questions-and-answers/item/ageing-ageism</w:t>
        </w:r>
      </w:hyperlink>
      <w:r w:rsidRPr="00465F10">
        <w:rPr>
          <w:rFonts w:ascii="Arial" w:eastAsia="Times New Roman" w:hAnsi="Arial" w:cs="Arial"/>
          <w:kern w:val="0"/>
          <w:sz w:val="20"/>
          <w:szCs w:val="20"/>
          <w:shd w:val="clear" w:color="auto" w:fill="FFFFFF"/>
          <w:lang w:eastAsia="es-PE"/>
          <w14:ligatures w14:val="none"/>
        </w:rPr>
        <w:t>  </w:t>
      </w:r>
    </w:p>
    <w:p w14:paraId="722A73AC" w14:textId="77777777" w:rsidR="006E630C" w:rsidRPr="00465F10" w:rsidRDefault="006E630C" w:rsidP="00465F10">
      <w:pPr>
        <w:numPr>
          <w:ilvl w:val="0"/>
          <w:numId w:val="1"/>
        </w:numPr>
        <w:spacing w:after="0" w:line="240" w:lineRule="auto"/>
        <w:ind w:right="360"/>
        <w:jc w:val="both"/>
        <w:textAlignment w:val="baseline"/>
        <w:rPr>
          <w:rFonts w:ascii="Arial" w:eastAsia="Times New Roman" w:hAnsi="Arial" w:cs="Arial"/>
          <w:kern w:val="0"/>
          <w:sz w:val="20"/>
          <w:szCs w:val="20"/>
          <w:lang w:eastAsia="es-PE"/>
          <w14:ligatures w14:val="none"/>
        </w:rPr>
      </w:pPr>
      <w:r w:rsidRPr="00465F10">
        <w:rPr>
          <w:rFonts w:ascii="Arial" w:eastAsia="Times New Roman" w:hAnsi="Arial" w:cs="Arial"/>
          <w:kern w:val="0"/>
          <w:sz w:val="20"/>
          <w:szCs w:val="20"/>
          <w:lang w:eastAsia="es-PE"/>
          <w14:ligatures w14:val="none"/>
        </w:rPr>
        <w:t xml:space="preserve">Informe mundial sobre el edadismo [Internet]. iris.paho.org. Washington, D.C.: Organización Panamericana de la Salud; 2021. [citado 10 de febrero de 2023]. Disponible en: </w:t>
      </w:r>
      <w:hyperlink r:id="rId10" w:history="1">
        <w:r w:rsidRPr="00465F10">
          <w:rPr>
            <w:rFonts w:ascii="Arial" w:eastAsia="Times New Roman" w:hAnsi="Arial" w:cs="Arial"/>
            <w:kern w:val="0"/>
            <w:sz w:val="20"/>
            <w:szCs w:val="20"/>
            <w:shd w:val="clear" w:color="auto" w:fill="FFFFFF"/>
            <w:lang w:eastAsia="es-PE"/>
            <w14:ligatures w14:val="none"/>
          </w:rPr>
          <w:t>https://iris.paho.org/handle/10665.2/55871</w:t>
        </w:r>
      </w:hyperlink>
      <w:r w:rsidRPr="00465F10">
        <w:rPr>
          <w:rFonts w:ascii="Arial" w:eastAsia="Times New Roman" w:hAnsi="Arial" w:cs="Arial"/>
          <w:kern w:val="0"/>
          <w:sz w:val="20"/>
          <w:szCs w:val="20"/>
          <w:shd w:val="clear" w:color="auto" w:fill="FFFFFF"/>
          <w:lang w:eastAsia="es-PE"/>
          <w14:ligatures w14:val="none"/>
        </w:rPr>
        <w:t> </w:t>
      </w:r>
    </w:p>
    <w:p w14:paraId="61A47A81" w14:textId="77777777" w:rsidR="006E630C" w:rsidRPr="00465F10" w:rsidRDefault="006E630C" w:rsidP="00465F10">
      <w:pPr>
        <w:numPr>
          <w:ilvl w:val="0"/>
          <w:numId w:val="1"/>
        </w:numPr>
        <w:spacing w:after="0" w:line="240" w:lineRule="auto"/>
        <w:ind w:right="360"/>
        <w:jc w:val="both"/>
        <w:textAlignment w:val="baseline"/>
        <w:rPr>
          <w:rFonts w:ascii="Arial" w:eastAsia="Times New Roman" w:hAnsi="Arial" w:cs="Arial"/>
          <w:kern w:val="0"/>
          <w:sz w:val="20"/>
          <w:szCs w:val="20"/>
          <w:lang w:eastAsia="es-PE"/>
          <w14:ligatures w14:val="none"/>
        </w:rPr>
      </w:pPr>
      <w:r w:rsidRPr="00465F10">
        <w:rPr>
          <w:rFonts w:ascii="Arial" w:eastAsia="Times New Roman" w:hAnsi="Arial" w:cs="Arial"/>
          <w:kern w:val="0"/>
          <w:sz w:val="20"/>
          <w:szCs w:val="20"/>
          <w:shd w:val="clear" w:color="auto" w:fill="FFFFFF"/>
          <w:lang w:eastAsia="es-PE"/>
          <w14:ligatures w14:val="none"/>
        </w:rPr>
        <w:t xml:space="preserve">Envejecimiento Saludable [Internet]. </w:t>
      </w:r>
      <w:hyperlink r:id="rId11" w:history="1">
        <w:r w:rsidRPr="00465F10">
          <w:rPr>
            <w:rFonts w:ascii="Arial" w:eastAsia="Times New Roman" w:hAnsi="Arial" w:cs="Arial"/>
            <w:kern w:val="0"/>
            <w:sz w:val="20"/>
            <w:szCs w:val="20"/>
            <w:shd w:val="clear" w:color="auto" w:fill="FFFFFF"/>
            <w:lang w:eastAsia="es-PE"/>
            <w14:ligatures w14:val="none"/>
          </w:rPr>
          <w:t>paho.org</w:t>
        </w:r>
      </w:hyperlink>
      <w:r w:rsidRPr="00465F10">
        <w:rPr>
          <w:rFonts w:ascii="Arial" w:eastAsia="Times New Roman" w:hAnsi="Arial" w:cs="Arial"/>
          <w:kern w:val="0"/>
          <w:sz w:val="20"/>
          <w:szCs w:val="20"/>
          <w:shd w:val="clear" w:color="auto" w:fill="FFFFFF"/>
          <w:lang w:eastAsia="es-PE"/>
          <w14:ligatures w14:val="none"/>
        </w:rPr>
        <w:t xml:space="preserve">. [citado 10 de febrero de 2023]. Disponible en: </w:t>
      </w:r>
      <w:hyperlink r:id="rId12" w:history="1">
        <w:r w:rsidRPr="00465F10">
          <w:rPr>
            <w:rFonts w:ascii="Arial" w:eastAsia="Times New Roman" w:hAnsi="Arial" w:cs="Arial"/>
            <w:kern w:val="0"/>
            <w:sz w:val="20"/>
            <w:szCs w:val="20"/>
            <w:shd w:val="clear" w:color="auto" w:fill="FFFFFF"/>
            <w:lang w:eastAsia="es-PE"/>
            <w14:ligatures w14:val="none"/>
          </w:rPr>
          <w:t>https://www.paho.org/es/envejecimiento-saludabl</w:t>
        </w:r>
      </w:hyperlink>
      <w:r w:rsidRPr="00465F10">
        <w:rPr>
          <w:rFonts w:ascii="Arial" w:eastAsia="Times New Roman" w:hAnsi="Arial" w:cs="Arial"/>
          <w:kern w:val="0"/>
          <w:sz w:val="20"/>
          <w:szCs w:val="20"/>
          <w:shd w:val="clear" w:color="auto" w:fill="FFFFFF"/>
          <w:lang w:eastAsia="es-PE"/>
          <w14:ligatures w14:val="none"/>
        </w:rPr>
        <w:t>e </w:t>
      </w:r>
    </w:p>
    <w:p w14:paraId="7DFC8BCA" w14:textId="77777777" w:rsidR="006E630C" w:rsidRPr="00465F10" w:rsidRDefault="006E630C" w:rsidP="00465F10">
      <w:pPr>
        <w:numPr>
          <w:ilvl w:val="0"/>
          <w:numId w:val="1"/>
        </w:numPr>
        <w:spacing w:after="0" w:line="240" w:lineRule="auto"/>
        <w:ind w:right="360"/>
        <w:jc w:val="both"/>
        <w:textAlignment w:val="baseline"/>
        <w:rPr>
          <w:rFonts w:ascii="Arial" w:eastAsia="Times New Roman" w:hAnsi="Arial" w:cs="Arial"/>
          <w:kern w:val="0"/>
          <w:sz w:val="20"/>
          <w:szCs w:val="20"/>
          <w:lang w:eastAsia="es-PE"/>
          <w14:ligatures w14:val="none"/>
        </w:rPr>
      </w:pPr>
      <w:r w:rsidRPr="00465F10">
        <w:rPr>
          <w:rFonts w:ascii="Arial" w:eastAsia="Times New Roman" w:hAnsi="Arial" w:cs="Arial"/>
          <w:kern w:val="0"/>
          <w:sz w:val="20"/>
          <w:szCs w:val="20"/>
          <w:shd w:val="clear" w:color="auto" w:fill="FFFFFF"/>
          <w:lang w:eastAsia="es-PE"/>
          <w14:ligatures w14:val="none"/>
        </w:rPr>
        <w:t>Estado de la Población Peruana 2020. INEI. 30 de junio de 2020; 50.</w:t>
      </w:r>
    </w:p>
    <w:p w14:paraId="5C8BB7EC" w14:textId="77777777" w:rsidR="006E630C" w:rsidRPr="00465F10" w:rsidRDefault="006E630C" w:rsidP="00465F10">
      <w:pPr>
        <w:numPr>
          <w:ilvl w:val="0"/>
          <w:numId w:val="1"/>
        </w:numPr>
        <w:spacing w:after="0" w:line="240" w:lineRule="auto"/>
        <w:ind w:right="360"/>
        <w:jc w:val="both"/>
        <w:textAlignment w:val="baseline"/>
        <w:rPr>
          <w:rFonts w:ascii="Arial" w:eastAsia="Times New Roman" w:hAnsi="Arial" w:cs="Arial"/>
          <w:kern w:val="0"/>
          <w:sz w:val="20"/>
          <w:szCs w:val="20"/>
          <w:lang w:eastAsia="es-PE"/>
          <w14:ligatures w14:val="none"/>
        </w:rPr>
      </w:pPr>
      <w:r w:rsidRPr="00465F10">
        <w:rPr>
          <w:rFonts w:ascii="Arial" w:eastAsia="Times New Roman" w:hAnsi="Arial" w:cs="Arial"/>
          <w:kern w:val="0"/>
          <w:sz w:val="20"/>
          <w:szCs w:val="20"/>
          <w:shd w:val="clear" w:color="auto" w:fill="FFFFFF"/>
          <w:lang w:eastAsia="es-PE"/>
          <w14:ligatures w14:val="none"/>
        </w:rPr>
        <w:t xml:space="preserve">Boletín epidemiológico del Perú [Internet]. ISSN 2415-0762. 2017. Disponible en: </w:t>
      </w:r>
      <w:hyperlink r:id="rId13" w:history="1">
        <w:r w:rsidRPr="00465F10">
          <w:rPr>
            <w:rFonts w:ascii="Arial" w:eastAsia="Times New Roman" w:hAnsi="Arial" w:cs="Arial"/>
            <w:kern w:val="0"/>
            <w:sz w:val="20"/>
            <w:szCs w:val="20"/>
            <w:shd w:val="clear" w:color="auto" w:fill="FFFFFF"/>
            <w:lang w:eastAsia="es-PE"/>
            <w14:ligatures w14:val="none"/>
          </w:rPr>
          <w:t>https://www.dge.gob.pe/portal/docs/vigilancia/boletines/2017/33.pdf</w:t>
        </w:r>
      </w:hyperlink>
      <w:r w:rsidRPr="00465F10">
        <w:rPr>
          <w:rFonts w:ascii="Arial" w:eastAsia="Times New Roman" w:hAnsi="Arial" w:cs="Arial"/>
          <w:kern w:val="0"/>
          <w:sz w:val="20"/>
          <w:szCs w:val="20"/>
          <w:shd w:val="clear" w:color="auto" w:fill="FFFFFF"/>
          <w:lang w:eastAsia="es-PE"/>
          <w14:ligatures w14:val="none"/>
        </w:rPr>
        <w:t> </w:t>
      </w:r>
    </w:p>
    <w:p w14:paraId="771BB62B" w14:textId="77777777" w:rsidR="006E630C" w:rsidRPr="00465F10" w:rsidRDefault="006E630C" w:rsidP="00465F10">
      <w:pPr>
        <w:numPr>
          <w:ilvl w:val="0"/>
          <w:numId w:val="1"/>
        </w:numPr>
        <w:spacing w:after="0" w:line="240" w:lineRule="auto"/>
        <w:ind w:right="360"/>
        <w:jc w:val="both"/>
        <w:textAlignment w:val="baseline"/>
        <w:rPr>
          <w:rFonts w:ascii="Arial" w:eastAsia="Times New Roman" w:hAnsi="Arial" w:cs="Arial"/>
          <w:kern w:val="0"/>
          <w:sz w:val="20"/>
          <w:szCs w:val="20"/>
          <w:lang w:eastAsia="es-PE"/>
          <w14:ligatures w14:val="none"/>
        </w:rPr>
      </w:pPr>
      <w:r w:rsidRPr="00465F10">
        <w:rPr>
          <w:rFonts w:ascii="Arial" w:eastAsia="Times New Roman" w:hAnsi="Arial" w:cs="Arial"/>
          <w:kern w:val="0"/>
          <w:sz w:val="20"/>
          <w:szCs w:val="20"/>
          <w:shd w:val="clear" w:color="auto" w:fill="FFFFFF"/>
          <w:lang w:eastAsia="es-PE"/>
          <w14:ligatures w14:val="none"/>
        </w:rPr>
        <w:t xml:space="preserve">Situación de la Población Adulta Mayor [Internet]. INEI, 2023- Disponible en: </w:t>
      </w:r>
      <w:hyperlink r:id="rId14" w:history="1">
        <w:r w:rsidRPr="00465F10">
          <w:rPr>
            <w:rFonts w:ascii="Arial" w:eastAsia="Times New Roman" w:hAnsi="Arial" w:cs="Arial"/>
            <w:kern w:val="0"/>
            <w:sz w:val="20"/>
            <w:szCs w:val="20"/>
            <w:shd w:val="clear" w:color="auto" w:fill="FFFFFF"/>
            <w:lang w:eastAsia="es-PE"/>
            <w14:ligatures w14:val="none"/>
          </w:rPr>
          <w:t>https://m.inei.gob.pe/media/MenuRecursivo/boletines/01-informe-tecnico-poblacion-adulta-mayor-oct-nov-dic-2022.pdf</w:t>
        </w:r>
      </w:hyperlink>
      <w:r w:rsidRPr="00465F10">
        <w:rPr>
          <w:rFonts w:ascii="Arial" w:eastAsia="Times New Roman" w:hAnsi="Arial" w:cs="Arial"/>
          <w:kern w:val="0"/>
          <w:sz w:val="20"/>
          <w:szCs w:val="20"/>
          <w:shd w:val="clear" w:color="auto" w:fill="FFFFFF"/>
          <w:lang w:eastAsia="es-PE"/>
          <w14:ligatures w14:val="none"/>
        </w:rPr>
        <w:t> </w:t>
      </w:r>
    </w:p>
    <w:p w14:paraId="7D287CDD" w14:textId="77777777" w:rsidR="006E630C" w:rsidRPr="00465F10" w:rsidRDefault="006E630C" w:rsidP="00465F10">
      <w:pPr>
        <w:numPr>
          <w:ilvl w:val="0"/>
          <w:numId w:val="1"/>
        </w:numPr>
        <w:spacing w:after="0" w:line="240" w:lineRule="auto"/>
        <w:ind w:right="360"/>
        <w:jc w:val="both"/>
        <w:textAlignment w:val="baseline"/>
        <w:rPr>
          <w:rFonts w:ascii="Arial" w:eastAsia="Times New Roman" w:hAnsi="Arial" w:cs="Arial"/>
          <w:kern w:val="0"/>
          <w:sz w:val="20"/>
          <w:szCs w:val="20"/>
          <w:lang w:eastAsia="es-PE"/>
          <w14:ligatures w14:val="none"/>
        </w:rPr>
      </w:pPr>
      <w:r w:rsidRPr="00465F10">
        <w:rPr>
          <w:rFonts w:ascii="Arial" w:eastAsia="Times New Roman" w:hAnsi="Arial" w:cs="Arial"/>
          <w:kern w:val="0"/>
          <w:sz w:val="20"/>
          <w:szCs w:val="20"/>
          <w:shd w:val="clear" w:color="auto" w:fill="FFFFFF"/>
          <w:lang w:eastAsia="es-PE"/>
          <w14:ligatures w14:val="none"/>
        </w:rPr>
        <w:t xml:space="preserve">Gomez-Moreno C, Verduzco-Aguirre H, Contreras-Garduño S, Perez-de-Acha A, Alcalde-Castro J, Chavarri-Guerra Y, et al. </w:t>
      </w:r>
      <w:r w:rsidRPr="00465F10">
        <w:rPr>
          <w:rFonts w:ascii="Arial" w:eastAsia="Times New Roman" w:hAnsi="Arial" w:cs="Arial"/>
          <w:kern w:val="0"/>
          <w:sz w:val="20"/>
          <w:szCs w:val="20"/>
          <w:shd w:val="clear" w:color="auto" w:fill="FFFFFF"/>
          <w:lang w:val="en-US" w:eastAsia="es-PE"/>
          <w14:ligatures w14:val="none"/>
        </w:rPr>
        <w:t xml:space="preserve">Perceptions of aging and ageism among Mexican physicians-in-training. </w:t>
      </w:r>
      <w:r w:rsidRPr="00465F10">
        <w:rPr>
          <w:rFonts w:ascii="Arial" w:eastAsia="Times New Roman" w:hAnsi="Arial" w:cs="Arial"/>
          <w:kern w:val="0"/>
          <w:sz w:val="20"/>
          <w:szCs w:val="20"/>
          <w:shd w:val="clear" w:color="auto" w:fill="FFFFFF"/>
          <w:lang w:eastAsia="es-PE"/>
          <w14:ligatures w14:val="none"/>
        </w:rPr>
        <w:t xml:space="preserve">Clinical and Translational Oncology [Internet]. 11 de abril de 2019:1730–5. Disponible en: </w:t>
      </w:r>
      <w:hyperlink r:id="rId15" w:history="1">
        <w:r w:rsidRPr="00465F10">
          <w:rPr>
            <w:rFonts w:ascii="Arial" w:eastAsia="Times New Roman" w:hAnsi="Arial" w:cs="Arial"/>
            <w:kern w:val="0"/>
            <w:sz w:val="20"/>
            <w:szCs w:val="20"/>
            <w:shd w:val="clear" w:color="auto" w:fill="FFFFFF"/>
            <w:lang w:eastAsia="es-PE"/>
            <w14:ligatures w14:val="none"/>
          </w:rPr>
          <w:t>https://link.springer.com/article/10.1007/s12094-019-02107-w</w:t>
        </w:r>
      </w:hyperlink>
      <w:r w:rsidRPr="00465F10">
        <w:rPr>
          <w:rFonts w:ascii="Arial" w:eastAsia="Times New Roman" w:hAnsi="Arial" w:cs="Arial"/>
          <w:kern w:val="0"/>
          <w:sz w:val="20"/>
          <w:szCs w:val="20"/>
          <w:shd w:val="clear" w:color="auto" w:fill="FFFFFF"/>
          <w:lang w:eastAsia="es-PE"/>
          <w14:ligatures w14:val="none"/>
        </w:rPr>
        <w:t> </w:t>
      </w:r>
    </w:p>
    <w:p w14:paraId="5E7169F2" w14:textId="1FA8BCB7" w:rsidR="00465F10" w:rsidRPr="00465F10" w:rsidRDefault="006E630C" w:rsidP="00465F10">
      <w:pPr>
        <w:numPr>
          <w:ilvl w:val="0"/>
          <w:numId w:val="1"/>
        </w:numPr>
        <w:spacing w:after="0" w:line="240" w:lineRule="auto"/>
        <w:ind w:right="360"/>
        <w:jc w:val="both"/>
        <w:textAlignment w:val="baseline"/>
        <w:rPr>
          <w:rFonts w:ascii="Arial" w:eastAsia="Times New Roman" w:hAnsi="Arial" w:cs="Arial"/>
          <w:kern w:val="0"/>
          <w:sz w:val="20"/>
          <w:szCs w:val="20"/>
          <w:lang w:eastAsia="es-PE"/>
          <w14:ligatures w14:val="none"/>
        </w:rPr>
      </w:pPr>
      <w:r w:rsidRPr="00465F10">
        <w:rPr>
          <w:rFonts w:ascii="Arial" w:eastAsia="Times New Roman" w:hAnsi="Arial" w:cs="Arial"/>
          <w:kern w:val="0"/>
          <w:sz w:val="20"/>
          <w:szCs w:val="20"/>
          <w:shd w:val="clear" w:color="auto" w:fill="FFFFFF"/>
          <w:lang w:val="en-US" w:eastAsia="es-PE"/>
          <w14:ligatures w14:val="none"/>
        </w:rPr>
        <w:t xml:space="preserve">Samra R, Griffiths A, Cox T, Conroy S, Gordon A, Gladman JRF. Medical students’ and doctors’ attitudes towards older patients and their care in hospital settings: a conceptualisation. </w:t>
      </w:r>
      <w:r w:rsidRPr="00465F10">
        <w:rPr>
          <w:rFonts w:ascii="Arial" w:eastAsia="Times New Roman" w:hAnsi="Arial" w:cs="Arial"/>
          <w:kern w:val="0"/>
          <w:sz w:val="20"/>
          <w:szCs w:val="20"/>
          <w:shd w:val="clear" w:color="auto" w:fill="FFFFFF"/>
          <w:lang w:eastAsia="es-PE"/>
          <w14:ligatures w14:val="none"/>
        </w:rPr>
        <w:t xml:space="preserve">Age and Ageing [Internet]. 15 de julio de 2015 [citado 10 de febrero de 2023]. Disponible en: </w:t>
      </w:r>
      <w:hyperlink r:id="rId16" w:history="1">
        <w:r w:rsidRPr="00465F10">
          <w:rPr>
            <w:rFonts w:ascii="Arial" w:eastAsia="Times New Roman" w:hAnsi="Arial" w:cs="Arial"/>
            <w:kern w:val="0"/>
            <w:sz w:val="20"/>
            <w:szCs w:val="20"/>
            <w:shd w:val="clear" w:color="auto" w:fill="FFFFFF"/>
            <w:lang w:eastAsia="es-PE"/>
            <w14:ligatures w14:val="none"/>
          </w:rPr>
          <w:t>https://academic.oup.com/ageing/article/44/5/776/52134?login=false</w:t>
        </w:r>
      </w:hyperlink>
      <w:r w:rsidRPr="00465F10">
        <w:rPr>
          <w:rFonts w:ascii="Arial" w:eastAsia="Times New Roman" w:hAnsi="Arial" w:cs="Arial"/>
          <w:kern w:val="0"/>
          <w:sz w:val="20"/>
          <w:szCs w:val="20"/>
          <w:shd w:val="clear" w:color="auto" w:fill="FFFFFF"/>
          <w:lang w:eastAsia="es-PE"/>
          <w14:ligatures w14:val="none"/>
        </w:rPr>
        <w:t> </w:t>
      </w:r>
    </w:p>
    <w:p w14:paraId="7EB85A04" w14:textId="77777777" w:rsidR="006E630C" w:rsidRPr="00465F10" w:rsidRDefault="006E630C" w:rsidP="00465F10">
      <w:pPr>
        <w:numPr>
          <w:ilvl w:val="0"/>
          <w:numId w:val="1"/>
        </w:numPr>
        <w:spacing w:after="0" w:line="240" w:lineRule="auto"/>
        <w:ind w:right="424"/>
        <w:jc w:val="both"/>
        <w:textAlignment w:val="baseline"/>
        <w:rPr>
          <w:rFonts w:ascii="Arial" w:eastAsia="Times New Roman" w:hAnsi="Arial" w:cs="Arial"/>
          <w:kern w:val="0"/>
          <w:sz w:val="20"/>
          <w:szCs w:val="20"/>
          <w:lang w:eastAsia="es-PE"/>
          <w14:ligatures w14:val="none"/>
        </w:rPr>
      </w:pPr>
      <w:r w:rsidRPr="00465F10">
        <w:rPr>
          <w:rFonts w:ascii="Arial" w:eastAsia="Times New Roman" w:hAnsi="Arial" w:cs="Arial"/>
          <w:kern w:val="0"/>
          <w:sz w:val="20"/>
          <w:szCs w:val="20"/>
          <w:shd w:val="clear" w:color="auto" w:fill="FFFFFF"/>
          <w:lang w:eastAsia="es-PE"/>
          <w14:ligatures w14:val="none"/>
        </w:rPr>
        <w:t xml:space="preserve">Gholamzadeh S, Shaygan M, Naderi Z, Hosseini FA. </w:t>
      </w:r>
      <w:r w:rsidRPr="00465F10">
        <w:rPr>
          <w:rFonts w:ascii="Arial" w:eastAsia="Times New Roman" w:hAnsi="Arial" w:cs="Arial"/>
          <w:kern w:val="0"/>
          <w:sz w:val="20"/>
          <w:szCs w:val="20"/>
          <w:shd w:val="clear" w:color="auto" w:fill="FFFFFF"/>
          <w:lang w:val="en-US" w:eastAsia="es-PE"/>
          <w14:ligatures w14:val="none"/>
        </w:rPr>
        <w:t xml:space="preserve">Age discrimination perceived by hospitalized older adult patients in Iran: A qualitative study. </w:t>
      </w:r>
      <w:r w:rsidRPr="00465F10">
        <w:rPr>
          <w:rFonts w:ascii="Arial" w:eastAsia="Times New Roman" w:hAnsi="Arial" w:cs="Arial"/>
          <w:kern w:val="0"/>
          <w:sz w:val="20"/>
          <w:szCs w:val="20"/>
          <w:shd w:val="clear" w:color="auto" w:fill="FFFFFF"/>
          <w:lang w:eastAsia="es-PE"/>
          <w14:ligatures w14:val="none"/>
        </w:rPr>
        <w:t xml:space="preserve">Health Promotion Perspectives [Internet]. 29 de mayo de 2022;12(1):45–55. Disponible en: </w:t>
      </w:r>
      <w:hyperlink r:id="rId17" w:history="1">
        <w:r w:rsidRPr="00465F10">
          <w:rPr>
            <w:rFonts w:ascii="Arial" w:eastAsia="Times New Roman" w:hAnsi="Arial" w:cs="Arial"/>
            <w:kern w:val="0"/>
            <w:sz w:val="20"/>
            <w:szCs w:val="20"/>
            <w:shd w:val="clear" w:color="auto" w:fill="FFFFFF"/>
            <w:lang w:eastAsia="es-PE"/>
            <w14:ligatures w14:val="none"/>
          </w:rPr>
          <w:t>https://www.ncbi.nlm.nih.gov/pmc/articles/PMC9277281/</w:t>
        </w:r>
      </w:hyperlink>
      <w:r w:rsidRPr="00465F10">
        <w:rPr>
          <w:rFonts w:ascii="Arial" w:eastAsia="Times New Roman" w:hAnsi="Arial" w:cs="Arial"/>
          <w:kern w:val="0"/>
          <w:sz w:val="20"/>
          <w:szCs w:val="20"/>
          <w:shd w:val="clear" w:color="auto" w:fill="FFFFFF"/>
          <w:lang w:eastAsia="es-PE"/>
          <w14:ligatures w14:val="none"/>
        </w:rPr>
        <w:t> </w:t>
      </w:r>
    </w:p>
    <w:p w14:paraId="01625314" w14:textId="77777777" w:rsidR="006E630C" w:rsidRPr="00465F10" w:rsidRDefault="006E630C" w:rsidP="00465F10">
      <w:pPr>
        <w:numPr>
          <w:ilvl w:val="0"/>
          <w:numId w:val="1"/>
        </w:numPr>
        <w:spacing w:after="0" w:line="240" w:lineRule="auto"/>
        <w:ind w:right="424"/>
        <w:jc w:val="both"/>
        <w:textAlignment w:val="baseline"/>
        <w:rPr>
          <w:rFonts w:ascii="Arial" w:eastAsia="Times New Roman" w:hAnsi="Arial" w:cs="Arial"/>
          <w:kern w:val="0"/>
          <w:sz w:val="20"/>
          <w:szCs w:val="20"/>
          <w:lang w:eastAsia="es-PE"/>
          <w14:ligatures w14:val="none"/>
        </w:rPr>
      </w:pPr>
      <w:r w:rsidRPr="00465F10">
        <w:rPr>
          <w:rFonts w:ascii="Arial" w:eastAsia="Times New Roman" w:hAnsi="Arial" w:cs="Arial"/>
          <w:kern w:val="0"/>
          <w:sz w:val="20"/>
          <w:szCs w:val="20"/>
          <w:shd w:val="clear" w:color="auto" w:fill="FFFFFF"/>
          <w:lang w:val="en-US" w:eastAsia="es-PE"/>
          <w14:ligatures w14:val="none"/>
        </w:rPr>
        <w:t xml:space="preserve">Yang Y, Xiao LD, Ullah S, Deng L. General practitioners’ knowledge of ageing and attitudes towards older people in China. </w:t>
      </w:r>
      <w:r w:rsidRPr="00465F10">
        <w:rPr>
          <w:rFonts w:ascii="Arial" w:eastAsia="Times New Roman" w:hAnsi="Arial" w:cs="Arial"/>
          <w:kern w:val="0"/>
          <w:sz w:val="20"/>
          <w:szCs w:val="20"/>
          <w:shd w:val="clear" w:color="auto" w:fill="FFFFFF"/>
          <w:lang w:eastAsia="es-PE"/>
          <w14:ligatures w14:val="none"/>
        </w:rPr>
        <w:t xml:space="preserve">Australasian Journal on Ageing [Internet]. 9 de octubre de 2013;34(2):82–7. Disponible en: </w:t>
      </w:r>
      <w:hyperlink r:id="rId18" w:history="1">
        <w:r w:rsidRPr="00465F10">
          <w:rPr>
            <w:rFonts w:ascii="Arial" w:eastAsia="Times New Roman" w:hAnsi="Arial" w:cs="Arial"/>
            <w:kern w:val="0"/>
            <w:sz w:val="20"/>
            <w:szCs w:val="20"/>
            <w:shd w:val="clear" w:color="auto" w:fill="FFFFFF"/>
            <w:lang w:eastAsia="es-PE"/>
            <w14:ligatures w14:val="none"/>
          </w:rPr>
          <w:t>https://onlinelibrary.wiley.com/doi/10.1111/ajag.12105</w:t>
        </w:r>
      </w:hyperlink>
      <w:r w:rsidRPr="00465F10">
        <w:rPr>
          <w:rFonts w:ascii="Arial" w:eastAsia="Times New Roman" w:hAnsi="Arial" w:cs="Arial"/>
          <w:kern w:val="0"/>
          <w:sz w:val="20"/>
          <w:szCs w:val="20"/>
          <w:shd w:val="clear" w:color="auto" w:fill="FFFFFF"/>
          <w:lang w:eastAsia="es-PE"/>
          <w14:ligatures w14:val="none"/>
        </w:rPr>
        <w:t> </w:t>
      </w:r>
    </w:p>
    <w:p w14:paraId="3419D10D" w14:textId="77777777" w:rsidR="006E630C" w:rsidRPr="00465F10" w:rsidRDefault="006E630C" w:rsidP="00465F10">
      <w:pPr>
        <w:numPr>
          <w:ilvl w:val="0"/>
          <w:numId w:val="1"/>
        </w:numPr>
        <w:spacing w:after="0" w:line="240" w:lineRule="auto"/>
        <w:ind w:right="360"/>
        <w:jc w:val="both"/>
        <w:textAlignment w:val="baseline"/>
        <w:rPr>
          <w:rFonts w:ascii="Arial" w:eastAsia="Times New Roman" w:hAnsi="Arial" w:cs="Arial"/>
          <w:kern w:val="0"/>
          <w:sz w:val="20"/>
          <w:szCs w:val="20"/>
          <w:lang w:eastAsia="es-PE"/>
          <w14:ligatures w14:val="none"/>
        </w:rPr>
      </w:pPr>
      <w:r w:rsidRPr="00465F10">
        <w:rPr>
          <w:rFonts w:ascii="Arial" w:eastAsia="Times New Roman" w:hAnsi="Arial" w:cs="Arial"/>
          <w:kern w:val="0"/>
          <w:sz w:val="20"/>
          <w:szCs w:val="20"/>
          <w:shd w:val="clear" w:color="auto" w:fill="FFFFFF"/>
          <w:lang w:eastAsia="es-PE"/>
          <w14:ligatures w14:val="none"/>
        </w:rPr>
        <w:t xml:space="preserve">Rodriguez Z, Calás R, Falcón G, Romero L, Piña L. Complicaciones quirúrgicas infecciosas en adultos mayores tras cirugía abdominal de urgencia [Internet]. Revista Cubana de Medicina Militar. 2022;51(4):02202068. [citado 10 de febrero de 2023]. Disponible en: </w:t>
      </w:r>
      <w:hyperlink r:id="rId19" w:history="1">
        <w:r w:rsidRPr="00465F10">
          <w:rPr>
            <w:rFonts w:ascii="Arial" w:eastAsia="Times New Roman" w:hAnsi="Arial" w:cs="Arial"/>
            <w:kern w:val="0"/>
            <w:sz w:val="20"/>
            <w:szCs w:val="20"/>
            <w:shd w:val="clear" w:color="auto" w:fill="FFFFFF"/>
            <w:lang w:eastAsia="es-PE"/>
            <w14:ligatures w14:val="none"/>
          </w:rPr>
          <w:t>https://revmedmilitar.sld.cu/index.php/mil/article/view/2068/1522</w:t>
        </w:r>
      </w:hyperlink>
      <w:r w:rsidRPr="00465F10">
        <w:rPr>
          <w:rFonts w:ascii="Arial" w:eastAsia="Times New Roman" w:hAnsi="Arial" w:cs="Arial"/>
          <w:kern w:val="0"/>
          <w:sz w:val="20"/>
          <w:szCs w:val="20"/>
          <w:shd w:val="clear" w:color="auto" w:fill="FFFFFF"/>
          <w:lang w:eastAsia="es-PE"/>
          <w14:ligatures w14:val="none"/>
        </w:rPr>
        <w:t> </w:t>
      </w:r>
    </w:p>
    <w:p w14:paraId="5D75AEB2" w14:textId="77777777" w:rsidR="006E630C" w:rsidRPr="00465F10" w:rsidRDefault="006E630C" w:rsidP="00465F10">
      <w:pPr>
        <w:numPr>
          <w:ilvl w:val="0"/>
          <w:numId w:val="1"/>
        </w:numPr>
        <w:spacing w:after="0" w:line="240" w:lineRule="auto"/>
        <w:ind w:right="360"/>
        <w:jc w:val="both"/>
        <w:textAlignment w:val="baseline"/>
        <w:rPr>
          <w:rFonts w:ascii="Arial" w:eastAsia="Times New Roman" w:hAnsi="Arial" w:cs="Arial"/>
          <w:kern w:val="0"/>
          <w:sz w:val="20"/>
          <w:szCs w:val="20"/>
          <w:lang w:eastAsia="es-PE"/>
          <w14:ligatures w14:val="none"/>
        </w:rPr>
      </w:pPr>
      <w:r w:rsidRPr="00465F10">
        <w:rPr>
          <w:rFonts w:ascii="Arial" w:eastAsia="Times New Roman" w:hAnsi="Arial" w:cs="Arial"/>
          <w:kern w:val="0"/>
          <w:sz w:val="20"/>
          <w:szCs w:val="20"/>
          <w:shd w:val="clear" w:color="auto" w:fill="FFFFFF"/>
          <w:lang w:eastAsia="es-PE"/>
          <w14:ligatures w14:val="none"/>
        </w:rPr>
        <w:t xml:space="preserve">Nazar C, Zamora M, Fuentes R, Lema G. Paciente adulto mayor y cirugía no cardiaca: ¿qué debemos saber? [Internet]. Rev Chil Cir, junio de 2015; 67(3): 309-317. Disponible en: </w:t>
      </w:r>
      <w:hyperlink r:id="rId20" w:history="1">
        <w:r w:rsidRPr="00465F10">
          <w:rPr>
            <w:rFonts w:ascii="Arial" w:eastAsia="Times New Roman" w:hAnsi="Arial" w:cs="Arial"/>
            <w:kern w:val="0"/>
            <w:sz w:val="20"/>
            <w:szCs w:val="20"/>
            <w:shd w:val="clear" w:color="auto" w:fill="FFFFFF"/>
            <w:lang w:eastAsia="es-PE"/>
            <w14:ligatures w14:val="none"/>
          </w:rPr>
          <w:t>https://www.scielo.cl/scielo.php?script=sci_arttext&amp;pid=S0718-40262015000300013</w:t>
        </w:r>
      </w:hyperlink>
      <w:r w:rsidRPr="00465F10">
        <w:rPr>
          <w:rFonts w:ascii="Arial" w:eastAsia="Times New Roman" w:hAnsi="Arial" w:cs="Arial"/>
          <w:kern w:val="0"/>
          <w:sz w:val="20"/>
          <w:szCs w:val="20"/>
          <w:shd w:val="clear" w:color="auto" w:fill="FFFFFF"/>
          <w:lang w:eastAsia="es-PE"/>
          <w14:ligatures w14:val="none"/>
        </w:rPr>
        <w:t> </w:t>
      </w:r>
    </w:p>
    <w:p w14:paraId="06BBD93E" w14:textId="77777777" w:rsidR="006E630C" w:rsidRPr="00465F10" w:rsidRDefault="006E630C" w:rsidP="00465F10">
      <w:pPr>
        <w:numPr>
          <w:ilvl w:val="0"/>
          <w:numId w:val="1"/>
        </w:numPr>
        <w:spacing w:after="0" w:line="240" w:lineRule="auto"/>
        <w:ind w:right="360"/>
        <w:jc w:val="both"/>
        <w:textAlignment w:val="baseline"/>
        <w:rPr>
          <w:rFonts w:ascii="Arial" w:eastAsia="Times New Roman" w:hAnsi="Arial" w:cs="Arial"/>
          <w:kern w:val="0"/>
          <w:sz w:val="20"/>
          <w:szCs w:val="20"/>
          <w:lang w:eastAsia="es-PE"/>
          <w14:ligatures w14:val="none"/>
        </w:rPr>
      </w:pPr>
      <w:r w:rsidRPr="00465F10">
        <w:rPr>
          <w:rFonts w:ascii="Arial" w:eastAsia="Times New Roman" w:hAnsi="Arial" w:cs="Arial"/>
          <w:kern w:val="0"/>
          <w:sz w:val="20"/>
          <w:szCs w:val="20"/>
          <w:shd w:val="clear" w:color="auto" w:fill="FFFFFF"/>
          <w:lang w:eastAsia="es-PE"/>
          <w14:ligatures w14:val="none"/>
        </w:rPr>
        <w:t xml:space="preserve">López-López JM, Reyes-Hernández LF. Análisis de las cirugías realizadas en pacientes geriátricos en el Hospital General de México. Rev médica Hosp Gen Méx [Internet]. 2012 [citado 10 de febrero de 2023];75(1):3-8. Disponible en: </w:t>
      </w:r>
      <w:hyperlink r:id="rId21" w:history="1">
        <w:r w:rsidRPr="00465F10">
          <w:rPr>
            <w:rFonts w:ascii="Arial" w:eastAsia="Times New Roman" w:hAnsi="Arial" w:cs="Arial"/>
            <w:kern w:val="0"/>
            <w:sz w:val="20"/>
            <w:szCs w:val="20"/>
            <w:shd w:val="clear" w:color="auto" w:fill="FFFFFF"/>
            <w:lang w:eastAsia="es-PE"/>
            <w14:ligatures w14:val="none"/>
          </w:rPr>
          <w:t>https://www.elsevier.es/pt-revista-revista-medica-del-hospital-general-325-articulo-analisis-las-cirugias-realizadas-pacientes-X0185106312231528</w:t>
        </w:r>
      </w:hyperlink>
      <w:r w:rsidRPr="00465F10">
        <w:rPr>
          <w:rFonts w:ascii="Arial" w:eastAsia="Times New Roman" w:hAnsi="Arial" w:cs="Arial"/>
          <w:kern w:val="0"/>
          <w:sz w:val="20"/>
          <w:szCs w:val="20"/>
          <w:shd w:val="clear" w:color="auto" w:fill="FFFFFF"/>
          <w:lang w:eastAsia="es-PE"/>
          <w14:ligatures w14:val="none"/>
        </w:rPr>
        <w:t> </w:t>
      </w:r>
    </w:p>
    <w:p w14:paraId="054342D5" w14:textId="0E21AE6A" w:rsidR="006B3118" w:rsidRDefault="006E630C" w:rsidP="00465F10">
      <w:pPr>
        <w:numPr>
          <w:ilvl w:val="0"/>
          <w:numId w:val="1"/>
        </w:numPr>
        <w:spacing w:after="240" w:line="240" w:lineRule="auto"/>
        <w:ind w:right="424"/>
        <w:jc w:val="both"/>
        <w:textAlignment w:val="baseline"/>
        <w:rPr>
          <w:rFonts w:ascii="Arial" w:eastAsia="Times New Roman" w:hAnsi="Arial" w:cs="Arial"/>
          <w:kern w:val="0"/>
          <w:sz w:val="20"/>
          <w:szCs w:val="20"/>
          <w:lang w:val="en-US" w:eastAsia="es-PE"/>
          <w14:ligatures w14:val="none"/>
        </w:rPr>
      </w:pPr>
      <w:r w:rsidRPr="00465F10">
        <w:rPr>
          <w:rFonts w:ascii="Arial" w:eastAsia="Times New Roman" w:hAnsi="Arial" w:cs="Arial"/>
          <w:kern w:val="0"/>
          <w:sz w:val="20"/>
          <w:szCs w:val="20"/>
          <w:shd w:val="clear" w:color="auto" w:fill="FFFFFF"/>
          <w:lang w:val="en-US" w:eastAsia="es-PE"/>
          <w14:ligatures w14:val="none"/>
        </w:rPr>
        <w:t xml:space="preserve">Bell RH, Drach GW, Rosenthal RA. Proposed Competencies in Geriatric Patient Care for Use in Assessment for Initial and Continued Board... [Internet]. ResearchGate. Elsevier; 2011. Disponible </w:t>
      </w:r>
      <w:proofErr w:type="spellStart"/>
      <w:r w:rsidRPr="00465F10">
        <w:rPr>
          <w:rFonts w:ascii="Arial" w:eastAsia="Times New Roman" w:hAnsi="Arial" w:cs="Arial"/>
          <w:kern w:val="0"/>
          <w:sz w:val="20"/>
          <w:szCs w:val="20"/>
          <w:shd w:val="clear" w:color="auto" w:fill="FFFFFF"/>
          <w:lang w:val="en-US" w:eastAsia="es-PE"/>
          <w14:ligatures w14:val="none"/>
        </w:rPr>
        <w:t>en</w:t>
      </w:r>
      <w:proofErr w:type="spellEnd"/>
      <w:r w:rsidRPr="00465F10">
        <w:rPr>
          <w:rFonts w:ascii="Arial" w:eastAsia="Times New Roman" w:hAnsi="Arial" w:cs="Arial"/>
          <w:kern w:val="0"/>
          <w:sz w:val="20"/>
          <w:szCs w:val="20"/>
          <w:shd w:val="clear" w:color="auto" w:fill="FFFFFF"/>
          <w:lang w:val="en-US" w:eastAsia="es-PE"/>
          <w14:ligatures w14:val="none"/>
        </w:rPr>
        <w:t xml:space="preserve">: </w:t>
      </w:r>
      <w:hyperlink r:id="rId22" w:history="1">
        <w:r w:rsidRPr="00465F10">
          <w:rPr>
            <w:rFonts w:ascii="Arial" w:eastAsia="Times New Roman" w:hAnsi="Arial" w:cs="Arial"/>
            <w:kern w:val="0"/>
            <w:sz w:val="20"/>
            <w:szCs w:val="20"/>
            <w:shd w:val="clear" w:color="auto" w:fill="FFFFFF"/>
            <w:lang w:val="en-US" w:eastAsia="es-PE"/>
            <w14:ligatures w14:val="none"/>
          </w:rPr>
          <w:t>https://www.researchgate.net/publication/51617659_Proposed_Competencies_in_Geriatric_Patient_Care_for_Use_in_Assessment_for_Initial_and_Continued_Board_Certification_of_Surgical_Specialists</w:t>
        </w:r>
      </w:hyperlink>
      <w:r w:rsidRPr="00465F10">
        <w:rPr>
          <w:rFonts w:ascii="Arial" w:eastAsia="Times New Roman" w:hAnsi="Arial" w:cs="Arial"/>
          <w:kern w:val="0"/>
          <w:sz w:val="20"/>
          <w:szCs w:val="20"/>
          <w:shd w:val="clear" w:color="auto" w:fill="FFFFFF"/>
          <w:lang w:val="en-US" w:eastAsia="es-PE"/>
          <w14:ligatures w14:val="none"/>
        </w:rPr>
        <w:t>  </w:t>
      </w:r>
    </w:p>
    <w:p w14:paraId="769AFC1F" w14:textId="77777777" w:rsidR="00C04284" w:rsidRPr="009D152F" w:rsidRDefault="00C04284" w:rsidP="00C04284">
      <w:pPr>
        <w:numPr>
          <w:ilvl w:val="0"/>
          <w:numId w:val="1"/>
        </w:numPr>
        <w:spacing w:after="240" w:line="240" w:lineRule="auto"/>
        <w:ind w:right="424"/>
        <w:jc w:val="both"/>
        <w:textAlignment w:val="baseline"/>
        <w:rPr>
          <w:rFonts w:ascii="Arial" w:eastAsia="Times New Roman" w:hAnsi="Arial" w:cs="Arial"/>
          <w:kern w:val="0"/>
          <w:lang w:eastAsia="es-PE"/>
          <w14:ligatures w14:val="none"/>
        </w:rPr>
      </w:pPr>
      <w:r w:rsidRPr="009D152F">
        <w:rPr>
          <w:rFonts w:ascii="Arial" w:eastAsia="Times New Roman" w:hAnsi="Arial" w:cs="Arial"/>
          <w:kern w:val="0"/>
          <w:shd w:val="clear" w:color="auto" w:fill="FFFFFF"/>
          <w:lang w:eastAsia="es-PE"/>
          <w14:ligatures w14:val="none"/>
        </w:rPr>
        <w:t xml:space="preserve">Ruiz Calderón R, Huamán Caviedes H. Situación de la Población Adulta Mayor [Internet]. 2023 [Citado Diciembre del 2023]. Disponible en: </w:t>
      </w:r>
      <w:hyperlink r:id="rId23" w:history="1">
        <w:r w:rsidRPr="009D152F">
          <w:rPr>
            <w:rFonts w:ascii="Arial" w:eastAsia="Times New Roman" w:hAnsi="Arial" w:cs="Arial"/>
            <w:kern w:val="0"/>
            <w:shd w:val="clear" w:color="auto" w:fill="FFFFFF"/>
            <w:lang w:eastAsia="es-PE"/>
            <w14:ligatures w14:val="none"/>
          </w:rPr>
          <w:t>https://cdn.www.gob.pe/uploads/document/file/5617893/4981138-situacion-de-la-poblacion-adulta-mayor-julio-agosto-setiembre-2023.pdf</w:t>
        </w:r>
      </w:hyperlink>
      <w:r w:rsidRPr="009D152F">
        <w:rPr>
          <w:rFonts w:ascii="Arial" w:eastAsia="Times New Roman" w:hAnsi="Arial" w:cs="Arial"/>
          <w:kern w:val="0"/>
          <w:shd w:val="clear" w:color="auto" w:fill="FFFFFF"/>
          <w:lang w:eastAsia="es-PE"/>
          <w14:ligatures w14:val="none"/>
        </w:rPr>
        <w:t>  </w:t>
      </w:r>
    </w:p>
    <w:p w14:paraId="32C7222E" w14:textId="77777777" w:rsidR="00C04284" w:rsidRPr="009D152F" w:rsidRDefault="00C04284" w:rsidP="00C04284">
      <w:pPr>
        <w:numPr>
          <w:ilvl w:val="0"/>
          <w:numId w:val="1"/>
        </w:numPr>
        <w:spacing w:after="240" w:line="240" w:lineRule="auto"/>
        <w:ind w:right="424"/>
        <w:jc w:val="both"/>
        <w:textAlignment w:val="baseline"/>
        <w:rPr>
          <w:rFonts w:ascii="Arial" w:eastAsia="Times New Roman" w:hAnsi="Arial" w:cs="Arial"/>
          <w:kern w:val="0"/>
          <w:lang w:eastAsia="es-PE"/>
          <w14:ligatures w14:val="none"/>
        </w:rPr>
      </w:pPr>
      <w:r w:rsidRPr="009D152F">
        <w:rPr>
          <w:rFonts w:ascii="Arial" w:eastAsia="Times New Roman" w:hAnsi="Arial" w:cs="Arial"/>
          <w:kern w:val="0"/>
          <w:shd w:val="clear" w:color="auto" w:fill="FFFFFF"/>
          <w:lang w:val="de-DE" w:eastAsia="es-PE"/>
          <w14:ligatures w14:val="none"/>
        </w:rPr>
        <w:t xml:space="preserve">Bleich HL, Boro ES, Rowe JW. </w:t>
      </w:r>
      <w:r w:rsidRPr="009D152F">
        <w:rPr>
          <w:rFonts w:ascii="Arial" w:eastAsia="Times New Roman" w:hAnsi="Arial" w:cs="Arial"/>
          <w:kern w:val="0"/>
          <w:shd w:val="clear" w:color="auto" w:fill="FFFFFF"/>
          <w:lang w:val="en-US" w:eastAsia="es-PE"/>
          <w14:ligatures w14:val="none"/>
        </w:rPr>
        <w:t xml:space="preserve">Clinical Research on Aging: Strategies and Directions. </w:t>
      </w:r>
      <w:r w:rsidRPr="009D152F">
        <w:rPr>
          <w:rFonts w:ascii="Arial" w:eastAsia="Times New Roman" w:hAnsi="Arial" w:cs="Arial"/>
          <w:kern w:val="0"/>
          <w:shd w:val="clear" w:color="auto" w:fill="FFFFFF"/>
          <w:lang w:eastAsia="es-PE"/>
          <w14:ligatures w14:val="none"/>
        </w:rPr>
        <w:t xml:space="preserve">N Engl J </w:t>
      </w:r>
      <w:proofErr w:type="spellStart"/>
      <w:r w:rsidRPr="009D152F">
        <w:rPr>
          <w:rFonts w:ascii="Arial" w:eastAsia="Times New Roman" w:hAnsi="Arial" w:cs="Arial"/>
          <w:kern w:val="0"/>
          <w:shd w:val="clear" w:color="auto" w:fill="FFFFFF"/>
          <w:lang w:eastAsia="es-PE"/>
          <w14:ligatures w14:val="none"/>
        </w:rPr>
        <w:t>Med</w:t>
      </w:r>
      <w:proofErr w:type="spellEnd"/>
      <w:r w:rsidRPr="009D152F">
        <w:rPr>
          <w:rFonts w:ascii="Arial" w:eastAsia="Times New Roman" w:hAnsi="Arial" w:cs="Arial"/>
          <w:kern w:val="0"/>
          <w:shd w:val="clear" w:color="auto" w:fill="FFFFFF"/>
          <w:lang w:eastAsia="es-PE"/>
          <w14:ligatures w14:val="none"/>
        </w:rPr>
        <w:t>. 15 de diciembre de 1977;297(24):1332-6. </w:t>
      </w:r>
    </w:p>
    <w:p w14:paraId="1C770E5D" w14:textId="77777777" w:rsidR="00C04284" w:rsidRPr="009D152F" w:rsidRDefault="00C04284" w:rsidP="00C04284">
      <w:pPr>
        <w:numPr>
          <w:ilvl w:val="0"/>
          <w:numId w:val="1"/>
        </w:numPr>
        <w:spacing w:after="240" w:line="240" w:lineRule="auto"/>
        <w:ind w:right="424"/>
        <w:jc w:val="both"/>
        <w:textAlignment w:val="baseline"/>
        <w:rPr>
          <w:rFonts w:ascii="Arial" w:eastAsia="Times New Roman" w:hAnsi="Arial" w:cs="Arial"/>
          <w:kern w:val="0"/>
          <w:lang w:val="en-US" w:eastAsia="es-PE"/>
          <w14:ligatures w14:val="none"/>
        </w:rPr>
      </w:pPr>
      <w:r w:rsidRPr="009D152F">
        <w:rPr>
          <w:rFonts w:ascii="Arial" w:eastAsia="Times New Roman" w:hAnsi="Arial" w:cs="Arial"/>
          <w:kern w:val="0"/>
          <w:lang w:val="en-US" w:eastAsia="es-PE"/>
          <w14:ligatures w14:val="none"/>
        </w:rPr>
        <w:t xml:space="preserve">PETRONOVICH, John, et al. Elderly surgical patients: are there gaps in residency </w:t>
      </w:r>
      <w:proofErr w:type="gramStart"/>
      <w:r w:rsidRPr="009D152F">
        <w:rPr>
          <w:rFonts w:ascii="Arial" w:eastAsia="Times New Roman" w:hAnsi="Arial" w:cs="Arial"/>
          <w:kern w:val="0"/>
          <w:lang w:val="en-US" w:eastAsia="es-PE"/>
          <w14:ligatures w14:val="none"/>
        </w:rPr>
        <w:t>education?.</w:t>
      </w:r>
      <w:proofErr w:type="gramEnd"/>
      <w:r w:rsidRPr="009D152F">
        <w:rPr>
          <w:rFonts w:ascii="Arial" w:eastAsia="Times New Roman" w:hAnsi="Arial" w:cs="Arial"/>
          <w:kern w:val="0"/>
          <w:lang w:val="en-US" w:eastAsia="es-PE"/>
          <w14:ligatures w14:val="none"/>
        </w:rPr>
        <w:t> </w:t>
      </w:r>
      <w:r w:rsidRPr="009D152F">
        <w:rPr>
          <w:rFonts w:ascii="Arial" w:eastAsia="Times New Roman" w:hAnsi="Arial" w:cs="Arial"/>
          <w:i/>
          <w:iCs/>
          <w:kern w:val="0"/>
          <w:lang w:val="en-US" w:eastAsia="es-PE"/>
          <w14:ligatures w14:val="none"/>
        </w:rPr>
        <w:t>Journal of Surgical Education</w:t>
      </w:r>
      <w:r w:rsidRPr="009D152F">
        <w:rPr>
          <w:rFonts w:ascii="Arial" w:eastAsia="Times New Roman" w:hAnsi="Arial" w:cs="Arial"/>
          <w:kern w:val="0"/>
          <w:lang w:val="en-US" w:eastAsia="es-PE"/>
          <w14:ligatures w14:val="none"/>
        </w:rPr>
        <w:t>, 2014, vol. 71, no 6, p. 825-828.</w:t>
      </w:r>
    </w:p>
    <w:p w14:paraId="1E6EBC7C" w14:textId="77777777" w:rsidR="00C04284" w:rsidRPr="009D152F" w:rsidRDefault="00C04284" w:rsidP="00C04284">
      <w:pPr>
        <w:pStyle w:val="Prrafodelista"/>
        <w:numPr>
          <w:ilvl w:val="0"/>
          <w:numId w:val="1"/>
        </w:numPr>
        <w:ind w:right="96"/>
        <w:jc w:val="both"/>
        <w:rPr>
          <w:rFonts w:ascii="Arial" w:hAnsi="Arial" w:cs="Arial"/>
        </w:rPr>
      </w:pPr>
      <w:r w:rsidRPr="009D152F">
        <w:rPr>
          <w:rFonts w:ascii="Arial" w:hAnsi="Arial" w:cs="Arial"/>
          <w:lang w:val="de-DE"/>
        </w:rPr>
        <w:t xml:space="preserve">Allen JO, Solway E, Kirch M, Singer D, Kullgren JT, Moïse V, et al. </w:t>
      </w:r>
      <w:r w:rsidRPr="009D152F">
        <w:rPr>
          <w:rFonts w:ascii="Arial" w:hAnsi="Arial" w:cs="Arial"/>
          <w:lang w:val="en-US"/>
        </w:rPr>
        <w:t xml:space="preserve">Experiences of Everyday Ageism and the Health of Older US Adults. </w:t>
      </w:r>
      <w:r w:rsidRPr="009D152F">
        <w:rPr>
          <w:rFonts w:ascii="Arial" w:hAnsi="Arial" w:cs="Arial"/>
        </w:rPr>
        <w:t xml:space="preserve">JAMA </w:t>
      </w:r>
      <w:proofErr w:type="spellStart"/>
      <w:r w:rsidRPr="009D152F">
        <w:rPr>
          <w:rFonts w:ascii="Arial" w:hAnsi="Arial" w:cs="Arial"/>
        </w:rPr>
        <w:t>Netw</w:t>
      </w:r>
      <w:proofErr w:type="spellEnd"/>
      <w:r w:rsidRPr="009D152F">
        <w:rPr>
          <w:rFonts w:ascii="Arial" w:hAnsi="Arial" w:cs="Arial"/>
        </w:rPr>
        <w:t xml:space="preserve"> Open [Internet]. el 15 de junio de 2022 [citado el 23 de marzo de 2024];5(6</w:t>
      </w:r>
      <w:proofErr w:type="gramStart"/>
      <w:r w:rsidRPr="009D152F">
        <w:rPr>
          <w:rFonts w:ascii="Arial" w:hAnsi="Arial" w:cs="Arial"/>
        </w:rPr>
        <w:t>):e</w:t>
      </w:r>
      <w:proofErr w:type="gramEnd"/>
      <w:r w:rsidRPr="009D152F">
        <w:rPr>
          <w:rFonts w:ascii="Arial" w:hAnsi="Arial" w:cs="Arial"/>
        </w:rPr>
        <w:t>2217240. Disponible en: https://jamanetwork.com/journals/jamanetworkopen/fullarticle/2793359</w:t>
      </w:r>
    </w:p>
    <w:p w14:paraId="1941AB74" w14:textId="77777777" w:rsidR="00C04284" w:rsidRPr="009D152F" w:rsidRDefault="00C04284" w:rsidP="00C04284">
      <w:pPr>
        <w:pStyle w:val="Prrafodelista"/>
        <w:numPr>
          <w:ilvl w:val="0"/>
          <w:numId w:val="1"/>
        </w:numPr>
        <w:ind w:right="96"/>
        <w:jc w:val="both"/>
        <w:rPr>
          <w:rFonts w:ascii="Arial" w:hAnsi="Arial" w:cs="Arial"/>
        </w:rPr>
      </w:pPr>
      <w:r w:rsidRPr="009D152F">
        <w:rPr>
          <w:rFonts w:ascii="Arial" w:hAnsi="Arial" w:cs="Arial"/>
          <w:lang w:val="en-US"/>
        </w:rPr>
        <w:t xml:space="preserve">Neal D, Morgan JL, Kenny R, Ormerod T, Reed </w:t>
      </w:r>
      <w:proofErr w:type="spellStart"/>
      <w:r w:rsidRPr="009D152F">
        <w:rPr>
          <w:rFonts w:ascii="Arial" w:hAnsi="Arial" w:cs="Arial"/>
          <w:lang w:val="en-US"/>
        </w:rPr>
        <w:t>MWr</w:t>
      </w:r>
      <w:proofErr w:type="spellEnd"/>
      <w:r w:rsidRPr="009D152F">
        <w:rPr>
          <w:rFonts w:ascii="Arial" w:hAnsi="Arial" w:cs="Arial"/>
          <w:lang w:val="en-US"/>
        </w:rPr>
        <w:t xml:space="preserve">. Is there evidence of age bias in breast cancer health care professionals’ treatment of older patients? </w:t>
      </w:r>
      <w:proofErr w:type="spellStart"/>
      <w:r w:rsidRPr="009D152F">
        <w:rPr>
          <w:rFonts w:ascii="Arial" w:hAnsi="Arial" w:cs="Arial"/>
        </w:rPr>
        <w:t>European</w:t>
      </w:r>
      <w:proofErr w:type="spellEnd"/>
      <w:r w:rsidRPr="009D152F">
        <w:rPr>
          <w:rFonts w:ascii="Arial" w:hAnsi="Arial" w:cs="Arial"/>
        </w:rPr>
        <w:t xml:space="preserve"> </w:t>
      </w:r>
      <w:proofErr w:type="spellStart"/>
      <w:r w:rsidRPr="009D152F">
        <w:rPr>
          <w:rFonts w:ascii="Arial" w:hAnsi="Arial" w:cs="Arial"/>
        </w:rPr>
        <w:t>Journal</w:t>
      </w:r>
      <w:proofErr w:type="spellEnd"/>
      <w:r w:rsidRPr="009D152F">
        <w:rPr>
          <w:rFonts w:ascii="Arial" w:hAnsi="Arial" w:cs="Arial"/>
        </w:rPr>
        <w:t xml:space="preserve"> </w:t>
      </w:r>
      <w:proofErr w:type="spellStart"/>
      <w:r w:rsidRPr="009D152F">
        <w:rPr>
          <w:rFonts w:ascii="Arial" w:hAnsi="Arial" w:cs="Arial"/>
        </w:rPr>
        <w:t>of</w:t>
      </w:r>
      <w:proofErr w:type="spellEnd"/>
      <w:r w:rsidRPr="009D152F">
        <w:rPr>
          <w:rFonts w:ascii="Arial" w:hAnsi="Arial" w:cs="Arial"/>
        </w:rPr>
        <w:t xml:space="preserve"> </w:t>
      </w:r>
      <w:proofErr w:type="spellStart"/>
      <w:r w:rsidRPr="009D152F">
        <w:rPr>
          <w:rFonts w:ascii="Arial" w:hAnsi="Arial" w:cs="Arial"/>
        </w:rPr>
        <w:t>Surgical</w:t>
      </w:r>
      <w:proofErr w:type="spellEnd"/>
      <w:r w:rsidRPr="009D152F">
        <w:rPr>
          <w:rFonts w:ascii="Arial" w:hAnsi="Arial" w:cs="Arial"/>
        </w:rPr>
        <w:t xml:space="preserve"> </w:t>
      </w:r>
      <w:proofErr w:type="spellStart"/>
      <w:r w:rsidRPr="009D152F">
        <w:rPr>
          <w:rFonts w:ascii="Arial" w:hAnsi="Arial" w:cs="Arial"/>
        </w:rPr>
        <w:t>Oncology</w:t>
      </w:r>
      <w:proofErr w:type="spellEnd"/>
      <w:r w:rsidRPr="009D152F">
        <w:rPr>
          <w:rFonts w:ascii="Arial" w:hAnsi="Arial" w:cs="Arial"/>
        </w:rPr>
        <w:t xml:space="preserve"> [Internet]. diciembre de 2022 [citado el 23 de marzo de 2024];48(12):2401–7. Disponible en: https://linkinghub.elsevier.com/retrieve/pii/S0748798322005455</w:t>
      </w:r>
    </w:p>
    <w:p w14:paraId="075B42C8" w14:textId="77777777" w:rsidR="00C04284" w:rsidRPr="009D152F" w:rsidRDefault="00C04284" w:rsidP="00C04284">
      <w:pPr>
        <w:pStyle w:val="Prrafodelista"/>
        <w:numPr>
          <w:ilvl w:val="0"/>
          <w:numId w:val="1"/>
        </w:numPr>
        <w:ind w:right="96"/>
        <w:jc w:val="both"/>
        <w:rPr>
          <w:rFonts w:ascii="Arial" w:hAnsi="Arial" w:cs="Arial"/>
        </w:rPr>
      </w:pPr>
      <w:r w:rsidRPr="009D152F">
        <w:rPr>
          <w:rFonts w:ascii="Arial" w:hAnsi="Arial" w:cs="Arial"/>
          <w:lang w:val="en-US"/>
        </w:rPr>
        <w:t xml:space="preserve">Age still a barrier to surgery, RCS and Age UK </w:t>
      </w:r>
      <w:proofErr w:type="gramStart"/>
      <w:r w:rsidRPr="009D152F">
        <w:rPr>
          <w:rFonts w:ascii="Arial" w:hAnsi="Arial" w:cs="Arial"/>
          <w:lang w:val="en-US"/>
        </w:rPr>
        <w:t>warn</w:t>
      </w:r>
      <w:proofErr w:type="gramEnd"/>
      <w:r w:rsidRPr="009D152F">
        <w:rPr>
          <w:rFonts w:ascii="Arial" w:hAnsi="Arial" w:cs="Arial"/>
          <w:lang w:val="en-US"/>
        </w:rPr>
        <w:t xml:space="preserve"> [Internet]. </w:t>
      </w:r>
      <w:r w:rsidRPr="009D152F">
        <w:rPr>
          <w:rFonts w:ascii="Arial" w:hAnsi="Arial" w:cs="Arial"/>
        </w:rPr>
        <w:t>2014. Disponible en: https://www.rcseng.ac.uk/news-and-events/media-centre/press-releases/age-still-a-barrier-to-surgery/</w:t>
      </w:r>
    </w:p>
    <w:p w14:paraId="531DAAA0" w14:textId="77777777" w:rsidR="00C04284" w:rsidRPr="009D152F" w:rsidRDefault="00C04284" w:rsidP="00C04284">
      <w:pPr>
        <w:pStyle w:val="Prrafodelista"/>
        <w:numPr>
          <w:ilvl w:val="0"/>
          <w:numId w:val="1"/>
        </w:numPr>
        <w:ind w:right="96"/>
        <w:jc w:val="both"/>
        <w:rPr>
          <w:rFonts w:ascii="Arial" w:hAnsi="Arial" w:cs="Arial"/>
        </w:rPr>
      </w:pPr>
      <w:r w:rsidRPr="009D152F">
        <w:rPr>
          <w:rFonts w:ascii="Arial" w:hAnsi="Arial" w:cs="Arial"/>
          <w:lang w:val="en-US"/>
        </w:rPr>
        <w:t xml:space="preserve">Nat </w:t>
      </w:r>
      <w:proofErr w:type="spellStart"/>
      <w:r w:rsidRPr="009D152F">
        <w:rPr>
          <w:rFonts w:ascii="Arial" w:hAnsi="Arial" w:cs="Arial"/>
          <w:lang w:val="en-US"/>
        </w:rPr>
        <w:t>Lievesley</w:t>
      </w:r>
      <w:proofErr w:type="spellEnd"/>
      <w:r w:rsidRPr="009D152F">
        <w:rPr>
          <w:rFonts w:ascii="Arial" w:hAnsi="Arial" w:cs="Arial"/>
          <w:lang w:val="en-US"/>
        </w:rPr>
        <w:t xml:space="preserve">. Ageism and age discrimination in secondary health care in the United Kingdom. </w:t>
      </w:r>
      <w:r w:rsidRPr="009D152F">
        <w:rPr>
          <w:rFonts w:ascii="Arial" w:hAnsi="Arial" w:cs="Arial"/>
        </w:rPr>
        <w:t>Disponible en: http://www.cpa.org.uk/information/reviews/CPA-ageism_and_age_discrimination_in_secondary_health_care-report.pdf</w:t>
      </w:r>
    </w:p>
    <w:p w14:paraId="7A583731" w14:textId="03D02E35" w:rsidR="00923BD6" w:rsidRPr="00E56C2D" w:rsidRDefault="00C04284" w:rsidP="00E56C2D">
      <w:pPr>
        <w:pStyle w:val="Prrafodelista"/>
        <w:numPr>
          <w:ilvl w:val="0"/>
          <w:numId w:val="1"/>
        </w:numPr>
        <w:ind w:right="96"/>
        <w:jc w:val="both"/>
        <w:rPr>
          <w:rFonts w:ascii="Arial" w:hAnsi="Arial" w:cs="Arial"/>
        </w:rPr>
      </w:pPr>
      <w:r w:rsidRPr="009D152F">
        <w:rPr>
          <w:rFonts w:ascii="Arial" w:hAnsi="Arial" w:cs="Arial"/>
          <w:lang w:val="en-US"/>
        </w:rPr>
        <w:t xml:space="preserve">Chang ES, Kannoth S, Levy S, Wang SY, Lee JE, Levy BR. Global reach of ageism on older persons’ health: A systematic review. </w:t>
      </w:r>
      <w:r w:rsidRPr="009D152F">
        <w:rPr>
          <w:rFonts w:ascii="Arial" w:hAnsi="Arial" w:cs="Arial"/>
        </w:rPr>
        <w:t xml:space="preserve">Bayer A, editor. </w:t>
      </w:r>
      <w:proofErr w:type="spellStart"/>
      <w:r w:rsidRPr="009D152F">
        <w:rPr>
          <w:rFonts w:ascii="Arial" w:hAnsi="Arial" w:cs="Arial"/>
        </w:rPr>
        <w:t>PLoS</w:t>
      </w:r>
      <w:proofErr w:type="spellEnd"/>
      <w:r w:rsidRPr="009D152F">
        <w:rPr>
          <w:rFonts w:ascii="Arial" w:hAnsi="Arial" w:cs="Arial"/>
        </w:rPr>
        <w:t xml:space="preserve"> ONE [Internet]. el 15 de enero de 2020 [citado el 23 de marzo de 2024];15(1</w:t>
      </w:r>
      <w:proofErr w:type="gramStart"/>
      <w:r w:rsidRPr="009D152F">
        <w:rPr>
          <w:rFonts w:ascii="Arial" w:hAnsi="Arial" w:cs="Arial"/>
        </w:rPr>
        <w:t>):e</w:t>
      </w:r>
      <w:proofErr w:type="gramEnd"/>
      <w:r w:rsidRPr="009D152F">
        <w:rPr>
          <w:rFonts w:ascii="Arial" w:hAnsi="Arial" w:cs="Arial"/>
        </w:rPr>
        <w:t>0220857. Disponible en: https://dx.plos.org/10.1371/journal.pone.0220857</w:t>
      </w:r>
    </w:p>
    <w:sectPr w:rsidR="00923BD6" w:rsidRPr="00E56C2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3CC5BE" w14:textId="77777777" w:rsidR="009C3D73" w:rsidRDefault="009C3D73" w:rsidP="009C3D73">
      <w:pPr>
        <w:spacing w:after="0" w:line="240" w:lineRule="auto"/>
      </w:pPr>
      <w:r>
        <w:separator/>
      </w:r>
    </w:p>
  </w:endnote>
  <w:endnote w:type="continuationSeparator" w:id="0">
    <w:p w14:paraId="59E5E184" w14:textId="77777777" w:rsidR="009C3D73" w:rsidRDefault="009C3D73" w:rsidP="009C3D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A7577E" w14:textId="77777777" w:rsidR="009C3D73" w:rsidRDefault="009C3D73" w:rsidP="009C3D73">
      <w:pPr>
        <w:spacing w:after="0" w:line="240" w:lineRule="auto"/>
      </w:pPr>
      <w:r>
        <w:separator/>
      </w:r>
    </w:p>
  </w:footnote>
  <w:footnote w:type="continuationSeparator" w:id="0">
    <w:p w14:paraId="2C3A5646" w14:textId="77777777" w:rsidR="009C3D73" w:rsidRDefault="009C3D73" w:rsidP="009C3D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786AA2"/>
    <w:multiLevelType w:val="multilevel"/>
    <w:tmpl w:val="53428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19788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118"/>
    <w:rsid w:val="00062349"/>
    <w:rsid w:val="00083C08"/>
    <w:rsid w:val="0009408A"/>
    <w:rsid w:val="00143854"/>
    <w:rsid w:val="00154E36"/>
    <w:rsid w:val="0017656C"/>
    <w:rsid w:val="001C67EC"/>
    <w:rsid w:val="0021100B"/>
    <w:rsid w:val="00237291"/>
    <w:rsid w:val="002F4EEB"/>
    <w:rsid w:val="002F5B36"/>
    <w:rsid w:val="00326397"/>
    <w:rsid w:val="003803E6"/>
    <w:rsid w:val="003B425D"/>
    <w:rsid w:val="004477C3"/>
    <w:rsid w:val="00465A1D"/>
    <w:rsid w:val="00465F10"/>
    <w:rsid w:val="0048578A"/>
    <w:rsid w:val="004D7281"/>
    <w:rsid w:val="00523055"/>
    <w:rsid w:val="00540D88"/>
    <w:rsid w:val="00565574"/>
    <w:rsid w:val="00582539"/>
    <w:rsid w:val="005E242C"/>
    <w:rsid w:val="005E4FC8"/>
    <w:rsid w:val="00690405"/>
    <w:rsid w:val="006B3118"/>
    <w:rsid w:val="006E2016"/>
    <w:rsid w:val="006E630C"/>
    <w:rsid w:val="007338EA"/>
    <w:rsid w:val="00767826"/>
    <w:rsid w:val="00775844"/>
    <w:rsid w:val="007B38F3"/>
    <w:rsid w:val="007D2168"/>
    <w:rsid w:val="008024FC"/>
    <w:rsid w:val="008D7EAE"/>
    <w:rsid w:val="00910FA2"/>
    <w:rsid w:val="00923BD6"/>
    <w:rsid w:val="00980C0E"/>
    <w:rsid w:val="009C3D73"/>
    <w:rsid w:val="009F6139"/>
    <w:rsid w:val="00A71D50"/>
    <w:rsid w:val="00AC0377"/>
    <w:rsid w:val="00AF2E45"/>
    <w:rsid w:val="00BD07CB"/>
    <w:rsid w:val="00C04284"/>
    <w:rsid w:val="00C70F8F"/>
    <w:rsid w:val="00D97934"/>
    <w:rsid w:val="00DC27E5"/>
    <w:rsid w:val="00DF4879"/>
    <w:rsid w:val="00E56C2D"/>
    <w:rsid w:val="00E732D9"/>
    <w:rsid w:val="00E74BD4"/>
    <w:rsid w:val="00E76D47"/>
    <w:rsid w:val="00EA0F22"/>
    <w:rsid w:val="00F3588F"/>
    <w:rsid w:val="00F374A2"/>
    <w:rsid w:val="00F621A2"/>
    <w:rsid w:val="00F82D2A"/>
    <w:rsid w:val="00FD340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DDD7E"/>
  <w15:chartTrackingRefBased/>
  <w15:docId w15:val="{2C702896-4090-4517-A7DB-BD6166F31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11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7338EA"/>
    <w:pPr>
      <w:spacing w:before="100" w:beforeAutospacing="1" w:after="100" w:afterAutospacing="1" w:line="240" w:lineRule="auto"/>
    </w:pPr>
    <w:rPr>
      <w:rFonts w:ascii="Times New Roman" w:eastAsia="Times New Roman" w:hAnsi="Times New Roman" w:cs="Times New Roman"/>
      <w:kern w:val="0"/>
      <w:sz w:val="24"/>
      <w:szCs w:val="24"/>
      <w:lang w:eastAsia="es-PE"/>
      <w14:ligatures w14:val="none"/>
    </w:rPr>
  </w:style>
  <w:style w:type="character" w:styleId="Hipervnculo">
    <w:name w:val="Hyperlink"/>
    <w:basedOn w:val="Fuentedeprrafopredeter"/>
    <w:uiPriority w:val="99"/>
    <w:unhideWhenUsed/>
    <w:rsid w:val="006E630C"/>
    <w:rPr>
      <w:color w:val="0000FF"/>
      <w:u w:val="single"/>
    </w:rPr>
  </w:style>
  <w:style w:type="paragraph" w:styleId="Revisin">
    <w:name w:val="Revision"/>
    <w:hidden/>
    <w:uiPriority w:val="99"/>
    <w:semiHidden/>
    <w:rsid w:val="00154E36"/>
    <w:pPr>
      <w:spacing w:after="0" w:line="240" w:lineRule="auto"/>
    </w:pPr>
  </w:style>
  <w:style w:type="character" w:styleId="Refdecomentario">
    <w:name w:val="annotation reference"/>
    <w:basedOn w:val="Fuentedeprrafopredeter"/>
    <w:uiPriority w:val="99"/>
    <w:semiHidden/>
    <w:unhideWhenUsed/>
    <w:rsid w:val="006E2016"/>
    <w:rPr>
      <w:sz w:val="16"/>
      <w:szCs w:val="16"/>
    </w:rPr>
  </w:style>
  <w:style w:type="paragraph" w:styleId="Textocomentario">
    <w:name w:val="annotation text"/>
    <w:basedOn w:val="Normal"/>
    <w:link w:val="TextocomentarioCar"/>
    <w:uiPriority w:val="99"/>
    <w:unhideWhenUsed/>
    <w:rsid w:val="006E2016"/>
    <w:pPr>
      <w:spacing w:line="240" w:lineRule="auto"/>
    </w:pPr>
    <w:rPr>
      <w:sz w:val="20"/>
      <w:szCs w:val="20"/>
    </w:rPr>
  </w:style>
  <w:style w:type="character" w:customStyle="1" w:styleId="TextocomentarioCar">
    <w:name w:val="Texto comentario Car"/>
    <w:basedOn w:val="Fuentedeprrafopredeter"/>
    <w:link w:val="Textocomentario"/>
    <w:uiPriority w:val="99"/>
    <w:rsid w:val="006E2016"/>
    <w:rPr>
      <w:sz w:val="20"/>
      <w:szCs w:val="20"/>
    </w:rPr>
  </w:style>
  <w:style w:type="paragraph" w:styleId="Asuntodelcomentario">
    <w:name w:val="annotation subject"/>
    <w:basedOn w:val="Textocomentario"/>
    <w:next w:val="Textocomentario"/>
    <w:link w:val="AsuntodelcomentarioCar"/>
    <w:uiPriority w:val="99"/>
    <w:semiHidden/>
    <w:unhideWhenUsed/>
    <w:rsid w:val="006E2016"/>
    <w:rPr>
      <w:b/>
      <w:bCs/>
    </w:rPr>
  </w:style>
  <w:style w:type="character" w:customStyle="1" w:styleId="AsuntodelcomentarioCar">
    <w:name w:val="Asunto del comentario Car"/>
    <w:basedOn w:val="TextocomentarioCar"/>
    <w:link w:val="Asuntodelcomentario"/>
    <w:uiPriority w:val="99"/>
    <w:semiHidden/>
    <w:rsid w:val="006E2016"/>
    <w:rPr>
      <w:b/>
      <w:bCs/>
      <w:sz w:val="20"/>
      <w:szCs w:val="20"/>
    </w:rPr>
  </w:style>
  <w:style w:type="table" w:styleId="Tablaconcuadrcula">
    <w:name w:val="Table Grid"/>
    <w:basedOn w:val="Tablanormal"/>
    <w:uiPriority w:val="39"/>
    <w:rsid w:val="00485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DC27E5"/>
    <w:rPr>
      <w:color w:val="605E5C"/>
      <w:shd w:val="clear" w:color="auto" w:fill="E1DFDD"/>
    </w:rPr>
  </w:style>
  <w:style w:type="character" w:styleId="Hipervnculovisitado">
    <w:name w:val="FollowedHyperlink"/>
    <w:basedOn w:val="Fuentedeprrafopredeter"/>
    <w:uiPriority w:val="99"/>
    <w:semiHidden/>
    <w:unhideWhenUsed/>
    <w:rsid w:val="00DC27E5"/>
    <w:rPr>
      <w:color w:val="954F72" w:themeColor="followedHyperlink"/>
      <w:u w:val="single"/>
    </w:rPr>
  </w:style>
  <w:style w:type="paragraph" w:styleId="Encabezado">
    <w:name w:val="header"/>
    <w:basedOn w:val="Normal"/>
    <w:link w:val="EncabezadoCar"/>
    <w:uiPriority w:val="99"/>
    <w:unhideWhenUsed/>
    <w:rsid w:val="009C3D7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C3D73"/>
  </w:style>
  <w:style w:type="paragraph" w:styleId="Piedepgina">
    <w:name w:val="footer"/>
    <w:basedOn w:val="Normal"/>
    <w:link w:val="PiedepginaCar"/>
    <w:uiPriority w:val="99"/>
    <w:unhideWhenUsed/>
    <w:rsid w:val="009C3D7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C3D73"/>
  </w:style>
  <w:style w:type="paragraph" w:styleId="Prrafodelista">
    <w:name w:val="List Paragraph"/>
    <w:basedOn w:val="Normal"/>
    <w:uiPriority w:val="34"/>
    <w:qFormat/>
    <w:rsid w:val="00C042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898925">
      <w:bodyDiv w:val="1"/>
      <w:marLeft w:val="0"/>
      <w:marRight w:val="0"/>
      <w:marTop w:val="0"/>
      <w:marBottom w:val="0"/>
      <w:divBdr>
        <w:top w:val="none" w:sz="0" w:space="0" w:color="auto"/>
        <w:left w:val="none" w:sz="0" w:space="0" w:color="auto"/>
        <w:bottom w:val="none" w:sz="0" w:space="0" w:color="auto"/>
        <w:right w:val="none" w:sz="0" w:space="0" w:color="auto"/>
      </w:divBdr>
    </w:div>
    <w:div w:id="151917446">
      <w:bodyDiv w:val="1"/>
      <w:marLeft w:val="0"/>
      <w:marRight w:val="0"/>
      <w:marTop w:val="0"/>
      <w:marBottom w:val="0"/>
      <w:divBdr>
        <w:top w:val="none" w:sz="0" w:space="0" w:color="auto"/>
        <w:left w:val="none" w:sz="0" w:space="0" w:color="auto"/>
        <w:bottom w:val="none" w:sz="0" w:space="0" w:color="auto"/>
        <w:right w:val="none" w:sz="0" w:space="0" w:color="auto"/>
      </w:divBdr>
    </w:div>
    <w:div w:id="580407902">
      <w:bodyDiv w:val="1"/>
      <w:marLeft w:val="0"/>
      <w:marRight w:val="0"/>
      <w:marTop w:val="0"/>
      <w:marBottom w:val="0"/>
      <w:divBdr>
        <w:top w:val="none" w:sz="0" w:space="0" w:color="auto"/>
        <w:left w:val="none" w:sz="0" w:space="0" w:color="auto"/>
        <w:bottom w:val="none" w:sz="0" w:space="0" w:color="auto"/>
        <w:right w:val="none" w:sz="0" w:space="0" w:color="auto"/>
      </w:divBdr>
    </w:div>
    <w:div w:id="625502344">
      <w:bodyDiv w:val="1"/>
      <w:marLeft w:val="0"/>
      <w:marRight w:val="0"/>
      <w:marTop w:val="0"/>
      <w:marBottom w:val="0"/>
      <w:divBdr>
        <w:top w:val="none" w:sz="0" w:space="0" w:color="auto"/>
        <w:left w:val="none" w:sz="0" w:space="0" w:color="auto"/>
        <w:bottom w:val="none" w:sz="0" w:space="0" w:color="auto"/>
        <w:right w:val="none" w:sz="0" w:space="0" w:color="auto"/>
      </w:divBdr>
    </w:div>
    <w:div w:id="1934900543">
      <w:bodyDiv w:val="1"/>
      <w:marLeft w:val="0"/>
      <w:marRight w:val="0"/>
      <w:marTop w:val="0"/>
      <w:marBottom w:val="0"/>
      <w:divBdr>
        <w:top w:val="none" w:sz="0" w:space="0" w:color="auto"/>
        <w:left w:val="none" w:sz="0" w:space="0" w:color="auto"/>
        <w:bottom w:val="none" w:sz="0" w:space="0" w:color="auto"/>
        <w:right w:val="none" w:sz="0" w:space="0" w:color="auto"/>
      </w:divBdr>
    </w:div>
    <w:div w:id="1940487794">
      <w:bodyDiv w:val="1"/>
      <w:marLeft w:val="0"/>
      <w:marRight w:val="0"/>
      <w:marTop w:val="0"/>
      <w:marBottom w:val="0"/>
      <w:divBdr>
        <w:top w:val="none" w:sz="0" w:space="0" w:color="auto"/>
        <w:left w:val="none" w:sz="0" w:space="0" w:color="auto"/>
        <w:bottom w:val="none" w:sz="0" w:space="0" w:color="auto"/>
        <w:right w:val="none" w:sz="0" w:space="0" w:color="auto"/>
      </w:divBdr>
    </w:div>
    <w:div w:id="1941134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elosp.org/article/rsap/2004.v6n3/302-318/" TargetMode="External"/><Relationship Id="rId13" Type="http://schemas.openxmlformats.org/officeDocument/2006/relationships/hyperlink" Target="https://www.dge.gob.pe/portal/docs/vigilancia/boletines/2017/33.pdf" TargetMode="External"/><Relationship Id="rId18" Type="http://schemas.openxmlformats.org/officeDocument/2006/relationships/hyperlink" Target="https://onlinelibrary.wiley.com/doi/10.1111/ajag.12105" TargetMode="External"/><Relationship Id="rId3" Type="http://schemas.openxmlformats.org/officeDocument/2006/relationships/settings" Target="settings.xml"/><Relationship Id="rId21" Type="http://schemas.openxmlformats.org/officeDocument/2006/relationships/hyperlink" Target="https://www.elsevier.es/pt-revista-revista-medica-del-hospital-general-325-articulo-analisis-las-cirugias-realizadas-pacientes-X0185106312231528" TargetMode="External"/><Relationship Id="rId7" Type="http://schemas.openxmlformats.org/officeDocument/2006/relationships/hyperlink" Target="http://www.scielo.org.co/pdf/rcp/v36n2/v36n2a13.pdf" TargetMode="External"/><Relationship Id="rId12" Type="http://schemas.openxmlformats.org/officeDocument/2006/relationships/hyperlink" Target="https://www.paho.org/es/envejecimiento-saludable" TargetMode="External"/><Relationship Id="rId17" Type="http://schemas.openxmlformats.org/officeDocument/2006/relationships/hyperlink" Target="https://www.ncbi.nlm.nih.gov/pmc/articles/PMC927728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academic.oup.com/ageing/article/44/5/776/52134?login=false" TargetMode="External"/><Relationship Id="rId20" Type="http://schemas.openxmlformats.org/officeDocument/2006/relationships/hyperlink" Target="https://www.scielo.cl/scielo.php?script=sci_arttext&amp;pid=S0718-4026201500030001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aho.org"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link.springer.com/article/10.1007/s12094-019-02107-w" TargetMode="External"/><Relationship Id="rId23" Type="http://schemas.openxmlformats.org/officeDocument/2006/relationships/hyperlink" Target="https://cdn.www.gob.pe/uploads/document/file/5617893/4981138-situacion-de-la-poblacion-adulta-mayor-julio-agosto-setiembre-2023.pdf" TargetMode="External"/><Relationship Id="rId10" Type="http://schemas.openxmlformats.org/officeDocument/2006/relationships/hyperlink" Target="https://iris.paho.org/handle/10665.2/55871" TargetMode="External"/><Relationship Id="rId19" Type="http://schemas.openxmlformats.org/officeDocument/2006/relationships/hyperlink" Target="https://revmedmilitar.sld.cu/index.php/mil/article/view/2068/1522" TargetMode="External"/><Relationship Id="rId4" Type="http://schemas.openxmlformats.org/officeDocument/2006/relationships/webSettings" Target="webSettings.xml"/><Relationship Id="rId9" Type="http://schemas.openxmlformats.org/officeDocument/2006/relationships/hyperlink" Target="https://www.who.int/es/news-room/questions-and-answers/item/ageing-ageism" TargetMode="External"/><Relationship Id="rId14" Type="http://schemas.openxmlformats.org/officeDocument/2006/relationships/hyperlink" Target="https://m.inei.gob.pe/media/MenuRecursivo/boletines/01-informe-tecnico-poblacion-adulta-mayor-oct-nov-dic-2022.pdf" TargetMode="External"/><Relationship Id="rId22" Type="http://schemas.openxmlformats.org/officeDocument/2006/relationships/hyperlink" Target="https://www.researchgate.net/publication/51617659_Proposed_Competencies_in_Geriatric_Patient_Care_for_Use_in_Assessment_for_Initial_and_Continued_Board_Certification_of_Surgical_Specialist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1634</TotalTime>
  <Pages>12</Pages>
  <Words>3777</Words>
  <Characters>20779</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Blasco</dc:creator>
  <cp:keywords/>
  <dc:description/>
  <cp:lastModifiedBy>Antonio Blasco</cp:lastModifiedBy>
  <cp:revision>14</cp:revision>
  <dcterms:created xsi:type="dcterms:W3CDTF">2024-02-17T01:26:00Z</dcterms:created>
  <dcterms:modified xsi:type="dcterms:W3CDTF">2024-05-10T20:51:00Z</dcterms:modified>
</cp:coreProperties>
</file>