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2AC25" w14:textId="77777777" w:rsidR="00F85516" w:rsidRPr="009B1670" w:rsidRDefault="00F85516" w:rsidP="00F85516">
      <w:pPr>
        <w:jc w:val="center"/>
        <w:rPr>
          <w:rFonts w:eastAsiaTheme="majorEastAsia"/>
          <w:b/>
          <w:bCs/>
          <w:color w:val="000000" w:themeColor="text1"/>
        </w:rPr>
      </w:pPr>
      <w:r w:rsidRPr="009B1670">
        <w:rPr>
          <w:rFonts w:eastAsiaTheme="majorEastAsia"/>
          <w:b/>
          <w:bCs/>
          <w:color w:val="000000" w:themeColor="text1"/>
        </w:rPr>
        <w:t>The Pedagogical Potential of Block Teaching in Higher Education</w:t>
      </w:r>
    </w:p>
    <w:p w14:paraId="37C2E4CE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</w:p>
    <w:p w14:paraId="4AD072C0" w14:textId="77777777" w:rsidR="00F85516" w:rsidRPr="001568DB" w:rsidRDefault="00F85516" w:rsidP="00F85516">
      <w:pPr>
        <w:rPr>
          <w:rFonts w:eastAsiaTheme="majorEastAsia"/>
          <w:b/>
          <w:bCs/>
          <w:color w:val="000000" w:themeColor="text1"/>
        </w:rPr>
      </w:pPr>
      <w:r w:rsidRPr="001568DB">
        <w:rPr>
          <w:rFonts w:eastAsiaTheme="majorEastAsia"/>
          <w:b/>
          <w:bCs/>
          <w:color w:val="000000" w:themeColor="text1"/>
        </w:rPr>
        <w:t>1. Introduction</w:t>
      </w:r>
    </w:p>
    <w:p w14:paraId="39CF0744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 xml:space="preserve">As student learning needs diversify, higher education institutions are re-examining traditional delivery models. One </w:t>
      </w:r>
      <w:r>
        <w:rPr>
          <w:rFonts w:eastAsiaTheme="majorEastAsia"/>
          <w:color w:val="000000" w:themeColor="text1"/>
        </w:rPr>
        <w:t>emerging model</w:t>
      </w:r>
      <w:r w:rsidRPr="00CF42DF">
        <w:rPr>
          <w:rFonts w:eastAsiaTheme="majorEastAsia"/>
          <w:color w:val="000000" w:themeColor="text1"/>
        </w:rPr>
        <w:t>—</w:t>
      </w:r>
      <w:r w:rsidRPr="009B1670">
        <w:rPr>
          <w:rFonts w:eastAsiaTheme="majorEastAsia"/>
          <w:b/>
          <w:bCs/>
          <w:color w:val="000000" w:themeColor="text1"/>
        </w:rPr>
        <w:t>block teaching</w:t>
      </w:r>
      <w:r w:rsidRPr="00CF42DF">
        <w:rPr>
          <w:rFonts w:eastAsiaTheme="majorEastAsia"/>
          <w:color w:val="000000" w:themeColor="text1"/>
        </w:rPr>
        <w:t>—</w:t>
      </w:r>
      <w:r>
        <w:rPr>
          <w:rFonts w:eastAsiaTheme="majorEastAsia"/>
          <w:color w:val="000000" w:themeColor="text1"/>
        </w:rPr>
        <w:t>enables students to study</w:t>
      </w:r>
      <w:r w:rsidRPr="00CF42DF">
        <w:rPr>
          <w:rFonts w:eastAsiaTheme="majorEastAsia"/>
          <w:color w:val="000000" w:themeColor="text1"/>
        </w:rPr>
        <w:t xml:space="preserve"> </w:t>
      </w:r>
      <w:r w:rsidRPr="009B1670">
        <w:rPr>
          <w:rFonts w:eastAsiaTheme="majorEastAsia"/>
          <w:b/>
          <w:bCs/>
          <w:color w:val="000000" w:themeColor="text1"/>
        </w:rPr>
        <w:t xml:space="preserve">one module intensively over a short </w:t>
      </w:r>
      <w:r>
        <w:rPr>
          <w:rFonts w:eastAsiaTheme="majorEastAsia"/>
          <w:b/>
          <w:bCs/>
          <w:color w:val="000000" w:themeColor="text1"/>
        </w:rPr>
        <w:t>period</w:t>
      </w:r>
      <w:r w:rsidRPr="00CF42DF">
        <w:rPr>
          <w:rFonts w:eastAsiaTheme="majorEastAsia"/>
          <w:color w:val="000000" w:themeColor="text1"/>
        </w:rPr>
        <w:t xml:space="preserve">, rather than </w:t>
      </w:r>
      <w:r>
        <w:rPr>
          <w:rFonts w:eastAsiaTheme="majorEastAsia"/>
          <w:color w:val="000000" w:themeColor="text1"/>
        </w:rPr>
        <w:t>juggling</w:t>
      </w:r>
      <w:r w:rsidRPr="00CF42DF">
        <w:rPr>
          <w:rFonts w:eastAsiaTheme="majorEastAsia"/>
          <w:color w:val="000000" w:themeColor="text1"/>
        </w:rPr>
        <w:t xml:space="preserve"> multiple modules </w:t>
      </w:r>
      <w:r>
        <w:rPr>
          <w:rFonts w:eastAsiaTheme="majorEastAsia"/>
          <w:color w:val="000000" w:themeColor="text1"/>
        </w:rPr>
        <w:t>at once</w:t>
      </w:r>
      <w:r w:rsidRPr="00CF42DF">
        <w:rPr>
          <w:rFonts w:eastAsiaTheme="majorEastAsia"/>
          <w:color w:val="000000" w:themeColor="text1"/>
        </w:rPr>
        <w:t>.</w:t>
      </w:r>
    </w:p>
    <w:p w14:paraId="56569B89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</w:p>
    <w:p w14:paraId="5399BCD2" w14:textId="77777777" w:rsidR="00F85516" w:rsidRPr="001568DB" w:rsidRDefault="00F85516" w:rsidP="00F85516">
      <w:pPr>
        <w:rPr>
          <w:rFonts w:eastAsiaTheme="majorEastAsia"/>
          <w:b/>
          <w:bCs/>
          <w:color w:val="000000" w:themeColor="text1"/>
        </w:rPr>
      </w:pPr>
      <w:r w:rsidRPr="001568DB">
        <w:rPr>
          <w:rFonts w:eastAsiaTheme="majorEastAsia"/>
          <w:b/>
          <w:bCs/>
          <w:color w:val="000000" w:themeColor="text1"/>
        </w:rPr>
        <w:t>2. What is Block Teaching?</w:t>
      </w:r>
    </w:p>
    <w:p w14:paraId="4BEDAD43" w14:textId="77777777" w:rsidR="00F85516" w:rsidRPr="00CF42DF" w:rsidRDefault="00F85516" w:rsidP="00F85516">
      <w:pPr>
        <w:numPr>
          <w:ilvl w:val="0"/>
          <w:numId w:val="2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Students engage with one module at a time (typically 3–6 weeks).</w:t>
      </w:r>
    </w:p>
    <w:p w14:paraId="781CCF88" w14:textId="77777777" w:rsidR="00F85516" w:rsidRPr="00CF42DF" w:rsidRDefault="00F85516" w:rsidP="00F85516">
      <w:pPr>
        <w:numPr>
          <w:ilvl w:val="0"/>
          <w:numId w:val="2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Long used in postgraduate/professional settings; now gaining traction in undergraduate programmes.</w:t>
      </w:r>
    </w:p>
    <w:p w14:paraId="04529FB4" w14:textId="77777777" w:rsidR="00F85516" w:rsidRPr="00CF42DF" w:rsidRDefault="00F85516" w:rsidP="00F85516">
      <w:pPr>
        <w:numPr>
          <w:ilvl w:val="0"/>
          <w:numId w:val="2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Encourages deep learning, minimi</w:t>
      </w:r>
      <w:r>
        <w:rPr>
          <w:rFonts w:eastAsiaTheme="majorEastAsia"/>
          <w:color w:val="000000" w:themeColor="text1"/>
        </w:rPr>
        <w:t>s</w:t>
      </w:r>
      <w:r w:rsidRPr="00CF42DF">
        <w:rPr>
          <w:rFonts w:eastAsiaTheme="majorEastAsia"/>
          <w:color w:val="000000" w:themeColor="text1"/>
        </w:rPr>
        <w:t>es multitasking, and reduces cognitive overload (</w:t>
      </w:r>
      <w:proofErr w:type="spellStart"/>
      <w:r w:rsidRPr="00CF42DF">
        <w:rPr>
          <w:rFonts w:eastAsiaTheme="majorEastAsia"/>
          <w:color w:val="000000" w:themeColor="text1"/>
        </w:rPr>
        <w:t>Sweller</w:t>
      </w:r>
      <w:proofErr w:type="spellEnd"/>
      <w:r w:rsidRPr="00CF42DF">
        <w:rPr>
          <w:rFonts w:eastAsiaTheme="majorEastAsia"/>
          <w:color w:val="000000" w:themeColor="text1"/>
        </w:rPr>
        <w:t>, 1994).</w:t>
      </w:r>
    </w:p>
    <w:p w14:paraId="70C56347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</w:p>
    <w:p w14:paraId="5F7E7F0C" w14:textId="77777777" w:rsidR="00F85516" w:rsidRPr="001568DB" w:rsidRDefault="00F85516" w:rsidP="00F85516">
      <w:pPr>
        <w:rPr>
          <w:rFonts w:eastAsiaTheme="majorEastAsia"/>
          <w:b/>
          <w:bCs/>
          <w:color w:val="000000" w:themeColor="text1"/>
        </w:rPr>
      </w:pPr>
      <w:r w:rsidRPr="001568DB">
        <w:rPr>
          <w:rFonts w:eastAsiaTheme="majorEastAsia"/>
          <w:b/>
          <w:bCs/>
          <w:color w:val="000000" w:themeColor="text1"/>
        </w:rPr>
        <w:t>3. Pedagogical Advantages</w:t>
      </w:r>
    </w:p>
    <w:p w14:paraId="12DCCA8D" w14:textId="77777777" w:rsidR="00F85516" w:rsidRPr="00CF42DF" w:rsidRDefault="00F85516" w:rsidP="00D62FB5">
      <w:pPr>
        <w:ind w:left="720"/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Improved Engagement</w:t>
      </w:r>
    </w:p>
    <w:p w14:paraId="3B5338DF" w14:textId="77777777" w:rsidR="00F85516" w:rsidRPr="00CF42DF" w:rsidRDefault="00F85516" w:rsidP="00D62FB5">
      <w:pPr>
        <w:numPr>
          <w:ilvl w:val="1"/>
          <w:numId w:val="7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Students focus better, retain more, and participate more actively.</w:t>
      </w:r>
    </w:p>
    <w:p w14:paraId="02B99EF4" w14:textId="77777777" w:rsidR="00F85516" w:rsidRPr="00CF42DF" w:rsidRDefault="00F85516" w:rsidP="00D62FB5">
      <w:pPr>
        <w:numPr>
          <w:ilvl w:val="1"/>
          <w:numId w:val="7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Enhances attention and reduces distractions (</w:t>
      </w:r>
      <w:proofErr w:type="spellStart"/>
      <w:r w:rsidRPr="00CF42DF">
        <w:rPr>
          <w:rFonts w:eastAsiaTheme="majorEastAsia"/>
          <w:color w:val="000000" w:themeColor="text1"/>
        </w:rPr>
        <w:t>Konjarski</w:t>
      </w:r>
      <w:proofErr w:type="spellEnd"/>
      <w:r w:rsidRPr="00CF42DF">
        <w:rPr>
          <w:rFonts w:eastAsiaTheme="majorEastAsia"/>
          <w:color w:val="000000" w:themeColor="text1"/>
        </w:rPr>
        <w:t xml:space="preserve"> et al., 2023).</w:t>
      </w:r>
    </w:p>
    <w:p w14:paraId="2613A53F" w14:textId="77777777" w:rsidR="00F85516" w:rsidRPr="00CF42DF" w:rsidRDefault="00F85516" w:rsidP="00D62FB5">
      <w:pPr>
        <w:ind w:left="720"/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Inclusivity &amp; Flexibility</w:t>
      </w:r>
    </w:p>
    <w:p w14:paraId="5AB73AFA" w14:textId="77777777" w:rsidR="00F85516" w:rsidRPr="00D62FB5" w:rsidRDefault="00F85516" w:rsidP="00D62FB5">
      <w:pPr>
        <w:pStyle w:val="ListParagraph"/>
        <w:numPr>
          <w:ilvl w:val="1"/>
          <w:numId w:val="8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Beneficial for students with work, caregiving, or neurodivergent needs.</w:t>
      </w:r>
    </w:p>
    <w:p w14:paraId="425E788A" w14:textId="77777777" w:rsidR="00F85516" w:rsidRPr="00D62FB5" w:rsidRDefault="00F85516" w:rsidP="00D62FB5">
      <w:pPr>
        <w:pStyle w:val="ListParagraph"/>
        <w:numPr>
          <w:ilvl w:val="1"/>
          <w:numId w:val="8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Creates predictable, supportive learning environments (Thomas, 2012).</w:t>
      </w:r>
    </w:p>
    <w:p w14:paraId="3D43194E" w14:textId="77777777" w:rsidR="00F85516" w:rsidRPr="00CF42DF" w:rsidRDefault="00F85516" w:rsidP="00D62FB5">
      <w:pPr>
        <w:ind w:left="720"/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Active Learning &amp; Innovation</w:t>
      </w:r>
    </w:p>
    <w:p w14:paraId="522E90A3" w14:textId="77777777" w:rsidR="00F85516" w:rsidRPr="00D62FB5" w:rsidRDefault="00F85516" w:rsidP="00D62FB5">
      <w:pPr>
        <w:pStyle w:val="ListParagraph"/>
        <w:numPr>
          <w:ilvl w:val="1"/>
          <w:numId w:val="9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Supports student-</w:t>
      </w:r>
      <w:proofErr w:type="spellStart"/>
      <w:r w:rsidRPr="00D62FB5">
        <w:rPr>
          <w:rFonts w:eastAsiaTheme="majorEastAsia"/>
          <w:color w:val="000000" w:themeColor="text1"/>
        </w:rPr>
        <w:t>centered</w:t>
      </w:r>
      <w:proofErr w:type="spellEnd"/>
      <w:r w:rsidRPr="00D62FB5">
        <w:rPr>
          <w:rFonts w:eastAsiaTheme="majorEastAsia"/>
          <w:color w:val="000000" w:themeColor="text1"/>
        </w:rPr>
        <w:t xml:space="preserve"> strategies and deeper inquiry (Gibbs, 2010).</w:t>
      </w:r>
    </w:p>
    <w:p w14:paraId="5F6FAC1B" w14:textId="77777777" w:rsidR="00F85516" w:rsidRPr="00D62FB5" w:rsidRDefault="00F85516" w:rsidP="00D62FB5">
      <w:pPr>
        <w:pStyle w:val="ListParagraph"/>
        <w:numPr>
          <w:ilvl w:val="1"/>
          <w:numId w:val="9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Encourages project-based, collaborative learning (Biggs &amp; Tang, 2022).</w:t>
      </w:r>
    </w:p>
    <w:p w14:paraId="5A2A816A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</w:p>
    <w:p w14:paraId="2BB3B825" w14:textId="77777777" w:rsidR="00F85516" w:rsidRPr="001568DB" w:rsidRDefault="00F85516" w:rsidP="00F85516">
      <w:pPr>
        <w:rPr>
          <w:rFonts w:eastAsiaTheme="majorEastAsia"/>
          <w:b/>
          <w:bCs/>
          <w:color w:val="000000" w:themeColor="text1"/>
        </w:rPr>
      </w:pPr>
      <w:r w:rsidRPr="001568DB">
        <w:rPr>
          <w:rFonts w:eastAsiaTheme="majorEastAsia"/>
          <w:b/>
          <w:bCs/>
          <w:color w:val="000000" w:themeColor="text1"/>
        </w:rPr>
        <w:t>4. Challenges &amp; Considerations</w:t>
      </w:r>
    </w:p>
    <w:p w14:paraId="28AC27DA" w14:textId="77777777" w:rsidR="00F85516" w:rsidRPr="00CF42DF" w:rsidRDefault="00F85516" w:rsidP="00D62FB5">
      <w:pPr>
        <w:ind w:left="720"/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Curriculum &amp; Assessment Design</w:t>
      </w:r>
    </w:p>
    <w:p w14:paraId="6F81A9D0" w14:textId="77777777" w:rsidR="00F85516" w:rsidRPr="00D62FB5" w:rsidRDefault="00F85516" w:rsidP="00D62FB5">
      <w:pPr>
        <w:pStyle w:val="ListParagraph"/>
        <w:numPr>
          <w:ilvl w:val="1"/>
          <w:numId w:val="10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Demands agile planning, fast feedback, and adapted teaching styles.</w:t>
      </w:r>
    </w:p>
    <w:p w14:paraId="5C5C85AD" w14:textId="77777777" w:rsidR="00F85516" w:rsidRPr="00D62FB5" w:rsidRDefault="00F85516" w:rsidP="00D62FB5">
      <w:pPr>
        <w:pStyle w:val="ListParagraph"/>
        <w:numPr>
          <w:ilvl w:val="1"/>
          <w:numId w:val="10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May risk of fragmented learning in subjects requiring cumulative knowledge (Barnett, 2000).</w:t>
      </w:r>
    </w:p>
    <w:p w14:paraId="64811417" w14:textId="77777777" w:rsidR="00F85516" w:rsidRPr="00CF42DF" w:rsidRDefault="00F85516" w:rsidP="00D62FB5">
      <w:pPr>
        <w:ind w:left="720"/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Institutional Alignment Required</w:t>
      </w:r>
    </w:p>
    <w:p w14:paraId="46EC92D1" w14:textId="77777777" w:rsidR="00F85516" w:rsidRPr="00D62FB5" w:rsidRDefault="00F85516" w:rsidP="00D62FB5">
      <w:pPr>
        <w:pStyle w:val="ListParagraph"/>
        <w:numPr>
          <w:ilvl w:val="1"/>
          <w:numId w:val="11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Impacts calendars, support services, and resource access.</w:t>
      </w:r>
    </w:p>
    <w:p w14:paraId="7CC93B4E" w14:textId="77777777" w:rsidR="00F85516" w:rsidRPr="00D62FB5" w:rsidRDefault="00F85516" w:rsidP="00D62FB5">
      <w:pPr>
        <w:pStyle w:val="ListParagraph"/>
        <w:numPr>
          <w:ilvl w:val="1"/>
          <w:numId w:val="11"/>
        </w:numPr>
        <w:rPr>
          <w:rFonts w:eastAsiaTheme="majorEastAsia"/>
          <w:color w:val="000000" w:themeColor="text1"/>
        </w:rPr>
      </w:pPr>
      <w:r w:rsidRPr="00D62FB5">
        <w:rPr>
          <w:rFonts w:eastAsiaTheme="majorEastAsia"/>
          <w:color w:val="000000" w:themeColor="text1"/>
        </w:rPr>
        <w:t>Success depends on coordinated systems and thoughtful sequencing.</w:t>
      </w:r>
    </w:p>
    <w:p w14:paraId="4EF5284E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</w:p>
    <w:p w14:paraId="2E1813AD" w14:textId="77777777" w:rsidR="00F85516" w:rsidRPr="001568DB" w:rsidRDefault="00F85516" w:rsidP="00F85516">
      <w:pPr>
        <w:rPr>
          <w:rFonts w:eastAsiaTheme="majorEastAsia"/>
          <w:b/>
          <w:bCs/>
          <w:color w:val="000000" w:themeColor="text1"/>
        </w:rPr>
      </w:pPr>
      <w:r w:rsidRPr="001568DB">
        <w:rPr>
          <w:rFonts w:eastAsiaTheme="majorEastAsia"/>
          <w:b/>
          <w:bCs/>
          <w:color w:val="000000" w:themeColor="text1"/>
        </w:rPr>
        <w:t>5. Reflective Questions</w:t>
      </w:r>
    </w:p>
    <w:p w14:paraId="6CB7976E" w14:textId="77777777" w:rsidR="00F85516" w:rsidRPr="00CF42DF" w:rsidRDefault="00F85516" w:rsidP="00F85516">
      <w:pPr>
        <w:numPr>
          <w:ilvl w:val="0"/>
          <w:numId w:val="5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How can compressed timeframes support deep learning?</w:t>
      </w:r>
    </w:p>
    <w:p w14:paraId="5A395105" w14:textId="77777777" w:rsidR="00F85516" w:rsidRPr="00CF42DF" w:rsidRDefault="00F85516" w:rsidP="00F85516">
      <w:pPr>
        <w:numPr>
          <w:ilvl w:val="0"/>
          <w:numId w:val="5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What impact does block delivery have on motivation, performance, and retention?</w:t>
      </w:r>
    </w:p>
    <w:p w14:paraId="63E6029C" w14:textId="77777777" w:rsidR="00F85516" w:rsidRPr="00CF42DF" w:rsidRDefault="00F85516" w:rsidP="00F85516">
      <w:pPr>
        <w:numPr>
          <w:ilvl w:val="0"/>
          <w:numId w:val="5"/>
        </w:num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>How can institutions ensure coherence and progression across modules?</w:t>
      </w:r>
    </w:p>
    <w:p w14:paraId="09FEF3B1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</w:p>
    <w:p w14:paraId="14D778B0" w14:textId="77777777" w:rsidR="00F85516" w:rsidRPr="001568DB" w:rsidRDefault="00F85516" w:rsidP="00F85516">
      <w:pPr>
        <w:rPr>
          <w:rFonts w:eastAsiaTheme="majorEastAsia"/>
          <w:b/>
          <w:bCs/>
          <w:color w:val="000000" w:themeColor="text1"/>
        </w:rPr>
      </w:pPr>
      <w:r w:rsidRPr="001568DB">
        <w:rPr>
          <w:rFonts w:eastAsiaTheme="majorEastAsia"/>
          <w:b/>
          <w:bCs/>
          <w:color w:val="000000" w:themeColor="text1"/>
        </w:rPr>
        <w:t>6. Conclusion</w:t>
      </w:r>
    </w:p>
    <w:p w14:paraId="293DB1EF" w14:textId="77777777" w:rsidR="00F85516" w:rsidRDefault="00F85516" w:rsidP="00F85516">
      <w:p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t xml:space="preserve">Block teaching </w:t>
      </w:r>
      <w:r>
        <w:rPr>
          <w:rFonts w:eastAsiaTheme="majorEastAsia"/>
          <w:color w:val="000000" w:themeColor="text1"/>
        </w:rPr>
        <w:t>presents a flexible,</w:t>
      </w:r>
      <w:r w:rsidRPr="00CF42DF">
        <w:rPr>
          <w:rFonts w:eastAsiaTheme="majorEastAsia"/>
          <w:color w:val="000000" w:themeColor="text1"/>
        </w:rPr>
        <w:t xml:space="preserve"> inclusive, and engaging alternative to traditional </w:t>
      </w:r>
      <w:r>
        <w:rPr>
          <w:rFonts w:eastAsiaTheme="majorEastAsia"/>
          <w:color w:val="000000" w:themeColor="text1"/>
        </w:rPr>
        <w:t>delivery</w:t>
      </w:r>
      <w:r w:rsidRPr="00CF42DF">
        <w:rPr>
          <w:rFonts w:eastAsiaTheme="majorEastAsia"/>
          <w:color w:val="000000" w:themeColor="text1"/>
        </w:rPr>
        <w:t xml:space="preserve">. While </w:t>
      </w:r>
      <w:r>
        <w:rPr>
          <w:rFonts w:eastAsiaTheme="majorEastAsia"/>
          <w:color w:val="000000" w:themeColor="text1"/>
        </w:rPr>
        <w:t>implemented thoughtfully, it can transform learning experiences, support diverse student needs, and spark curricular innovation.</w:t>
      </w:r>
    </w:p>
    <w:p w14:paraId="3EDFE7EE" w14:textId="77777777" w:rsidR="00F85516" w:rsidRDefault="00F85516" w:rsidP="00F85516">
      <w:pPr>
        <w:rPr>
          <w:rFonts w:eastAsiaTheme="majorEastAsia"/>
          <w:color w:val="000000" w:themeColor="text1"/>
        </w:rPr>
      </w:pPr>
    </w:p>
    <w:p w14:paraId="2ED16197" w14:textId="77777777" w:rsidR="00F85516" w:rsidRPr="00CF42DF" w:rsidRDefault="00F85516" w:rsidP="00F85516">
      <w:pPr>
        <w:rPr>
          <w:rFonts w:eastAsiaTheme="majorEastAsia"/>
          <w:color w:val="000000" w:themeColor="text1"/>
        </w:rPr>
      </w:pPr>
      <w:r w:rsidRPr="00CF42DF">
        <w:rPr>
          <w:rFonts w:eastAsiaTheme="majorEastAsia"/>
          <w:color w:val="000000" w:themeColor="text1"/>
        </w:rPr>
        <w:lastRenderedPageBreak/>
        <w:t>“The model encourages rethinking not just what we teach, but how—and when—we teach it.”</w:t>
      </w:r>
    </w:p>
    <w:p w14:paraId="613B1DDA" w14:textId="77777777" w:rsidR="00F85516" w:rsidRDefault="00F85516" w:rsidP="008928F5"/>
    <w:p w14:paraId="7EEB3B91" w14:textId="77777777" w:rsidR="00F85516" w:rsidRPr="00AF2FC3" w:rsidRDefault="00F85516" w:rsidP="00F85516">
      <w:pPr>
        <w:spacing w:before="100" w:beforeAutospacing="1" w:after="100" w:afterAutospacing="1"/>
        <w:rPr>
          <w:color w:val="000000" w:themeColor="text1"/>
        </w:rPr>
      </w:pPr>
      <w:r w:rsidRPr="00AF2FC3">
        <w:rPr>
          <w:rStyle w:val="Strong"/>
          <w:rFonts w:eastAsiaTheme="majorEastAsia"/>
          <w:color w:val="000000" w:themeColor="text1"/>
        </w:rPr>
        <w:t>References</w:t>
      </w:r>
    </w:p>
    <w:p w14:paraId="21591EDE" w14:textId="08B2185E" w:rsidR="00F85516" w:rsidRPr="00AF2FC3" w:rsidRDefault="00F85516" w:rsidP="00F85516">
      <w:pPr>
        <w:rPr>
          <w:color w:val="000000" w:themeColor="text1"/>
        </w:rPr>
      </w:pPr>
      <w:r w:rsidRPr="00AF2FC3">
        <w:rPr>
          <w:color w:val="000000" w:themeColor="text1"/>
        </w:rPr>
        <w:t xml:space="preserve">Barnett, R., 2000. University knowledge in an age of </w:t>
      </w:r>
      <w:proofErr w:type="spellStart"/>
      <w:r w:rsidRPr="00AF2FC3">
        <w:rPr>
          <w:color w:val="000000" w:themeColor="text1"/>
        </w:rPr>
        <w:t>supercomplexity</w:t>
      </w:r>
      <w:proofErr w:type="spellEnd"/>
      <w:r w:rsidRPr="00AF2FC3">
        <w:rPr>
          <w:color w:val="000000" w:themeColor="text1"/>
        </w:rPr>
        <w:t>. </w:t>
      </w:r>
      <w:r w:rsidRPr="00AF2FC3">
        <w:rPr>
          <w:i/>
          <w:iCs/>
          <w:color w:val="000000" w:themeColor="text1"/>
        </w:rPr>
        <w:t>Higher education</w:t>
      </w:r>
      <w:r w:rsidRPr="00AF2FC3">
        <w:rPr>
          <w:color w:val="000000" w:themeColor="text1"/>
        </w:rPr>
        <w:t>, </w:t>
      </w:r>
      <w:r w:rsidRPr="00AF2FC3">
        <w:rPr>
          <w:i/>
          <w:iCs/>
          <w:color w:val="000000" w:themeColor="text1"/>
        </w:rPr>
        <w:t>40</w:t>
      </w:r>
      <w:r w:rsidRPr="00AF2FC3">
        <w:rPr>
          <w:color w:val="000000" w:themeColor="text1"/>
        </w:rPr>
        <w:t>, pp.409-422.</w:t>
      </w:r>
    </w:p>
    <w:p w14:paraId="7301E16B" w14:textId="77777777" w:rsidR="00F85516" w:rsidRPr="00AF2FC3" w:rsidRDefault="00F85516" w:rsidP="00F85516">
      <w:pPr>
        <w:rPr>
          <w:color w:val="000000" w:themeColor="text1"/>
        </w:rPr>
      </w:pPr>
      <w:r w:rsidRPr="00AF2FC3">
        <w:rPr>
          <w:color w:val="000000" w:themeColor="text1"/>
        </w:rPr>
        <w:t>Biggs, J., Tang, C. and Kennedy, G., 2022. </w:t>
      </w:r>
      <w:r w:rsidRPr="00AF2FC3">
        <w:rPr>
          <w:i/>
          <w:iCs/>
          <w:color w:val="000000" w:themeColor="text1"/>
        </w:rPr>
        <w:t>Teaching for quality learning at university 5e</w:t>
      </w:r>
      <w:r w:rsidRPr="00AF2FC3">
        <w:rPr>
          <w:color w:val="000000" w:themeColor="text1"/>
        </w:rPr>
        <w:t xml:space="preserve">. </w:t>
      </w:r>
      <w:proofErr w:type="spellStart"/>
      <w:r w:rsidRPr="00AF2FC3">
        <w:rPr>
          <w:color w:val="000000" w:themeColor="text1"/>
        </w:rPr>
        <w:t>McGraw-hill</w:t>
      </w:r>
      <w:proofErr w:type="spellEnd"/>
      <w:r w:rsidRPr="00AF2FC3">
        <w:rPr>
          <w:color w:val="000000" w:themeColor="text1"/>
        </w:rPr>
        <w:t xml:space="preserve"> education (UK).</w:t>
      </w:r>
    </w:p>
    <w:p w14:paraId="2A31BD9C" w14:textId="77777777" w:rsidR="00F85516" w:rsidRPr="00AF2FC3" w:rsidRDefault="00F85516" w:rsidP="00F85516">
      <w:pPr>
        <w:rPr>
          <w:color w:val="000000" w:themeColor="text1"/>
        </w:rPr>
      </w:pPr>
      <w:r w:rsidRPr="00AF2FC3">
        <w:rPr>
          <w:color w:val="000000" w:themeColor="text1"/>
        </w:rPr>
        <w:t>Daniel, E.L., 2000. A review of time-shortened courses across disciplines. </w:t>
      </w:r>
      <w:r w:rsidRPr="00AF2FC3">
        <w:rPr>
          <w:i/>
          <w:iCs/>
          <w:color w:val="000000" w:themeColor="text1"/>
        </w:rPr>
        <w:t>College Student Journal</w:t>
      </w:r>
      <w:r w:rsidRPr="00AF2FC3">
        <w:rPr>
          <w:color w:val="000000" w:themeColor="text1"/>
        </w:rPr>
        <w:t>, </w:t>
      </w:r>
      <w:r w:rsidRPr="00AF2FC3">
        <w:rPr>
          <w:i/>
          <w:iCs/>
          <w:color w:val="000000" w:themeColor="text1"/>
        </w:rPr>
        <w:t>34</w:t>
      </w:r>
      <w:r w:rsidRPr="00AF2FC3">
        <w:rPr>
          <w:color w:val="000000" w:themeColor="text1"/>
        </w:rPr>
        <w:t>(2).</w:t>
      </w:r>
    </w:p>
    <w:p w14:paraId="5143C730" w14:textId="77777777" w:rsidR="00F85516" w:rsidRPr="00AF2FC3" w:rsidRDefault="00F85516" w:rsidP="00F85516">
      <w:pPr>
        <w:rPr>
          <w:rFonts w:eastAsiaTheme="majorEastAsia"/>
          <w:color w:val="000000" w:themeColor="text1"/>
        </w:rPr>
      </w:pPr>
      <w:r w:rsidRPr="00AF2FC3">
        <w:rPr>
          <w:rFonts w:eastAsiaTheme="majorEastAsia"/>
          <w:color w:val="000000" w:themeColor="text1"/>
        </w:rPr>
        <w:t xml:space="preserve">Gibbs, G. (2010). </w:t>
      </w:r>
      <w:r w:rsidRPr="00AF2FC3">
        <w:rPr>
          <w:rFonts w:eastAsiaTheme="majorEastAsia"/>
          <w:i/>
          <w:iCs/>
          <w:color w:val="000000" w:themeColor="text1"/>
        </w:rPr>
        <w:t>Dimensions of Quality</w:t>
      </w:r>
      <w:r w:rsidRPr="00AF2FC3">
        <w:rPr>
          <w:rFonts w:eastAsiaTheme="majorEastAsia"/>
          <w:color w:val="000000" w:themeColor="text1"/>
        </w:rPr>
        <w:t>. Higher Education Academy.</w:t>
      </w:r>
    </w:p>
    <w:p w14:paraId="303D5B26" w14:textId="77777777" w:rsidR="00F85516" w:rsidRPr="00AF2FC3" w:rsidRDefault="00F85516" w:rsidP="00F85516">
      <w:pPr>
        <w:rPr>
          <w:rFonts w:eastAsiaTheme="majorEastAsia"/>
          <w:color w:val="000000" w:themeColor="text1"/>
        </w:rPr>
      </w:pPr>
      <w:proofErr w:type="spellStart"/>
      <w:r w:rsidRPr="00AF2FC3">
        <w:rPr>
          <w:rFonts w:eastAsiaTheme="majorEastAsia"/>
          <w:color w:val="000000" w:themeColor="text1"/>
        </w:rPr>
        <w:t>Konjarski</w:t>
      </w:r>
      <w:proofErr w:type="spellEnd"/>
      <w:r w:rsidRPr="00AF2FC3">
        <w:rPr>
          <w:rFonts w:eastAsiaTheme="majorEastAsia"/>
          <w:color w:val="000000" w:themeColor="text1"/>
        </w:rPr>
        <w:t xml:space="preserve">, L., Weldon, J., Ashley, S., Ashley, S., Freeman, T., </w:t>
      </w:r>
      <w:proofErr w:type="spellStart"/>
      <w:r w:rsidRPr="00AF2FC3">
        <w:rPr>
          <w:rFonts w:eastAsiaTheme="majorEastAsia"/>
          <w:color w:val="000000" w:themeColor="text1"/>
        </w:rPr>
        <w:t>Shanata</w:t>
      </w:r>
      <w:proofErr w:type="spellEnd"/>
      <w:r w:rsidRPr="00AF2FC3">
        <w:rPr>
          <w:rFonts w:eastAsiaTheme="majorEastAsia"/>
          <w:color w:val="000000" w:themeColor="text1"/>
        </w:rPr>
        <w:t xml:space="preserve">, J., </w:t>
      </w:r>
      <w:proofErr w:type="spellStart"/>
      <w:r w:rsidRPr="00AF2FC3">
        <w:rPr>
          <w:rFonts w:eastAsiaTheme="majorEastAsia"/>
          <w:color w:val="000000" w:themeColor="text1"/>
        </w:rPr>
        <w:t>Yamanishi</w:t>
      </w:r>
      <w:proofErr w:type="spellEnd"/>
      <w:r w:rsidRPr="00AF2FC3">
        <w:rPr>
          <w:rFonts w:eastAsiaTheme="majorEastAsia"/>
          <w:color w:val="000000" w:themeColor="text1"/>
        </w:rPr>
        <w:t xml:space="preserve">, M., </w:t>
      </w:r>
      <w:proofErr w:type="spellStart"/>
      <w:r w:rsidRPr="00AF2FC3">
        <w:rPr>
          <w:rFonts w:eastAsiaTheme="majorEastAsia"/>
          <w:color w:val="000000" w:themeColor="text1"/>
        </w:rPr>
        <w:t>Lotz</w:t>
      </w:r>
      <w:proofErr w:type="spellEnd"/>
      <w:r w:rsidRPr="00AF2FC3">
        <w:rPr>
          <w:rFonts w:eastAsiaTheme="majorEastAsia"/>
          <w:color w:val="000000" w:themeColor="text1"/>
        </w:rPr>
        <w:t xml:space="preserve">, E., </w:t>
      </w:r>
      <w:proofErr w:type="spellStart"/>
      <w:r w:rsidRPr="00AF2FC3">
        <w:rPr>
          <w:rFonts w:eastAsiaTheme="majorEastAsia"/>
          <w:color w:val="000000" w:themeColor="text1"/>
        </w:rPr>
        <w:t>Gilde</w:t>
      </w:r>
      <w:proofErr w:type="spellEnd"/>
      <w:r w:rsidRPr="00AF2FC3">
        <w:rPr>
          <w:rFonts w:eastAsiaTheme="majorEastAsia"/>
          <w:color w:val="000000" w:themeColor="text1"/>
        </w:rPr>
        <w:t xml:space="preserve">, C., </w:t>
      </w:r>
      <w:proofErr w:type="spellStart"/>
      <w:r w:rsidRPr="00AF2FC3">
        <w:rPr>
          <w:rFonts w:eastAsiaTheme="majorEastAsia"/>
          <w:color w:val="000000" w:themeColor="text1"/>
        </w:rPr>
        <w:t>Gilde</w:t>
      </w:r>
      <w:proofErr w:type="spellEnd"/>
      <w:r w:rsidRPr="00AF2FC3">
        <w:rPr>
          <w:rFonts w:eastAsiaTheme="majorEastAsia"/>
          <w:color w:val="000000" w:themeColor="text1"/>
        </w:rPr>
        <w:t>, C. and Ganzel, A., 2023. The Block: A catalyst for ongoing innovation. </w:t>
      </w:r>
      <w:r w:rsidRPr="00AF2FC3">
        <w:rPr>
          <w:rFonts w:eastAsiaTheme="majorEastAsia"/>
          <w:i/>
          <w:iCs/>
          <w:color w:val="000000" w:themeColor="text1"/>
        </w:rPr>
        <w:t>Journal of University Teaching and Learning Practice</w:t>
      </w:r>
      <w:r w:rsidRPr="00AF2FC3">
        <w:rPr>
          <w:rFonts w:eastAsiaTheme="majorEastAsia"/>
          <w:color w:val="000000" w:themeColor="text1"/>
        </w:rPr>
        <w:t>, </w:t>
      </w:r>
      <w:r w:rsidRPr="00AF2FC3">
        <w:rPr>
          <w:rFonts w:eastAsiaTheme="majorEastAsia"/>
          <w:i/>
          <w:iCs/>
          <w:color w:val="000000" w:themeColor="text1"/>
        </w:rPr>
        <w:t>20</w:t>
      </w:r>
      <w:r w:rsidRPr="00AF2FC3">
        <w:rPr>
          <w:rFonts w:eastAsiaTheme="majorEastAsia"/>
          <w:color w:val="000000" w:themeColor="text1"/>
        </w:rPr>
        <w:t>(4), pp.1-19.</w:t>
      </w:r>
      <w:hyperlink r:id="rId5" w:history="1">
        <w:r w:rsidRPr="00AF2FC3">
          <w:rPr>
            <w:rStyle w:val="Hyperlink"/>
            <w:rFonts w:eastAsiaTheme="majorEastAsia"/>
            <w:color w:val="000000" w:themeColor="text1"/>
          </w:rPr>
          <w:t>https://doi.org/10.53761/1.20.4.13</w:t>
        </w:r>
      </w:hyperlink>
    </w:p>
    <w:p w14:paraId="3CDE8B0F" w14:textId="77777777" w:rsidR="00F85516" w:rsidRPr="00AF2FC3" w:rsidRDefault="00F85516" w:rsidP="00F85516">
      <w:pPr>
        <w:rPr>
          <w:color w:val="000000" w:themeColor="text1"/>
        </w:rPr>
      </w:pPr>
      <w:proofErr w:type="spellStart"/>
      <w:r w:rsidRPr="00AF2FC3">
        <w:rPr>
          <w:color w:val="000000" w:themeColor="text1"/>
        </w:rPr>
        <w:t>Sweller</w:t>
      </w:r>
      <w:proofErr w:type="spellEnd"/>
      <w:r w:rsidRPr="00AF2FC3">
        <w:rPr>
          <w:color w:val="000000" w:themeColor="text1"/>
        </w:rPr>
        <w:t>, J., 1994. Cognitive load theory, learning difficulty, and instructional design. </w:t>
      </w:r>
      <w:r w:rsidRPr="00AF2FC3">
        <w:rPr>
          <w:i/>
          <w:iCs/>
          <w:color w:val="000000" w:themeColor="text1"/>
        </w:rPr>
        <w:t>Learning and instruction</w:t>
      </w:r>
      <w:r w:rsidRPr="00AF2FC3">
        <w:rPr>
          <w:color w:val="000000" w:themeColor="text1"/>
        </w:rPr>
        <w:t>, </w:t>
      </w:r>
      <w:r w:rsidRPr="00AF2FC3">
        <w:rPr>
          <w:i/>
          <w:iCs/>
          <w:color w:val="000000" w:themeColor="text1"/>
        </w:rPr>
        <w:t>4</w:t>
      </w:r>
      <w:r w:rsidRPr="00AF2FC3">
        <w:rPr>
          <w:color w:val="000000" w:themeColor="text1"/>
        </w:rPr>
        <w:t>(4), pp.295-312.</w:t>
      </w:r>
    </w:p>
    <w:p w14:paraId="40899883" w14:textId="77777777" w:rsidR="00F85516" w:rsidRPr="00AF2FC3" w:rsidRDefault="00F85516" w:rsidP="00F85516">
      <w:pPr>
        <w:rPr>
          <w:rFonts w:eastAsiaTheme="majorEastAsia"/>
          <w:color w:val="000000" w:themeColor="text1"/>
        </w:rPr>
      </w:pPr>
      <w:r w:rsidRPr="00AF2FC3">
        <w:rPr>
          <w:rFonts w:eastAsiaTheme="majorEastAsia"/>
          <w:color w:val="000000" w:themeColor="text1"/>
        </w:rPr>
        <w:t>Thomas, L., 2012. Building student engagement and belonging in Higher Education at a time of change. </w:t>
      </w:r>
      <w:r w:rsidRPr="00AF2FC3">
        <w:rPr>
          <w:rFonts w:eastAsiaTheme="majorEastAsia"/>
          <w:i/>
          <w:iCs/>
          <w:color w:val="000000" w:themeColor="text1"/>
        </w:rPr>
        <w:t>Paul Hamlyn Foundation</w:t>
      </w:r>
      <w:r w:rsidRPr="00AF2FC3">
        <w:rPr>
          <w:rFonts w:eastAsiaTheme="majorEastAsia"/>
          <w:color w:val="000000" w:themeColor="text1"/>
        </w:rPr>
        <w:t>, </w:t>
      </w:r>
      <w:r w:rsidRPr="00AF2FC3">
        <w:rPr>
          <w:rFonts w:eastAsiaTheme="majorEastAsia"/>
          <w:i/>
          <w:iCs/>
          <w:color w:val="000000" w:themeColor="text1"/>
        </w:rPr>
        <w:t>100</w:t>
      </w:r>
      <w:r w:rsidRPr="00AF2FC3">
        <w:rPr>
          <w:rFonts w:eastAsiaTheme="majorEastAsia"/>
          <w:color w:val="000000" w:themeColor="text1"/>
        </w:rPr>
        <w:t>(1-99), pp.1-102.</w:t>
      </w:r>
    </w:p>
    <w:p w14:paraId="5C53337D" w14:textId="77777777" w:rsidR="00F85516" w:rsidRDefault="00F85516" w:rsidP="008928F5"/>
    <w:p w14:paraId="36AF8417" w14:textId="77777777" w:rsidR="00C041DE" w:rsidRDefault="00C041DE" w:rsidP="008928F5">
      <w:pPr>
        <w:rPr>
          <w:b/>
          <w:bCs/>
        </w:rPr>
      </w:pPr>
    </w:p>
    <w:p w14:paraId="5C76453B" w14:textId="77777777" w:rsidR="00C041DE" w:rsidRDefault="00C041DE" w:rsidP="008928F5">
      <w:pPr>
        <w:rPr>
          <w:b/>
          <w:bCs/>
        </w:rPr>
      </w:pPr>
    </w:p>
    <w:p w14:paraId="1A28BB24" w14:textId="066B4658" w:rsidR="00F85516" w:rsidRPr="00C041DE" w:rsidRDefault="001568DB" w:rsidP="008928F5">
      <w:pPr>
        <w:rPr>
          <w:b/>
          <w:bCs/>
        </w:rPr>
      </w:pPr>
      <w:r w:rsidRPr="00C041DE">
        <w:rPr>
          <w:b/>
          <w:bCs/>
        </w:rPr>
        <w:t>Contact Information:</w:t>
      </w:r>
    </w:p>
    <w:p w14:paraId="7FDA7700" w14:textId="6A26584E" w:rsidR="001568DB" w:rsidRDefault="001568DB" w:rsidP="008928F5">
      <w:r>
        <w:t>Dr Nourin Shabnam, Assistant Professor, Department of Economics, Durham University, United Kingdom</w:t>
      </w:r>
    </w:p>
    <w:p w14:paraId="5BA1A2A1" w14:textId="5C16A7A3" w:rsidR="001568DB" w:rsidRDefault="001568DB" w:rsidP="008928F5">
      <w:r>
        <w:t xml:space="preserve">Email: Nourin.shabnam@durham.ac.uk </w:t>
      </w:r>
    </w:p>
    <w:p w14:paraId="409C6C47" w14:textId="77777777" w:rsidR="00F85516" w:rsidRDefault="00F85516" w:rsidP="008928F5"/>
    <w:p w14:paraId="2164F62E" w14:textId="77777777" w:rsidR="007F70EB" w:rsidRDefault="007F70EB"/>
    <w:sectPr w:rsidR="007F70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3AC7"/>
    <w:multiLevelType w:val="multilevel"/>
    <w:tmpl w:val="98A4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C76B27"/>
    <w:multiLevelType w:val="multilevel"/>
    <w:tmpl w:val="0CBA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2467B6"/>
    <w:multiLevelType w:val="multilevel"/>
    <w:tmpl w:val="4D54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B534F"/>
    <w:multiLevelType w:val="multilevel"/>
    <w:tmpl w:val="80408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3A71BF"/>
    <w:multiLevelType w:val="multilevel"/>
    <w:tmpl w:val="4D54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C150C2"/>
    <w:multiLevelType w:val="multilevel"/>
    <w:tmpl w:val="A458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E4408A"/>
    <w:multiLevelType w:val="multilevel"/>
    <w:tmpl w:val="4D54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575670"/>
    <w:multiLevelType w:val="multilevel"/>
    <w:tmpl w:val="4D54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432445"/>
    <w:multiLevelType w:val="multilevel"/>
    <w:tmpl w:val="4700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7B1826"/>
    <w:multiLevelType w:val="multilevel"/>
    <w:tmpl w:val="2E5A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705CE3"/>
    <w:multiLevelType w:val="multilevel"/>
    <w:tmpl w:val="6CA8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46887607">
    <w:abstractNumId w:val="10"/>
  </w:num>
  <w:num w:numId="2" w16cid:durableId="1042707208">
    <w:abstractNumId w:val="9"/>
  </w:num>
  <w:num w:numId="3" w16cid:durableId="359015437">
    <w:abstractNumId w:val="3"/>
  </w:num>
  <w:num w:numId="4" w16cid:durableId="777213069">
    <w:abstractNumId w:val="1"/>
  </w:num>
  <w:num w:numId="5" w16cid:durableId="312217823">
    <w:abstractNumId w:val="8"/>
  </w:num>
  <w:num w:numId="6" w16cid:durableId="291788450">
    <w:abstractNumId w:val="0"/>
  </w:num>
  <w:num w:numId="7" w16cid:durableId="1745755963">
    <w:abstractNumId w:val="5"/>
  </w:num>
  <w:num w:numId="8" w16cid:durableId="40979084">
    <w:abstractNumId w:val="2"/>
  </w:num>
  <w:num w:numId="9" w16cid:durableId="1302491976">
    <w:abstractNumId w:val="6"/>
  </w:num>
  <w:num w:numId="10" w16cid:durableId="369960627">
    <w:abstractNumId w:val="7"/>
  </w:num>
  <w:num w:numId="11" w16cid:durableId="1701710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0EB"/>
    <w:rsid w:val="001568DB"/>
    <w:rsid w:val="00703F83"/>
    <w:rsid w:val="0077248F"/>
    <w:rsid w:val="007F70EB"/>
    <w:rsid w:val="008928F5"/>
    <w:rsid w:val="009E53B4"/>
    <w:rsid w:val="00A91FA0"/>
    <w:rsid w:val="00C041DE"/>
    <w:rsid w:val="00D62FB5"/>
    <w:rsid w:val="00DC4002"/>
    <w:rsid w:val="00F460D8"/>
    <w:rsid w:val="00F8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89E61"/>
  <w15:chartTrackingRefBased/>
  <w15:docId w15:val="{AB193751-F4CA-4D46-9290-4CBE131B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7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7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7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7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7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70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70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70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70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9E53B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FF0000"/>
      <w:kern w:val="0"/>
      <w:sz w:val="36"/>
      <w:szCs w:val="36"/>
      <w:lang w:val="en-MY" w:eastAsia="en-MY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F7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7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7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70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70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70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70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70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70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70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7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0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7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70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70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70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70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0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70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F70E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0E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8551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041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53761/1.20.4.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SHABNAM, NOURIN</dc:creator>
  <cp:keywords/>
  <dc:description/>
  <cp:lastModifiedBy>SHABNAM, NOURIN</cp:lastModifiedBy>
  <cp:revision>3</cp:revision>
  <dcterms:created xsi:type="dcterms:W3CDTF">2025-04-28T08:31:00Z</dcterms:created>
  <dcterms:modified xsi:type="dcterms:W3CDTF">2025-04-28T09:37:00Z</dcterms:modified>
</cp:coreProperties>
</file>