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36D6F" w14:textId="77777777" w:rsidR="00BA4AB0" w:rsidRPr="00BA4AB0" w:rsidRDefault="00BA4AB0" w:rsidP="00BA4AB0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74" w:lineRule="auto"/>
        <w:jc w:val="center"/>
        <w:rPr>
          <w:rFonts w:ascii="Times New Roman" w:eastAsia="Times New Roman" w:hAnsi="Times New Roman" w:cs="Times New Roman"/>
          <w:bCs/>
          <w:color w:val="009999"/>
          <w:kern w:val="0"/>
          <w:lang w:val="en-GB"/>
          <w14:ligatures w14:val="none"/>
        </w:rPr>
      </w:pPr>
      <w:r w:rsidRPr="00BA4AB0">
        <w:rPr>
          <w:rFonts w:ascii="Times New Roman" w:eastAsia="Times New Roman" w:hAnsi="Times New Roman" w:cs="Times New Roman"/>
          <w:bCs/>
          <w:color w:val="009999"/>
          <w:kern w:val="0"/>
          <w:lang w:val="en-GB"/>
          <w14:ligatures w14:val="none"/>
        </w:rPr>
        <w:t>References</w:t>
      </w:r>
    </w:p>
    <w:p w14:paraId="463A1D1B" w14:textId="77777777" w:rsidR="00BA4AB0" w:rsidRPr="00BA4AB0" w:rsidRDefault="00BA4AB0" w:rsidP="00BA4AB0">
      <w:pPr>
        <w:spacing w:before="53" w:after="0" w:line="274" w:lineRule="auto"/>
        <w:jc w:val="both"/>
        <w:rPr>
          <w:rFonts w:ascii="Times New Roman" w:eastAsia="Calibri" w:hAnsi="Times New Roman" w:cs="Times New Roman"/>
          <w:kern w:val="0"/>
          <w:lang w:val="en-GB"/>
          <w14:ligatures w14:val="none"/>
        </w:rPr>
      </w:pPr>
      <w:r w:rsidRPr="00BA4AB0">
        <w:rPr>
          <w:rFonts w:ascii="Calibri" w:eastAsia="Calibri" w:hAnsi="Calibri" w:cs="Times New Roman"/>
          <w:noProof/>
          <w:kern w:val="0"/>
          <w:lang w:val="en-SG" w:eastAsia="en-SG"/>
          <w14:ligatures w14:val="none"/>
        </w:rPr>
        <mc:AlternateContent>
          <mc:Choice Requires="wpg">
            <w:drawing>
              <wp:inline distT="0" distB="0" distL="0" distR="0" wp14:anchorId="017A51D8" wp14:editId="4CA27BA6">
                <wp:extent cx="2929255" cy="125095"/>
                <wp:effectExtent l="0" t="0" r="23495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9255" cy="125095"/>
                          <a:chOff x="0" y="0"/>
                          <a:chExt cx="4613" cy="20"/>
                        </a:xfrm>
                      </wpg:grpSpPr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603" cy="20"/>
                          </a:xfrm>
                          <a:custGeom>
                            <a:avLst/>
                            <a:gdLst>
                              <a:gd name="T0" fmla="*/ 0 w 4603"/>
                              <a:gd name="T1" fmla="*/ 0 h 20"/>
                              <a:gd name="T2" fmla="*/ 4602 w 460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3" h="20">
                                <a:moveTo>
                                  <a:pt x="0" y="0"/>
                                </a:moveTo>
                                <a:lnTo>
                                  <a:pt x="4602" y="0"/>
                                </a:lnTo>
                              </a:path>
                            </a:pathLst>
                          </a:custGeom>
                          <a:noFill/>
                          <a:ln w="5765">
                            <a:solidFill>
                              <a:srgbClr val="00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CFE0D" id="Group 10" o:spid="_x0000_s1026" style="width:230.65pt;height:9.85pt;mso-position-horizontal-relative:char;mso-position-vertical-relative:line" coordsize="46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">
                <v:shape id="Freeform 7" o:spid="_x0000_s1027" style="position:absolute;left:5;top:5;width:4603;height:20;visibility:visible;mso-wrap-style:square;v-text-anchor:top" coordsize="460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" path="m,l4602,e" filled="f" strokecolor="#099" strokeweight=".16014mm">
                  <v:path arrowok="t" o:connecttype="custom" o:connectlocs="0,0;4602,0" o:connectangles="0,0"/>
                </v:shape>
                <w10:anchorlock/>
              </v:group>
            </w:pict>
          </mc:Fallback>
        </mc:AlternateContent>
      </w:r>
    </w:p>
    <w:p w14:paraId="3E7B704C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Albooghobeish, M., Saidkhani, V., Angali, K. A., &amp; Farzaneh, M. (2023). Clinical Decision-Making and Self-efficacy Skills in Anesthesiology Nursing Students: A Cross-Sectional Study.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Shiraz E-Medical Journal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24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(4). </w:t>
      </w:r>
      <w:hyperlink r:id="rId5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https://doi.org/doi.org/10.5812/semj-134178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. </w:t>
      </w:r>
    </w:p>
    <w:p w14:paraId="208FE522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Azizi, M., Ramezani, G., Karimi, E., Hayat, A. A., Faghihi, S. A., &amp; Keshavarzi, M. H. (2022). A comparison of the effects of teaching through simulation and the traditional method on nursing students' self-efficacy skills and clinical performance: a quasi-experimental study.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BMC nursing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21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(1), 283. </w:t>
      </w:r>
      <w:hyperlink r:id="rId6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https://doi.org/10.1186/s12912-022-01065-z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. </w:t>
      </w:r>
    </w:p>
    <w:p w14:paraId="4B5614CE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Bandura, A. (1991). Self-efficacy mechanism in physiological activation and health-promoting behavior.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Neurobiology of learning, emotion affect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4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, 229-270. </w:t>
      </w:r>
    </w:p>
    <w:p w14:paraId="4068F94E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Burns, S., Mendel, S., Fisher, R., Cooper, K., &amp; Fisher, M. (2013). Critical Thinking in Nurse Anesthesia Education: A Pilot Study.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Curriculum Teaching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2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(1), 83-90. </w:t>
      </w:r>
      <w:hyperlink r:id="rId7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:lang w:val="de-DE"/>
            <w14:ligatures w14:val="none"/>
          </w:rPr>
          <w:t>http://dx.doi.org/10.5430/jct.v2n1p83</w:t>
        </w:r>
      </w:hyperlink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 </w:t>
      </w:r>
    </w:p>
    <w:p w14:paraId="1630F058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Cheraghi, F., Hassani, P., Yaghmaei, F., &amp; Alavi‐Majed, H. (2009).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Developing a valid and reliable self‐efficacy in clinical performance scale.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International Nursing Review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56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(2), 214-221. </w:t>
      </w:r>
      <w:hyperlink r:id="rId8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https://doi.org/10.1111/j.1466-7657.2008.00685.x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6E810CA0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Dehghani, M., Sani, H. J., Pakmehr, H., &amp; Malekzadeh, A. (2011). Relationship between students’ critical thinking and self-efficacy beliefs in Ferdowsi University of Mashhad, Iran.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Procedia-Social Behavioral Sciences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15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, 2952-2955. </w:t>
      </w:r>
      <w:hyperlink r:id="rId9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https://doi.org/10.1016/j.sbspro.2011.04.221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67CE39DA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Donna, M. W. M. (2017). Self-efficacy and graduate education in a nurse anesthesia program: A pilot study.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</w:t>
      </w:r>
      <w:r w:rsidRPr="00BA4AB0">
        <w:rPr>
          <w:rFonts w:ascii="Times New Roman" w:eastAsia="Calibri" w:hAnsi="Times New Roman" w:cs="Times New Roman"/>
          <w:i/>
          <w:noProof/>
          <w:kern w:val="0"/>
          <w:lang w:val="de-DE"/>
          <w14:ligatures w14:val="none"/>
        </w:rPr>
        <w:t>AANA journal</w:t>
      </w: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:lang w:val="de-DE"/>
          <w14:ligatures w14:val="none"/>
        </w:rPr>
        <w:t xml:space="preserve"> 85</w:t>
      </w: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(3), 205. </w:t>
      </w:r>
      <w:hyperlink r:id="rId10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:lang w:val="de-DE"/>
            <w14:ligatures w14:val="none"/>
          </w:rPr>
          <w:t>https://doi.org/10.1186/s12912-025-02836-0</w:t>
        </w:r>
      </w:hyperlink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 </w:t>
      </w:r>
    </w:p>
    <w:p w14:paraId="6D8E5767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Esra, T., &amp; Özlem Ülkü, B. (2023).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Academic self-efficacy and attitudes to clinical practices of nursing students.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Lokman Hekim Health Sciences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3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(3), 201-210. </w:t>
      </w:r>
      <w:hyperlink r:id="rId11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https://doi.org/DOI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: </w:t>
      </w:r>
      <w:r w:rsidRPr="00BA4AB0">
        <w:rPr>
          <w:rFonts w:ascii="Times New Roman" w:eastAsia="Calibri" w:hAnsi="Times New Roman" w:cs="Times New Roman"/>
          <w:noProof/>
          <w:color w:val="002060"/>
          <w:kern w:val="0"/>
          <w14:ligatures w14:val="none"/>
        </w:rPr>
        <w:t>10.14744/lhhs.2023.90001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. </w:t>
      </w:r>
    </w:p>
    <w:p w14:paraId="08BC0A40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Ibrahim, A. F., Abdelaziz, T. M., &amp; Akel, D. T. (2019). The relationship between undergraduate nursing students’ satisfaction about clinical learning environment and their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lastRenderedPageBreak/>
        <w:t xml:space="preserve">competency self-efficacy.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Nursing Education Practice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9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(11), 92. </w:t>
      </w:r>
      <w:hyperlink r:id="rId12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https://doi.org/10.5430/jnep.v9n11p92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30E1E83B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İşeri, Ö., Atasayar, B., &amp; Ursavas, F. (2023). Investigation of The Relationship Between Emotional Self-Efficacy and Critical Thinking Disposition in Surgical Nurses.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Sağlık ve Hemşirelik Yönetimi Dergisi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10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(1). </w:t>
      </w:r>
      <w:hyperlink r:id="rId13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https://doi.org/Doi</w:t>
        </w:r>
      </w:hyperlink>
      <w:r w:rsidRPr="00BA4AB0">
        <w:rPr>
          <w:rFonts w:ascii="Times New Roman" w:eastAsia="Calibri" w:hAnsi="Times New Roman" w:cs="Times New Roman"/>
          <w:noProof/>
          <w:color w:val="002060"/>
          <w:kern w:val="0"/>
          <w14:ligatures w14:val="none"/>
        </w:rPr>
        <w:t xml:space="preserve">: 10.54304/shyd.2023.32848 </w:t>
      </w:r>
    </w:p>
    <w:p w14:paraId="6596F500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Jin, Y., &amp; Lv, X. (2018). Self-efficacy among third-year nursing students: A questionnaire study. In: Nurs Educ Pract. </w:t>
      </w:r>
      <w:r w:rsidRPr="00BA4AB0">
        <w:rPr>
          <w:rFonts w:ascii="Times New Roman" w:eastAsia="Calibri" w:hAnsi="Times New Roman" w:cs="Times New Roman"/>
          <w:noProof/>
          <w:color w:val="002060"/>
          <w:kern w:val="0"/>
          <w14:ligatures w14:val="none"/>
        </w:rPr>
        <w:t>https://doi.org/10.1016/j.nedt.2024.106118</w:t>
      </w:r>
    </w:p>
    <w:p w14:paraId="6B41EB79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Köseoglu, Y. (2015). Self-Efficacy and Academic Achievement--A Case from Turkey.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Education Practice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6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(29), 131-141. </w:t>
      </w:r>
      <w:hyperlink r:id="rId14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https://eric.ed.gov/?id=EJ1081281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5AF35F11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Motahari, M., Rahimibashar, M., &amp; GHasemnegad, S. (2020). The relationship between clinical self-efficacy and academic achievement motivation in nursing students.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Research in Medical Education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12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(2), 10-20. </w:t>
      </w:r>
      <w:hyperlink r:id="rId15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http://dx.doi.org/10.29252/rme.12.2.10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4592EE69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Nederland, G. (2010). </w:t>
      </w: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Een Inventarisatie van Personeel in de Geestelijke Gezondheidszorg. </w:t>
      </w:r>
      <w:r w:rsidRPr="00BA4AB0">
        <w:rPr>
          <w:rFonts w:ascii="Times New Roman" w:eastAsia="Calibri" w:hAnsi="Times New Roman" w:cs="Times New Roman"/>
          <w:i/>
          <w:noProof/>
          <w:kern w:val="0"/>
          <w:lang w:val="de-DE"/>
          <w14:ligatures w14:val="none"/>
        </w:rPr>
        <w:t>GGZ Nederland</w:t>
      </w: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. </w:t>
      </w:r>
    </w:p>
    <w:p w14:paraId="30D106D1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OKUROĞLU, G. K. (2022). Hemşirelik öğrencilerinin klinik performanslarına ilişkin öz yeterliklerinin akademik öz yeterlikleri ve akademik başarıları ile ilişkisi: tanımlayıcı araştırma.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Turkiye Klinikleri Journal of Nursing Sciences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14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(1), 125-131. </w:t>
      </w:r>
      <w:hyperlink r:id="rId16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https://doi.org/DOI</w:t>
        </w:r>
      </w:hyperlink>
      <w:r w:rsidRPr="00BA4AB0">
        <w:rPr>
          <w:rFonts w:ascii="Times New Roman" w:eastAsia="Calibri" w:hAnsi="Times New Roman" w:cs="Times New Roman"/>
          <w:noProof/>
          <w:color w:val="002060"/>
          <w:kern w:val="0"/>
          <w14:ligatures w14:val="none"/>
        </w:rPr>
        <w:t xml:space="preserve">: 10.5336/nurses.2021-83326 </w:t>
      </w:r>
    </w:p>
    <w:p w14:paraId="5DFF3D24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Orujlu, S., &amp; Hemmati Maslakpak, M. (2017).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Assessing the relationship between critical thinking and self-efficacy of nursing student.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Nursing Education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5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(6), 11-17. </w:t>
      </w:r>
      <w:hyperlink r:id="rId17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http://dx.doi.org/10.21859/jne-05062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23D97748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Phan, H. T., Hồ, M. T., &amp; Hồ, T. T. P. (2023). MỨC ĐỘ TỰ TIN CỦA SINH VIÊN ĐIỀU DƯỠNG KHI THỰC HÀNH ĐẶT NỘI KHÍ QUẢN VÀ CÁC YẾU TỐ LIÊN QUAN.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Tạp chí Y học Việt Nam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531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(1). </w:t>
      </w:r>
      <w:hyperlink r:id="rId18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https://doi.org/10.51298/vmj.v531i1.6945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68C1B987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Sahebi, Z., &amp; Barkhordari-Sharifabad, M. (2023).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Spiritual care competency and its relationship with clinical self-efficacy in nursing students.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BMC Medical Education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23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(1), 937. </w:t>
      </w:r>
      <w:hyperlink r:id="rId19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https://doi.org/10.1186/s12909-023-04937-3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6AF76EF8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Sajadi, M., &amp; Mehrabi, F. (2019). Relationship between clinical environment stressors and nursing students self-efficacy in clinical performance.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Nursing Education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8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(2), 44-50. </w:t>
      </w:r>
      <w:hyperlink r:id="rId20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http://jne.ir/article-1-1011-en.html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316914C2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lastRenderedPageBreak/>
        <w:t xml:space="preserve">Salimi, H. R., Pourebrahimi, M., &amp; Hoseinabadi-Farahani, M. J. (2017). Clinical self-efficacy, dimensions and related factors among nursing students.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Iranian Journal of Psychiatric Nursing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5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, 1-7. </w:t>
      </w:r>
      <w:hyperlink r:id="rId21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http://dx.doi.org/10.21859/ijpn-05021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274E2946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Shorey, S., &amp; Lopez, V. (2021). Self-Efficacy in a nursing context.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Health promotion in health care–Vital theories research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, 145-158. </w:t>
      </w:r>
      <w:hyperlink r:id="rId22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https://doi.org/10.1007/978-3-030-63135-2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7C923140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Terry, D., &amp; Peck, B. (2020). Factors that impact measures of grit among nursing students: A journey emblematic of the Koi Fish.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European Journal of Investigation in Health, Psychology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10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(2), 564-574. </w:t>
      </w:r>
      <w:hyperlink r:id="rId23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https://doi.org/10.3390/ejihpe10020041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0F7867C1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Tirgari, B. (2018). tudy of Clinical Self-efficacy and belongingness to Clinical Environment in Undergraduate Nursing Students of Razi School of Nursing and Midwifery, Kerman University of Medical Sciences.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Journal of Nursing Education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7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(6), 31-38. </w:t>
      </w:r>
      <w:hyperlink r:id="rId24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http://jne.ir/article-1-1021-en.html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19310233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Vũ, T. T. H., Vũ, V. Đ., Vũ, T. T. H., Nguyễn, T. T. C., Hoàng, M. P., Đặng, T. T. T., &amp; Đặng, T. Đ. (2023). Mức độ tự tin trong thực hành kỹ năng lâm sàng của sinh viên điều dưỡng tại một số trường cao đẳng khu vực Tây Nguyên năm 2023.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Tạp chí Khoa học Điều dưỡng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6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(05), 55-63. </w:t>
      </w:r>
      <w:hyperlink r:id="rId25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https://doi.org/10.54436/jns.2023.05.715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082E2304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Wang, X., Sun, X., Huang, T., He, R., Hao, W., &amp; Zhang, L. J. B. M. E. (2019). Development and validation of the critical thinking disposition inventory for Chinese medical college students (CTDI-M).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</w:t>
      </w:r>
      <w:r w:rsidRPr="00BA4AB0">
        <w:rPr>
          <w:rFonts w:ascii="Times New Roman" w:eastAsia="Calibri" w:hAnsi="Times New Roman" w:cs="Times New Roman"/>
          <w:i/>
          <w:noProof/>
          <w:kern w:val="0"/>
          <w:lang w:val="de-DE"/>
          <w14:ligatures w14:val="none"/>
        </w:rPr>
        <w:t>19</w:t>
      </w: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, 1-14. </w:t>
      </w:r>
      <w:hyperlink r:id="rId26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:lang w:val="de-DE"/>
            <w14:ligatures w14:val="none"/>
          </w:rPr>
          <w:t>https://doi.org/10.1186/s12909-019-1593-z</w:t>
        </w:r>
      </w:hyperlink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 </w:t>
      </w:r>
    </w:p>
    <w:p w14:paraId="6D0204AD" w14:textId="77777777" w:rsidR="00BA4AB0" w:rsidRPr="00BA4AB0" w:rsidRDefault="00BA4AB0" w:rsidP="00BA4AB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kern w:val="0"/>
          <w14:ligatures w14:val="none"/>
        </w:rPr>
      </w:pPr>
      <w:r w:rsidRPr="00BA4AB0">
        <w:rPr>
          <w:rFonts w:ascii="Times New Roman" w:eastAsia="Calibri" w:hAnsi="Times New Roman" w:cs="Times New Roman"/>
          <w:noProof/>
          <w:kern w:val="0"/>
          <w:lang w:val="de-DE"/>
          <w14:ligatures w14:val="none"/>
        </w:rPr>
        <w:t xml:space="preserve">Yildirim, B., Özkahraman, Ş., &amp; Ersoy, S. (2012). 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Investigation of critical thinking disposition in nurses working in public hospitals. 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>International Journal of Business, Humanities Technology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>,</w:t>
      </w:r>
      <w:r w:rsidRPr="00BA4AB0">
        <w:rPr>
          <w:rFonts w:ascii="Times New Roman" w:eastAsia="Calibri" w:hAnsi="Times New Roman" w:cs="Times New Roman"/>
          <w:i/>
          <w:noProof/>
          <w:kern w:val="0"/>
          <w14:ligatures w14:val="none"/>
        </w:rPr>
        <w:t xml:space="preserve"> 2</w:t>
      </w:r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, 61-67. </w:t>
      </w:r>
      <w:hyperlink r:id="rId27" w:history="1">
        <w:r w:rsidRPr="00BA4AB0">
          <w:rPr>
            <w:rFonts w:ascii="Times New Roman" w:eastAsia="Calibri" w:hAnsi="Times New Roman" w:cs="Times New Roman"/>
            <w:noProof/>
            <w:color w:val="0000FF"/>
            <w:kern w:val="0"/>
            <w:u w:val="single"/>
            <w14:ligatures w14:val="none"/>
          </w:rPr>
          <w:t>http://www.ijbhtnet.com/</w:t>
        </w:r>
      </w:hyperlink>
      <w:r w:rsidRPr="00BA4AB0">
        <w:rPr>
          <w:rFonts w:ascii="Times New Roman" w:eastAsia="Calibri" w:hAnsi="Times New Roman" w:cs="Times New Roman"/>
          <w:noProof/>
          <w:kern w:val="0"/>
          <w14:ligatures w14:val="none"/>
        </w:rPr>
        <w:t xml:space="preserve"> </w:t>
      </w:r>
    </w:p>
    <w:p w14:paraId="0EE2E851" w14:textId="77777777" w:rsidR="00BA4AB0" w:rsidRDefault="00BA4AB0"/>
    <w:sectPr w:rsidR="00BA4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18A"/>
    <w:multiLevelType w:val="hybridMultilevel"/>
    <w:tmpl w:val="37726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39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B0"/>
    <w:rsid w:val="00BA4AB0"/>
    <w:rsid w:val="00EB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80B724"/>
  <w15:chartTrackingRefBased/>
  <w15:docId w15:val="{C91656CE-2792-4142-8771-65163852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4A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4A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A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A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A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A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A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A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A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A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4A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A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A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A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A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A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A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A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4A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4A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A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4A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4A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4A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4A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4A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A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A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4A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j.1466-7657.2008.00685.x" TargetMode="External"/><Relationship Id="rId13" Type="http://schemas.openxmlformats.org/officeDocument/2006/relationships/hyperlink" Target="https://doi.org/Doi" TargetMode="External"/><Relationship Id="rId18" Type="http://schemas.openxmlformats.org/officeDocument/2006/relationships/hyperlink" Target="https://doi.org/10.51298/vmj.v531i1.6945" TargetMode="External"/><Relationship Id="rId26" Type="http://schemas.openxmlformats.org/officeDocument/2006/relationships/hyperlink" Target="https://doi.org/10.1186/s12909-019-1593-z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x.doi.org/10.21859/ijpn-05021" TargetMode="External"/><Relationship Id="rId7" Type="http://schemas.openxmlformats.org/officeDocument/2006/relationships/hyperlink" Target="http://dx.doi.org/10.5430/jct.v2n1p83" TargetMode="External"/><Relationship Id="rId12" Type="http://schemas.openxmlformats.org/officeDocument/2006/relationships/hyperlink" Target="https://doi.org/10.5430/jnep.v9n11p92" TargetMode="External"/><Relationship Id="rId17" Type="http://schemas.openxmlformats.org/officeDocument/2006/relationships/hyperlink" Target="http://dx.doi.org/10.21859/jne-05062" TargetMode="External"/><Relationship Id="rId25" Type="http://schemas.openxmlformats.org/officeDocument/2006/relationships/hyperlink" Target="https://doi.org/10.54436/jns.2023.05.7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DOI" TargetMode="External"/><Relationship Id="rId20" Type="http://schemas.openxmlformats.org/officeDocument/2006/relationships/hyperlink" Target="http://jne.ir/article-1-1011-en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1186/s12912-022-01065-z" TargetMode="External"/><Relationship Id="rId11" Type="http://schemas.openxmlformats.org/officeDocument/2006/relationships/hyperlink" Target="https://doi.org/DOI" TargetMode="External"/><Relationship Id="rId24" Type="http://schemas.openxmlformats.org/officeDocument/2006/relationships/hyperlink" Target="http://jne.ir/article-1-1021-en.html" TargetMode="External"/><Relationship Id="rId5" Type="http://schemas.openxmlformats.org/officeDocument/2006/relationships/hyperlink" Target="https://doi.org/doi.org/10.5812/semj-134178" TargetMode="External"/><Relationship Id="rId15" Type="http://schemas.openxmlformats.org/officeDocument/2006/relationships/hyperlink" Target="http://dx.doi.org/10.29252/rme.12.2.10" TargetMode="External"/><Relationship Id="rId23" Type="http://schemas.openxmlformats.org/officeDocument/2006/relationships/hyperlink" Target="https://doi.org/10.3390/ejihpe1002004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1186/s12912-025-02836-0" TargetMode="External"/><Relationship Id="rId19" Type="http://schemas.openxmlformats.org/officeDocument/2006/relationships/hyperlink" Target="https://doi.org/10.1186/s12909-023-04937-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sbspro.2011.04.221" TargetMode="External"/><Relationship Id="rId14" Type="http://schemas.openxmlformats.org/officeDocument/2006/relationships/hyperlink" Target="https://eric.ed.gov/?id=EJ1081281" TargetMode="External"/><Relationship Id="rId22" Type="http://schemas.openxmlformats.org/officeDocument/2006/relationships/hyperlink" Target="https://doi.org/10.1007/978-3-030-63135-2" TargetMode="External"/><Relationship Id="rId27" Type="http://schemas.openxmlformats.org/officeDocument/2006/relationships/hyperlink" Target="http://www.ijbhtne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6346</Characters>
  <Application>Microsoft Office Word</Application>
  <DocSecurity>0</DocSecurity>
  <Lines>97</Lines>
  <Paragraphs>37</Paragraphs>
  <ScaleCrop>false</ScaleCrop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Thảo Ngân Nguyễn</dc:creator>
  <cp:keywords/>
  <dc:description/>
  <cp:lastModifiedBy>Thảo Ngân Nguyễn</cp:lastModifiedBy>
  <cp:revision>1</cp:revision>
  <dcterms:created xsi:type="dcterms:W3CDTF">2025-04-23T05:04:00Z</dcterms:created>
  <dcterms:modified xsi:type="dcterms:W3CDTF">2025-04-23T05:04:00Z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64cd83c4-6e94-4a6d-a324-97511cb68359</vt:lpwstr>
  </property>
</Properties>
</file>