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C0B29B">
      <w:pPr>
        <w:widowControl/>
        <w:spacing w:line="480" w:lineRule="auto"/>
        <w:jc w:val="center"/>
        <w:rPr>
          <w:rFonts w:hint="eastAsia" w:ascii="Times New Roman" w:hAnsi="Times New Roman" w:eastAsia="宋体" w:cs="Times New Roman"/>
          <w:b/>
          <w:kern w:val="0"/>
          <w:sz w:val="24"/>
        </w:rPr>
      </w:pPr>
      <w:r>
        <w:rPr>
          <w:rFonts w:ascii="Times New Roman" w:hAnsi="Times New Roman" w:eastAsia="宋体" w:cs="Times New Roman"/>
          <w:b/>
          <w:kern w:val="0"/>
          <w:sz w:val="24"/>
        </w:rPr>
        <w:t>Early Triassic Forearc Sedimentation in the Northern Qiangtang Terrane, Tibetan Plateau: Implications for Northward Subduction of the Paleo-Tethys Ocean</w:t>
      </w:r>
    </w:p>
    <w:p w14:paraId="2D992B95">
      <w:pPr>
        <w:keepNext w:val="0"/>
        <w:keepLines w:val="0"/>
        <w:widowControl w:val="0"/>
        <w:suppressLineNumbers w:val="0"/>
        <w:spacing w:before="0" w:beforeAutospacing="0" w:after="0" w:afterAutospacing="0" w:line="360" w:lineRule="auto"/>
        <w:ind w:left="0" w:right="0"/>
        <w:jc w:val="center"/>
        <w:rPr>
          <w:vertAlign w:val="superscript"/>
          <w:lang w:val="en-US"/>
        </w:rPr>
      </w:pPr>
      <w:r>
        <w:rPr>
          <w:rFonts w:hint="default" w:ascii="Times New Roman" w:hAnsi="Times New Roman" w:eastAsia="宋体" w:cs="Times New Roman"/>
          <w:kern w:val="2"/>
          <w:sz w:val="24"/>
          <w:szCs w:val="24"/>
          <w:lang w:val="en-US" w:eastAsia="zh-CN" w:bidi="ar"/>
        </w:rPr>
        <w:t xml:space="preserve">Long Leng </w:t>
      </w:r>
      <w:r>
        <w:rPr>
          <w:rFonts w:hint="default" w:ascii="Times New Roman" w:hAnsi="Times New Roman" w:eastAsia="宋体" w:cs="Times New Roman"/>
          <w:kern w:val="2"/>
          <w:sz w:val="24"/>
          <w:szCs w:val="24"/>
          <w:vertAlign w:val="superscript"/>
          <w:lang w:val="en-US" w:eastAsia="zh-CN" w:bidi="ar"/>
        </w:rPr>
        <w:t>a</w:t>
      </w:r>
      <w:r>
        <w:rPr>
          <w:rFonts w:hint="default" w:ascii="Times New Roman" w:hAnsi="Times New Roman" w:eastAsia="宋体" w:cs="Times New Roman"/>
          <w:kern w:val="2"/>
          <w:sz w:val="24"/>
          <w:szCs w:val="24"/>
          <w:lang w:val="en-US" w:eastAsia="zh-CN" w:bidi="ar"/>
        </w:rPr>
        <w:t xml:space="preserve">, Zhongjie Xu </w:t>
      </w:r>
      <w:r>
        <w:rPr>
          <w:rFonts w:hint="default" w:ascii="Times New Roman" w:hAnsi="Times New Roman" w:eastAsia="宋体" w:cs="Times New Roman"/>
          <w:kern w:val="2"/>
          <w:sz w:val="24"/>
          <w:szCs w:val="24"/>
          <w:vertAlign w:val="superscript"/>
          <w:lang w:val="en-US" w:eastAsia="zh-CN" w:bidi="ar"/>
        </w:rPr>
        <w:t>a, b, *</w:t>
      </w:r>
      <w:r>
        <w:rPr>
          <w:rFonts w:hint="default" w:ascii="Times New Roman" w:hAnsi="Times New Roman" w:eastAsia="宋体" w:cs="Times New Roman"/>
          <w:kern w:val="2"/>
          <w:sz w:val="24"/>
          <w:szCs w:val="24"/>
          <w:lang w:val="en-US" w:eastAsia="zh-CN" w:bidi="ar"/>
        </w:rPr>
        <w:t>, Chaoming Xie</w:t>
      </w:r>
      <w:r>
        <w:rPr>
          <w:rFonts w:hint="default" w:ascii="Times New Roman" w:hAnsi="Times New Roman" w:eastAsia="宋体" w:cs="Times New Roman"/>
          <w:kern w:val="2"/>
          <w:sz w:val="24"/>
          <w:szCs w:val="24"/>
          <w:vertAlign w:val="superscript"/>
          <w:lang w:val="en-US" w:eastAsia="zh-CN" w:bidi="ar"/>
        </w:rPr>
        <w:t xml:space="preserve"> a, b, *</w:t>
      </w:r>
      <w:r>
        <w:rPr>
          <w:rFonts w:hint="default" w:ascii="Times New Roman" w:hAnsi="Times New Roman" w:eastAsia="宋体" w:cs="Times New Roman"/>
          <w:kern w:val="2"/>
          <w:sz w:val="24"/>
          <w:szCs w:val="24"/>
          <w:lang w:val="en-US" w:eastAsia="zh-CN" w:bidi="ar"/>
        </w:rPr>
        <w:t xml:space="preserve">, Kunning Cui </w:t>
      </w:r>
      <w:r>
        <w:rPr>
          <w:rFonts w:hint="default" w:ascii="Times New Roman" w:hAnsi="Times New Roman" w:eastAsia="宋体" w:cs="Times New Roman"/>
          <w:kern w:val="2"/>
          <w:sz w:val="24"/>
          <w:szCs w:val="24"/>
          <w:vertAlign w:val="superscript"/>
          <w:lang w:val="en-US" w:eastAsia="zh-CN" w:bidi="ar"/>
        </w:rPr>
        <w:t>c</w:t>
      </w:r>
      <w:r>
        <w:rPr>
          <w:rFonts w:hint="default" w:ascii="Times New Roman" w:hAnsi="Times New Roman" w:eastAsia="宋体" w:cs="Times New Roman"/>
          <w:kern w:val="2"/>
          <w:sz w:val="24"/>
          <w:szCs w:val="24"/>
          <w:lang w:val="en-US" w:eastAsia="zh-CN" w:bidi="ar"/>
        </w:rPr>
        <w:t xml:space="preserve">, Jiashuo Bai </w:t>
      </w:r>
      <w:r>
        <w:rPr>
          <w:rFonts w:hint="default" w:ascii="Times New Roman" w:hAnsi="Times New Roman" w:eastAsia="宋体" w:cs="Times New Roman"/>
          <w:kern w:val="2"/>
          <w:sz w:val="24"/>
          <w:szCs w:val="24"/>
          <w:vertAlign w:val="superscript"/>
          <w:lang w:val="en-US" w:eastAsia="zh-CN" w:bidi="ar"/>
        </w:rPr>
        <w:t>a</w:t>
      </w:r>
      <w:r>
        <w:rPr>
          <w:rFonts w:hint="default" w:ascii="Times New Roman" w:hAnsi="Times New Roman" w:eastAsia="宋体" w:cs="Times New Roman"/>
          <w:kern w:val="2"/>
          <w:sz w:val="24"/>
          <w:szCs w:val="24"/>
          <w:lang w:val="en-US" w:eastAsia="zh-CN" w:bidi="ar"/>
        </w:rPr>
        <w:t xml:space="preserve">, Feng Jiang </w:t>
      </w:r>
      <w:r>
        <w:rPr>
          <w:rFonts w:hint="default" w:ascii="Times New Roman" w:hAnsi="Times New Roman" w:eastAsia="宋体" w:cs="Times New Roman"/>
          <w:kern w:val="2"/>
          <w:sz w:val="24"/>
          <w:szCs w:val="24"/>
          <w:vertAlign w:val="superscript"/>
          <w:lang w:val="en-US" w:eastAsia="zh-CN" w:bidi="ar"/>
        </w:rPr>
        <w:t>a</w:t>
      </w:r>
    </w:p>
    <w:p w14:paraId="38777089">
      <w:pPr>
        <w:widowControl/>
        <w:spacing w:line="480" w:lineRule="auto"/>
        <w:jc w:val="center"/>
        <w:rPr>
          <w:rFonts w:ascii="Times New Roman" w:hAnsi="Times New Roman" w:eastAsia="宋体" w:cs="Times New Roman"/>
          <w:kern w:val="0"/>
          <w:sz w:val="24"/>
        </w:rPr>
      </w:pPr>
      <w:r>
        <w:rPr>
          <w:rFonts w:ascii="Times New Roman" w:hAnsi="Times New Roman" w:eastAsia="宋体" w:cs="Times New Roman"/>
          <w:kern w:val="0"/>
          <w:sz w:val="24"/>
        </w:rPr>
        <w:t>a College of Earth Sciences, Jilin University, Changchun 130061, Jilin, China.</w:t>
      </w:r>
    </w:p>
    <w:p w14:paraId="5924FBBA">
      <w:pPr>
        <w:widowControl/>
        <w:spacing w:line="480" w:lineRule="auto"/>
        <w:jc w:val="center"/>
        <w:rPr>
          <w:rFonts w:ascii="Times New Roman" w:hAnsi="Times New Roman" w:eastAsia="宋体" w:cs="Times New Roman"/>
          <w:kern w:val="0"/>
          <w:sz w:val="24"/>
        </w:rPr>
      </w:pPr>
      <w:r>
        <w:rPr>
          <w:rFonts w:ascii="Times New Roman" w:hAnsi="Times New Roman" w:eastAsia="宋体" w:cs="Times New Roman"/>
          <w:kern w:val="0"/>
          <w:sz w:val="24"/>
        </w:rPr>
        <w:t>b Research Center for Tibetan Plateau, Jilin University, Changchun 130061, Jilin, China.</w:t>
      </w:r>
    </w:p>
    <w:p w14:paraId="7ADA051B">
      <w:pPr>
        <w:widowControl/>
        <w:spacing w:line="480" w:lineRule="auto"/>
        <w:jc w:val="center"/>
        <w:rPr>
          <w:rFonts w:ascii="Times New Roman" w:hAnsi="Times New Roman" w:eastAsia="宋体" w:cs="Times New Roman"/>
          <w:kern w:val="0"/>
          <w:sz w:val="24"/>
        </w:rPr>
      </w:pPr>
      <w:r>
        <w:rPr>
          <w:rFonts w:ascii="Times New Roman" w:hAnsi="Times New Roman" w:eastAsia="宋体" w:cs="Times New Roman"/>
          <w:kern w:val="0"/>
          <w:sz w:val="24"/>
        </w:rPr>
        <w:t>c Research Institute of Exploration and Development, PetroChina Daqing Oilfield Company Ltd., Daqing 163712, Heilongjiang, China.</w:t>
      </w:r>
    </w:p>
    <w:p w14:paraId="1902C44A">
      <w:pPr>
        <w:widowControl/>
        <w:spacing w:line="360" w:lineRule="auto"/>
        <w:jc w:val="left"/>
        <w:rPr>
          <w:rFonts w:ascii="Times New Roman" w:hAnsi="Times New Roman" w:eastAsia="宋体" w:cs="Times New Roman"/>
          <w:b/>
          <w:kern w:val="0"/>
          <w:sz w:val="24"/>
        </w:rPr>
      </w:pPr>
    </w:p>
    <w:p w14:paraId="1A30F884">
      <w:pPr>
        <w:widowControl/>
        <w:spacing w:line="360" w:lineRule="auto"/>
        <w:jc w:val="left"/>
        <w:rPr>
          <w:rFonts w:ascii="Times New Roman" w:hAnsi="Times New Roman" w:eastAsia="宋体" w:cs="Times New Roman"/>
          <w:b/>
          <w:kern w:val="0"/>
          <w:sz w:val="24"/>
          <w:lang w:eastAsia="en-US"/>
        </w:rPr>
      </w:pPr>
      <w:r>
        <w:rPr>
          <w:rFonts w:ascii="Times New Roman" w:hAnsi="Times New Roman" w:eastAsia="宋体" w:cs="Times New Roman"/>
          <w:b/>
          <w:kern w:val="0"/>
          <w:sz w:val="24"/>
          <w:lang w:eastAsia="en-US"/>
        </w:rPr>
        <w:t xml:space="preserve">Contents of this file </w:t>
      </w:r>
    </w:p>
    <w:p w14:paraId="63BAAB2E">
      <w:pPr>
        <w:spacing w:line="480" w:lineRule="auto"/>
        <w:ind w:firstLine="240" w:firstLineChars="100"/>
        <w:rPr>
          <w:rFonts w:ascii="Times New Roman" w:hAnsi="Times New Roman" w:cs="Times New Roman"/>
          <w:sz w:val="24"/>
        </w:rPr>
      </w:pPr>
      <w:r>
        <w:rPr>
          <w:rFonts w:ascii="Times New Roman" w:hAnsi="Times New Roman" w:cs="Times New Roman"/>
          <w:sz w:val="24"/>
        </w:rPr>
        <w:t>Text S1 Petrology and Mineralogy</w:t>
      </w:r>
    </w:p>
    <w:p w14:paraId="0B45EBA4">
      <w:pPr>
        <w:spacing w:line="480" w:lineRule="auto"/>
        <w:ind w:firstLine="240" w:firstLineChars="100"/>
        <w:rPr>
          <w:rFonts w:ascii="Times New Roman" w:hAnsi="Times New Roman" w:cs="Times New Roman"/>
          <w:sz w:val="24"/>
        </w:rPr>
      </w:pPr>
      <w:r>
        <w:rPr>
          <w:rFonts w:ascii="Times New Roman" w:hAnsi="Times New Roman" w:cs="Times New Roman"/>
          <w:sz w:val="24"/>
        </w:rPr>
        <w:t>Text S2 Analytical methods and results</w:t>
      </w:r>
    </w:p>
    <w:p w14:paraId="146DA396">
      <w:pPr>
        <w:spacing w:line="480" w:lineRule="auto"/>
        <w:ind w:firstLine="240" w:firstLineChars="100"/>
        <w:rPr>
          <w:rFonts w:ascii="Times New Roman" w:hAnsi="Times New Roman" w:cs="Times New Roman"/>
          <w:sz w:val="24"/>
        </w:rPr>
      </w:pPr>
      <w:r>
        <w:rPr>
          <w:rFonts w:ascii="Times New Roman" w:hAnsi="Times New Roman" w:cs="Times New Roman"/>
          <w:sz w:val="24"/>
        </w:rPr>
        <w:t>Text S3 Geochronological age constraints for research samples</w:t>
      </w:r>
    </w:p>
    <w:p w14:paraId="4D295D06">
      <w:pPr>
        <w:spacing w:line="480" w:lineRule="auto"/>
        <w:ind w:firstLine="240" w:firstLineChars="100"/>
        <w:rPr>
          <w:rFonts w:ascii="Times New Roman" w:hAnsi="Times New Roman" w:cs="Times New Roman"/>
          <w:sz w:val="24"/>
        </w:rPr>
      </w:pPr>
      <w:r>
        <w:rPr>
          <w:rFonts w:ascii="Times New Roman" w:hAnsi="Times New Roman" w:cs="Times New Roman"/>
          <w:sz w:val="24"/>
        </w:rPr>
        <w:t>Text S4 Zircon Fertility Factor-Based Content Adjustment</w:t>
      </w:r>
    </w:p>
    <w:p w14:paraId="46E29D79">
      <w:pPr>
        <w:spacing w:line="480" w:lineRule="auto"/>
        <w:ind w:firstLine="240" w:firstLineChars="100"/>
        <w:rPr>
          <w:rFonts w:ascii="Times New Roman" w:hAnsi="Times New Roman" w:cs="Times New Roman"/>
          <w:sz w:val="24"/>
        </w:rPr>
      </w:pPr>
      <w:r>
        <w:rPr>
          <w:rFonts w:ascii="Times New Roman" w:hAnsi="Times New Roman" w:cs="Times New Roman"/>
          <w:sz w:val="24"/>
        </w:rPr>
        <w:t>Text S5 Calculation of crustal thickness</w:t>
      </w:r>
    </w:p>
    <w:p w14:paraId="7EC0132E">
      <w:pPr>
        <w:spacing w:line="480" w:lineRule="auto"/>
        <w:ind w:firstLine="240" w:firstLineChars="100"/>
        <w:rPr>
          <w:rFonts w:ascii="Times New Roman" w:hAnsi="Times New Roman" w:cs="Times New Roman"/>
          <w:sz w:val="24"/>
        </w:rPr>
      </w:pPr>
      <w:r>
        <w:rPr>
          <w:rFonts w:ascii="Times New Roman" w:hAnsi="Times New Roman" w:cs="Times New Roman"/>
          <w:sz w:val="24"/>
        </w:rPr>
        <w:t>Supplementary Figures S1 to S3.</w:t>
      </w:r>
    </w:p>
    <w:p w14:paraId="29ACBEF4">
      <w:pPr>
        <w:widowControl/>
        <w:spacing w:line="360" w:lineRule="auto"/>
        <w:jc w:val="left"/>
        <w:rPr>
          <w:rFonts w:ascii="Times New Roman" w:hAnsi="Times New Roman" w:eastAsia="宋体" w:cs="Times New Roman"/>
          <w:kern w:val="0"/>
          <w:sz w:val="24"/>
          <w:lang w:eastAsia="en-US"/>
        </w:rPr>
      </w:pPr>
    </w:p>
    <w:p w14:paraId="63265833">
      <w:pPr>
        <w:spacing w:line="360" w:lineRule="auto"/>
        <w:rPr>
          <w:rFonts w:ascii="Times New Roman" w:hAnsi="Times New Roman" w:eastAsia="宋体" w:cs="Times New Roman"/>
          <w:b/>
          <w:bCs/>
          <w:kern w:val="0"/>
          <w:sz w:val="24"/>
          <w:lang w:eastAsia="en-US"/>
        </w:rPr>
      </w:pPr>
      <w:r>
        <w:rPr>
          <w:rFonts w:ascii="Times New Roman" w:hAnsi="Times New Roman" w:eastAsia="宋体" w:cs="Times New Roman"/>
          <w:b/>
          <w:bCs/>
          <w:kern w:val="0"/>
          <w:sz w:val="24"/>
          <w:lang w:eastAsia="en-US"/>
        </w:rPr>
        <w:t>Additional Supporting Information (Files uploaded separately)</w:t>
      </w:r>
    </w:p>
    <w:p w14:paraId="51129A42">
      <w:pPr>
        <w:spacing w:line="480" w:lineRule="auto"/>
        <w:ind w:firstLine="240" w:firstLineChars="100"/>
        <w:rPr>
          <w:rFonts w:ascii="Times New Roman" w:hAnsi="Times New Roman" w:eastAsia="宋体" w:cs="Times New Roman"/>
          <w:kern w:val="0"/>
          <w:sz w:val="24"/>
          <w:lang w:eastAsia="en-US"/>
        </w:rPr>
      </w:pPr>
      <w:r>
        <w:rPr>
          <w:rFonts w:ascii="Times New Roman" w:hAnsi="Times New Roman" w:eastAsia="宋体" w:cs="Times New Roman"/>
          <w:kern w:val="0"/>
          <w:sz w:val="24"/>
          <w:lang w:eastAsia="en-US"/>
        </w:rPr>
        <w:t>Captions for Tables S1 to S</w:t>
      </w:r>
      <w:r>
        <w:rPr>
          <w:rFonts w:ascii="Times New Roman" w:hAnsi="Times New Roman" w:eastAsia="宋体" w:cs="Times New Roman"/>
          <w:kern w:val="0"/>
          <w:sz w:val="24"/>
        </w:rPr>
        <w:t xml:space="preserve">4 </w:t>
      </w:r>
      <w:bookmarkStart w:id="8" w:name="_GoBack"/>
      <w:bookmarkEnd w:id="8"/>
    </w:p>
    <w:p w14:paraId="3A0D6E2A">
      <w:pPr>
        <w:widowControl/>
        <w:jc w:val="left"/>
        <w:rPr>
          <w:rFonts w:hint="eastAsia" w:ascii="Times New Roman" w:hAnsi="Times New Roman" w:cs="Times New Roman"/>
          <w:sz w:val="24"/>
        </w:rPr>
      </w:pPr>
      <w:r>
        <w:rPr>
          <w:rFonts w:ascii="Times New Roman" w:hAnsi="Times New Roman" w:cs="Times New Roman"/>
          <w:sz w:val="24"/>
        </w:rPr>
        <w:br w:type="page"/>
      </w:r>
    </w:p>
    <w:p w14:paraId="1A99044F">
      <w:pPr>
        <w:pStyle w:val="10"/>
        <w:spacing w:before="156" w:beforeLines="50" w:after="156" w:afterLines="50"/>
        <w:ind w:firstLine="0"/>
        <w:rPr>
          <w:b/>
          <w:iCs/>
          <w:sz w:val="28"/>
          <w:szCs w:val="28"/>
          <w:lang w:eastAsia="zh-CN"/>
        </w:rPr>
      </w:pPr>
      <w:r>
        <w:rPr>
          <w:b/>
          <w:iCs/>
          <w:sz w:val="28"/>
          <w:szCs w:val="28"/>
          <w:lang w:eastAsia="zh-CN"/>
        </w:rPr>
        <w:t>Text S1 Petrology and Mineralogy</w:t>
      </w:r>
    </w:p>
    <w:p w14:paraId="6E79DD8C">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In this paper, the U-Pb dating of detrital zircon was carried out in the chalky fine sandstone, feldspathic quartz sandstone and medium-grained feldspathic quartz sandstone in the Hardwater Spring Formation, and the samples (X2314 and X2326) were collected from sandstone interbedded with sandstone in the second section of the Hardwater Spring Formation in the Biaozhangshan section.Samples (RP2314 and RP2329) were collected from the sandstone layer of the Hard Water Spring Formation in the southern section of the Twisted Mountain Liang.</w:t>
      </w:r>
    </w:p>
    <w:p w14:paraId="54353D8B">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Fine-grained clastic quartz sandstone (X2314). The clastic grains are mostly sub-angular-sub-rounded, with grain sizes generally concentrated at 0.08-0.25 mm, moderately rounded and poorly sorted. The filler content is 22%, of which 19% is calcite cemented, with less heterogeneous bases. Pore type cementation with granular support. Grain content 78%, mainly quartz grains (71%) with rock chips (5%), with minor opaque minerals (2%).</w:t>
      </w:r>
    </w:p>
    <w:p w14:paraId="1986D6BD">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Powder-fine-grained rock-chip quartz sandstone (X2326). Microscopically, the grains are mostly subangular-subrounded, with a general concentration of 0.05-0.38 mm in size, moderately rounded and poorly sorted. The filler content is 27%, of which 24% is calcite cemented, with less heterogeneous bases (3%). Pore type cementation with granular support. Grain content 73%, mainly quartz grains (64%) with rock chips (6%) with opaque minerals (3%).</w:t>
      </w:r>
    </w:p>
    <w:p w14:paraId="64E8D0F2">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Medium-grained rock-chip feldspar quartz sandstone (RP2314), with mostly sub-angular clastic grains, mainly centered on 0.11-0.37 mm, poorly rounded and moderately sorted. The filler content is 5%, of which 3% is heterogeneous and 2% is calcite cemented. Contact cementation, contact support. Grain content 95%, mainly quartz grains (85%), rock chip grains (5%), feldspar grains (3%) and a few dolomite grains (2%), opaque mineral content &lt;1%.</w:t>
      </w:r>
    </w:p>
    <w:p w14:paraId="52A4CE45">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Medium-grained clastic quartz sandstone (RP2329). The clastic grains are mostly sub-angular-sub-rounded, with grain sizes mainly concentrated in 0.08-0.36 mm, moderately rounded and generally sorted. The filler content is 7%, mainly microcrystalline calcite cementation (5%), with less heterogeneous groups (2%). Pore-based cementation with granular support. Grain content 93%, mainly quartz grains (86%), rock debris grains (5%) and minor feldspar grains (2%), opaque mineral content &lt;1%.</w:t>
      </w:r>
    </w:p>
    <w:p w14:paraId="178A1EA9">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In addition to microscopic analysis of the samples for which zircon analyses were performed (</w:t>
      </w:r>
      <w:r>
        <w:rPr>
          <w:rFonts w:ascii="Times New Roman" w:hAnsi="Times New Roman" w:eastAsia="宋体" w:cs="Times New Roman"/>
          <w:color w:val="FF0000"/>
          <w:sz w:val="24"/>
        </w:rPr>
        <w:t>Fig. S1</w:t>
      </w:r>
      <w:r>
        <w:rPr>
          <w:rFonts w:ascii="Times New Roman" w:hAnsi="Times New Roman" w:eastAsia="宋体" w:cs="Times New Roman"/>
          <w:sz w:val="24"/>
        </w:rPr>
        <w:t>), the oolitic tuffs of the Hardwater Springs Formation in the Barred Hill section were sampled and observed. Oolites are generally less than 1 mm in diameter, and the types of oolites include tabular oolites, complex oolites, monocrystalline oolites, and normal oolites (</w:t>
      </w:r>
      <w:r>
        <w:rPr>
          <w:rFonts w:ascii="Times New Roman" w:hAnsi="Times New Roman" w:eastAsia="宋体" w:cs="Times New Roman"/>
          <w:color w:val="FF0000"/>
          <w:sz w:val="24"/>
        </w:rPr>
        <w:t>Fig. S1f-i</w:t>
      </w:r>
      <w:r>
        <w:rPr>
          <w:rFonts w:ascii="Times New Roman" w:hAnsi="Times New Roman" w:eastAsia="宋体" w:cs="Times New Roman"/>
          <w:sz w:val="24"/>
        </w:rPr>
        <w:t>), and the oolites are fractured and filled with calcite. The occurrence of a large number of oolitic tuffs in the Hard Water Spring Formation reflects that the depositional environment was a high-energy subtidal zone.</w:t>
      </w:r>
    </w:p>
    <w:p w14:paraId="2DC5873D">
      <w:pPr>
        <w:rPr>
          <w:rFonts w:hint="eastAsia" w:ascii="Times New Roman" w:hAnsi="Times New Roman" w:cs="Times New Roman"/>
        </w:rPr>
      </w:pPr>
    </w:p>
    <w:p w14:paraId="0DE1F885">
      <w:pPr>
        <w:pStyle w:val="10"/>
        <w:spacing w:before="156" w:beforeLines="50" w:after="156" w:afterLines="50"/>
        <w:ind w:firstLine="0"/>
        <w:rPr>
          <w:b/>
          <w:iCs/>
          <w:sz w:val="28"/>
          <w:szCs w:val="28"/>
          <w:lang w:eastAsia="zh-CN"/>
        </w:rPr>
      </w:pPr>
      <w:r>
        <w:rPr>
          <w:b/>
          <w:iCs/>
          <w:sz w:val="28"/>
          <w:szCs w:val="28"/>
          <w:lang w:eastAsia="zh-CN"/>
        </w:rPr>
        <w:t>Text S2 Analytical methods and results</w:t>
      </w:r>
    </w:p>
    <w:p w14:paraId="3107B320">
      <w:pPr>
        <w:pStyle w:val="10"/>
        <w:spacing w:before="156" w:beforeLines="50" w:after="156" w:afterLines="50" w:line="360" w:lineRule="auto"/>
        <w:ind w:firstLine="0"/>
        <w:rPr>
          <w:b/>
          <w:i/>
          <w:szCs w:val="24"/>
        </w:rPr>
      </w:pPr>
      <w:r>
        <w:rPr>
          <w:b/>
          <w:i/>
          <w:szCs w:val="24"/>
        </w:rPr>
        <w:t>Sandstone debris counting</w:t>
      </w:r>
    </w:p>
    <w:p w14:paraId="0F6F9DEE">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Skeletal particles of selected sandstone samples were counted using an Olympus microscope with reference to Gazzi -Dickinson's statistical method (</w:t>
      </w:r>
      <w:r>
        <w:rPr>
          <w:rFonts w:ascii="Times New Roman" w:hAnsi="Times New Roman" w:eastAsia="宋体" w:cs="Times New Roman"/>
          <w:color w:val="00B0F0"/>
          <w:sz w:val="24"/>
        </w:rPr>
        <w:t>Dickinson, 1985; Dickinson et al., 1983</w:t>
      </w:r>
      <w:r>
        <w:rPr>
          <w:rFonts w:ascii="Times New Roman" w:hAnsi="Times New Roman" w:eastAsia="宋体" w:cs="Times New Roman"/>
          <w:sz w:val="24"/>
        </w:rPr>
        <w:t>). To ensure the accuracy of the statistical results of the clastic particles, the orthogonal grid intersection method was used, and the number of statistical points per flake was greater than 450. The analysis was done in the Rock and Mineral Identification Laboratory, School of Earth Sciences, Jilin University. The main end elements counted are quartz grains (Q), including monocrystalline quartz grains (Qm) and polycrystalline quartz grains (Qp), feldspar grains (F), including plagioclase feldspar (P) and potassium feldspar (K), and total rock clasts (Lt), including volcanic clasts (Lv), sedimentary clasts (Ls), and metamorphic clasts (Lm). After observation through a polarized light microscope, the number of relevant mineral grains was recorded</w:t>
      </w:r>
      <w:r>
        <w:rPr>
          <w:rFonts w:hint="eastAsia" w:ascii="Times New Roman" w:hAnsi="Times New Roman" w:eastAsia="宋体" w:cs="Times New Roman"/>
          <w:sz w:val="24"/>
        </w:rPr>
        <w:t xml:space="preserve"> (Table S1)</w:t>
      </w:r>
      <w:r>
        <w:rPr>
          <w:rFonts w:ascii="Times New Roman" w:hAnsi="Times New Roman" w:eastAsia="宋体" w:cs="Times New Roman"/>
          <w:sz w:val="24"/>
        </w:rPr>
        <w:t xml:space="preserve"> and a triangulation diagram was made, which led to the analysis of the type of source area.</w:t>
      </w:r>
    </w:p>
    <w:p w14:paraId="480A7BFE">
      <w:pPr>
        <w:pStyle w:val="10"/>
        <w:spacing w:before="156" w:beforeLines="50" w:after="156" w:afterLines="50" w:line="360" w:lineRule="auto"/>
        <w:ind w:firstLine="0"/>
        <w:rPr>
          <w:b/>
          <w:i/>
          <w:szCs w:val="24"/>
          <w:lang w:eastAsia="zh-CN"/>
        </w:rPr>
      </w:pPr>
      <w:r>
        <w:rPr>
          <w:b/>
          <w:i/>
          <w:szCs w:val="24"/>
        </w:rPr>
        <w:t>LA-ICP-MS Zircon U-Pb Dating</w:t>
      </w:r>
    </w:p>
    <w:p w14:paraId="55439285">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Hebei Langfang Yuneng Mineral Sorting Company was responsible for the crushing treatment of samples. Zircon grains were separated from clastic rocks through heavy liquid and magnetic mineral separation techniques, and hand-picked under a binocular microscope. Cathodoluminescence (CL) images were taken by Gantan MiniCL imaging system attached to a JSM-IT100 tungsten filament scanning electron microscope. Zircon U–Pb geochronology was carried out by Laser Ablation-Inductively Coupled Plasma-mass spectrometer (LA-ICP-MS) at the Key Laboratory of Mineral Resources Evaluation in Northeast Asia, Ministry of Land and Resources, Jilin University, Changchun, China.</w:t>
      </w:r>
      <w:r>
        <w:rPr>
          <w:rFonts w:ascii="Times New Roman" w:hAnsi="Times New Roman" w:cs="Times New Roman"/>
          <w:sz w:val="24"/>
        </w:rPr>
        <w:t xml:space="preserve"> </w:t>
      </w:r>
      <w:r>
        <w:rPr>
          <w:rFonts w:ascii="Times New Roman" w:hAnsi="Times New Roman" w:eastAsia="宋体" w:cs="Times New Roman"/>
          <w:sz w:val="24"/>
        </w:rPr>
        <w:t xml:space="preserve">The specific test analysis conditions are described in supplementary material </w:t>
      </w:r>
      <w:r>
        <w:rPr>
          <w:rFonts w:ascii="Times New Roman" w:hAnsi="Times New Roman" w:eastAsia="宋体" w:cs="Times New Roman"/>
          <w:color w:val="FF0000"/>
          <w:sz w:val="24"/>
        </w:rPr>
        <w:t>Table S</w:t>
      </w:r>
      <w:r>
        <w:rPr>
          <w:rFonts w:hint="eastAsia" w:ascii="Times New Roman" w:hAnsi="Times New Roman" w:eastAsia="宋体" w:cs="Times New Roman"/>
          <w:color w:val="FF0000"/>
          <w:sz w:val="24"/>
        </w:rPr>
        <w:t>2</w:t>
      </w:r>
      <w:r>
        <w:rPr>
          <w:rFonts w:ascii="Times New Roman" w:hAnsi="Times New Roman" w:eastAsia="宋体" w:cs="Times New Roman"/>
          <w:sz w:val="24"/>
        </w:rPr>
        <w:t>.</w:t>
      </w:r>
    </w:p>
    <w:p w14:paraId="1C58CA97">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The GeoLasPro 193 nm ArF excimer laser by COMPExPro in Germany was used for laser ablation. The laser beam diameter was 32 μm, the laser fluence of 10 J/cm</w:t>
      </w:r>
      <w:r>
        <w:rPr>
          <w:rFonts w:ascii="Times New Roman" w:hAnsi="Times New Roman" w:eastAsia="宋体" w:cs="Times New Roman"/>
          <w:sz w:val="24"/>
          <w:vertAlign w:val="superscript"/>
        </w:rPr>
        <w:t>2</w:t>
      </w:r>
      <w:r>
        <w:rPr>
          <w:rFonts w:ascii="Times New Roman" w:hAnsi="Times New Roman" w:eastAsia="宋体" w:cs="Times New Roman"/>
          <w:sz w:val="24"/>
        </w:rPr>
        <w:t xml:space="preserve"> and repetition rate of 8 Hz. The ICP-MS </w:t>
      </w:r>
      <w:r>
        <w:rPr>
          <w:rFonts w:ascii="Times New Roman" w:hAnsi="Times New Roman" w:cs="Times New Roman"/>
          <w:sz w:val="24"/>
        </w:rPr>
        <w:t>instrument</w:t>
      </w:r>
      <w:r>
        <w:rPr>
          <w:rFonts w:ascii="Times New Roman" w:hAnsi="Times New Roman" w:eastAsia="宋体" w:cs="Times New Roman"/>
          <w:sz w:val="24"/>
        </w:rPr>
        <w:t xml:space="preserve"> used was an Agilent 7900. High-purity helium was used as carrier gas to provide efficient aerosol transport to the ICP and minimize aerosol deposition around the ablation site and within the transport tube with a gas flow of 600 mL/min. </w:t>
      </w:r>
      <w:bookmarkStart w:id="0" w:name="_Hlk163034899"/>
      <w:r>
        <w:rPr>
          <w:rFonts w:ascii="Times New Roman" w:hAnsi="Times New Roman" w:eastAsia="宋体" w:cs="Times New Roman"/>
          <w:sz w:val="24"/>
        </w:rPr>
        <w:t>Argon was used as make-up gas</w:t>
      </w:r>
      <w:bookmarkEnd w:id="0"/>
      <w:r>
        <w:rPr>
          <w:rFonts w:ascii="Times New Roman" w:hAnsi="Times New Roman" w:eastAsia="宋体" w:cs="Times New Roman"/>
          <w:sz w:val="24"/>
        </w:rPr>
        <w:t xml:space="preserve"> with a gas flow of 1.15 L/min. The standard used was reference material NIST 610 (</w:t>
      </w:r>
      <w:r>
        <w:rPr>
          <w:rFonts w:ascii="Times New Roman" w:hAnsi="Times New Roman" w:eastAsia="宋体" w:cs="Times New Roman"/>
          <w:color w:val="0070C0"/>
          <w:sz w:val="24"/>
        </w:rPr>
        <w:t xml:space="preserve">Liu </w:t>
      </w:r>
      <w:r>
        <w:rPr>
          <w:rFonts w:ascii="Times New Roman" w:hAnsi="Times New Roman" w:eastAsia="宋体" w:cs="Times New Roman"/>
          <w:i/>
          <w:iCs/>
          <w:color w:val="0070C0"/>
          <w:sz w:val="24"/>
        </w:rPr>
        <w:t>et al.</w:t>
      </w:r>
      <w:r>
        <w:rPr>
          <w:rFonts w:ascii="Times New Roman" w:hAnsi="Times New Roman" w:eastAsia="宋体" w:cs="Times New Roman"/>
          <w:color w:val="0070C0"/>
          <w:sz w:val="24"/>
        </w:rPr>
        <w:t xml:space="preserve"> 2010</w:t>
      </w:r>
      <w:r>
        <w:rPr>
          <w:rFonts w:ascii="Times New Roman" w:hAnsi="Times New Roman" w:eastAsia="宋体" w:cs="Times New Roman"/>
          <w:sz w:val="24"/>
        </w:rPr>
        <w:t xml:space="preserve">), an artificial synthetic silicate glass developed by the National Institute of Standards and Technology (NIST) in the United States. The collection time for </w:t>
      </w:r>
      <w:r>
        <w:rPr>
          <w:rFonts w:ascii="Times New Roman" w:hAnsi="Times New Roman" w:eastAsia="宋体" w:cs="Times New Roman"/>
          <w:sz w:val="24"/>
          <w:vertAlign w:val="superscript"/>
        </w:rPr>
        <w:t>49</w:t>
      </w:r>
      <w:r>
        <w:rPr>
          <w:rFonts w:ascii="Times New Roman" w:hAnsi="Times New Roman" w:eastAsia="宋体" w:cs="Times New Roman"/>
          <w:sz w:val="24"/>
        </w:rPr>
        <w:t xml:space="preserve">Ti, </w:t>
      </w:r>
      <w:r>
        <w:rPr>
          <w:rFonts w:ascii="Times New Roman" w:hAnsi="Times New Roman" w:eastAsia="宋体" w:cs="Times New Roman"/>
          <w:sz w:val="24"/>
          <w:vertAlign w:val="superscript"/>
        </w:rPr>
        <w:t>206</w:t>
      </w:r>
      <w:r>
        <w:rPr>
          <w:rFonts w:ascii="Times New Roman" w:hAnsi="Times New Roman" w:eastAsia="宋体" w:cs="Times New Roman"/>
          <w:sz w:val="24"/>
        </w:rPr>
        <w:t xml:space="preserve">Pb and </w:t>
      </w:r>
      <w:r>
        <w:rPr>
          <w:rFonts w:ascii="Times New Roman" w:hAnsi="Times New Roman" w:eastAsia="宋体" w:cs="Times New Roman"/>
          <w:sz w:val="24"/>
          <w:vertAlign w:val="superscript"/>
        </w:rPr>
        <w:t>208</w:t>
      </w:r>
      <w:r>
        <w:rPr>
          <w:rFonts w:ascii="Times New Roman" w:hAnsi="Times New Roman" w:eastAsia="宋体" w:cs="Times New Roman"/>
          <w:sz w:val="24"/>
        </w:rPr>
        <w:t xml:space="preserve">Pb was 20 ms, for </w:t>
      </w:r>
      <w:r>
        <w:rPr>
          <w:rFonts w:ascii="Times New Roman" w:hAnsi="Times New Roman" w:eastAsia="宋体" w:cs="Times New Roman"/>
          <w:sz w:val="24"/>
          <w:vertAlign w:val="superscript"/>
        </w:rPr>
        <w:t>207</w:t>
      </w:r>
      <w:r>
        <w:rPr>
          <w:rFonts w:ascii="Times New Roman" w:hAnsi="Times New Roman" w:eastAsia="宋体" w:cs="Times New Roman"/>
          <w:sz w:val="24"/>
        </w:rPr>
        <w:t xml:space="preserve">Pb 30 ms, for </w:t>
      </w:r>
      <w:r>
        <w:rPr>
          <w:rFonts w:ascii="Times New Roman" w:hAnsi="Times New Roman" w:eastAsia="宋体" w:cs="Times New Roman"/>
          <w:sz w:val="24"/>
          <w:vertAlign w:val="superscript"/>
        </w:rPr>
        <w:t>232</w:t>
      </w:r>
      <w:r>
        <w:rPr>
          <w:rFonts w:ascii="Times New Roman" w:hAnsi="Times New Roman" w:eastAsia="宋体" w:cs="Times New Roman"/>
          <w:sz w:val="24"/>
        </w:rPr>
        <w:t xml:space="preserve">Th and </w:t>
      </w:r>
      <w:r>
        <w:rPr>
          <w:rFonts w:ascii="Times New Roman" w:hAnsi="Times New Roman" w:eastAsia="宋体" w:cs="Times New Roman"/>
          <w:sz w:val="24"/>
          <w:vertAlign w:val="superscript"/>
        </w:rPr>
        <w:t>238</w:t>
      </w:r>
      <w:r>
        <w:rPr>
          <w:rFonts w:ascii="Times New Roman" w:hAnsi="Times New Roman" w:eastAsia="宋体" w:cs="Times New Roman"/>
          <w:sz w:val="24"/>
        </w:rPr>
        <w:t>U 15 ms, and for other elements it was 6 ms. Isotope ratio correction used the standard zircon 91500 (1062 Ma) as the primary reference material and</w:t>
      </w:r>
      <w:bookmarkStart w:id="1" w:name="_Hlk163035681"/>
      <w:r>
        <w:rPr>
          <w:rFonts w:ascii="Times New Roman" w:hAnsi="Times New Roman" w:eastAsia="宋体" w:cs="Times New Roman"/>
          <w:sz w:val="24"/>
        </w:rPr>
        <w:t xml:space="preserve"> 91500 was ablated every five unknowns</w:t>
      </w:r>
      <w:bookmarkEnd w:id="1"/>
      <w:r>
        <w:rPr>
          <w:rFonts w:ascii="Times New Roman" w:hAnsi="Times New Roman" w:eastAsia="宋体" w:cs="Times New Roman"/>
          <w:sz w:val="24"/>
        </w:rPr>
        <w:t xml:space="preserve"> (</w:t>
      </w:r>
      <w:bookmarkStart w:id="2" w:name="_Hlk156478720"/>
      <w:bookmarkStart w:id="3" w:name="_Hlk158023328"/>
      <w:r>
        <w:rPr>
          <w:rFonts w:ascii="Times New Roman" w:hAnsi="Times New Roman" w:eastAsia="宋体" w:cs="Times New Roman"/>
          <w:color w:val="0070C0"/>
          <w:sz w:val="24"/>
        </w:rPr>
        <w:t xml:space="preserve">Wiedenbeck </w:t>
      </w:r>
      <w:bookmarkEnd w:id="2"/>
      <w:r>
        <w:rPr>
          <w:rFonts w:ascii="Times New Roman" w:hAnsi="Times New Roman" w:eastAsia="宋体" w:cs="Times New Roman"/>
          <w:i/>
          <w:iCs/>
          <w:color w:val="0070C0"/>
          <w:sz w:val="24"/>
        </w:rPr>
        <w:t>et al.</w:t>
      </w:r>
      <w:r>
        <w:rPr>
          <w:rFonts w:ascii="Times New Roman" w:hAnsi="Times New Roman" w:eastAsia="宋体" w:cs="Times New Roman"/>
          <w:color w:val="0070C0"/>
          <w:sz w:val="24"/>
        </w:rPr>
        <w:t xml:space="preserve"> 1995</w:t>
      </w:r>
      <w:bookmarkEnd w:id="3"/>
      <w:r>
        <w:rPr>
          <w:rFonts w:ascii="Times New Roman" w:hAnsi="Times New Roman" w:eastAsia="宋体" w:cs="Times New Roman"/>
          <w:sz w:val="24"/>
        </w:rPr>
        <w:t xml:space="preserve">). Uranium, Th and Pb concentrations were calibrated using </w:t>
      </w:r>
      <w:r>
        <w:rPr>
          <w:rFonts w:ascii="Times New Roman" w:hAnsi="Times New Roman" w:eastAsia="宋体" w:cs="Times New Roman"/>
          <w:sz w:val="24"/>
          <w:vertAlign w:val="superscript"/>
        </w:rPr>
        <w:t>29</w:t>
      </w:r>
      <w:r>
        <w:rPr>
          <w:rFonts w:ascii="Times New Roman" w:hAnsi="Times New Roman" w:eastAsia="宋体" w:cs="Times New Roman"/>
          <w:sz w:val="24"/>
        </w:rPr>
        <w:t xml:space="preserve">Si as an internal standard. Glitter (ver4.0, Macquarie University) was used to calculate isotope ratio and age values of </w:t>
      </w:r>
      <w:r>
        <w:rPr>
          <w:rFonts w:ascii="Times New Roman" w:hAnsi="Times New Roman" w:eastAsia="宋体" w:cs="Times New Roman"/>
          <w:sz w:val="24"/>
          <w:vertAlign w:val="superscript"/>
        </w:rPr>
        <w:t>207</w:t>
      </w:r>
      <w:r>
        <w:rPr>
          <w:rFonts w:ascii="Times New Roman" w:hAnsi="Times New Roman" w:eastAsia="宋体" w:cs="Times New Roman"/>
          <w:sz w:val="24"/>
        </w:rPr>
        <w:t>Pb/</w:t>
      </w:r>
      <w:r>
        <w:rPr>
          <w:rFonts w:ascii="Times New Roman" w:hAnsi="Times New Roman" w:eastAsia="宋体" w:cs="Times New Roman"/>
          <w:sz w:val="24"/>
          <w:vertAlign w:val="superscript"/>
        </w:rPr>
        <w:t>206</w:t>
      </w:r>
      <w:r>
        <w:rPr>
          <w:rFonts w:ascii="Times New Roman" w:hAnsi="Times New Roman" w:eastAsia="宋体" w:cs="Times New Roman"/>
          <w:sz w:val="24"/>
        </w:rPr>
        <w:t xml:space="preserve">Pb, </w:t>
      </w:r>
      <w:r>
        <w:rPr>
          <w:rFonts w:ascii="Times New Roman" w:hAnsi="Times New Roman" w:eastAsia="宋体" w:cs="Times New Roman"/>
          <w:sz w:val="24"/>
          <w:vertAlign w:val="superscript"/>
        </w:rPr>
        <w:t>206</w:t>
      </w:r>
      <w:r>
        <w:rPr>
          <w:rFonts w:ascii="Times New Roman" w:hAnsi="Times New Roman" w:eastAsia="宋体" w:cs="Times New Roman"/>
          <w:sz w:val="24"/>
        </w:rPr>
        <w:t>Pb/</w:t>
      </w:r>
      <w:r>
        <w:rPr>
          <w:rFonts w:ascii="Times New Roman" w:hAnsi="Times New Roman" w:eastAsia="宋体" w:cs="Times New Roman"/>
          <w:sz w:val="24"/>
          <w:vertAlign w:val="superscript"/>
        </w:rPr>
        <w:t>238</w:t>
      </w:r>
      <w:r>
        <w:rPr>
          <w:rFonts w:ascii="Times New Roman" w:hAnsi="Times New Roman" w:eastAsia="宋体" w:cs="Times New Roman"/>
          <w:sz w:val="24"/>
        </w:rPr>
        <w:t>U, and</w:t>
      </w:r>
      <w:r>
        <w:rPr>
          <w:rFonts w:ascii="Times New Roman" w:hAnsi="Times New Roman" w:eastAsia="宋体" w:cs="Times New Roman"/>
          <w:sz w:val="24"/>
          <w:vertAlign w:val="superscript"/>
        </w:rPr>
        <w:t xml:space="preserve"> 207</w:t>
      </w:r>
      <w:r>
        <w:rPr>
          <w:rFonts w:ascii="Times New Roman" w:hAnsi="Times New Roman" w:eastAsia="宋体" w:cs="Times New Roman"/>
          <w:sz w:val="24"/>
        </w:rPr>
        <w:t>Pb/</w:t>
      </w:r>
      <w:r>
        <w:rPr>
          <w:rFonts w:ascii="Times New Roman" w:hAnsi="Times New Roman" w:eastAsia="宋体" w:cs="Times New Roman"/>
          <w:sz w:val="24"/>
          <w:vertAlign w:val="superscript"/>
        </w:rPr>
        <w:t>235</w:t>
      </w:r>
      <w:r>
        <w:rPr>
          <w:rFonts w:ascii="Times New Roman" w:hAnsi="Times New Roman" w:eastAsia="宋体" w:cs="Times New Roman"/>
          <w:sz w:val="24"/>
        </w:rPr>
        <w:t>U.</w:t>
      </w:r>
      <w:r>
        <w:rPr>
          <w:rFonts w:ascii="Times New Roman" w:hAnsi="Times New Roman" w:eastAsia="等线" w:cs="Times New Roman"/>
          <w:sz w:val="24"/>
        </w:rPr>
        <w:t xml:space="preserve"> </w:t>
      </w:r>
      <w:r>
        <w:rPr>
          <w:rFonts w:ascii="Times New Roman" w:hAnsi="Times New Roman" w:eastAsia="宋体" w:cs="Times New Roman"/>
          <w:sz w:val="24"/>
        </w:rPr>
        <w:t>Uncertainties of individual analyses are reported with 2s error. Concordance is calculated as: age &gt;1000Ma (</w:t>
      </w:r>
      <w:r>
        <w:rPr>
          <w:rFonts w:ascii="Times New Roman" w:hAnsi="Times New Roman" w:eastAsia="宋体" w:cs="Times New Roman"/>
          <w:sz w:val="24"/>
          <w:vertAlign w:val="superscript"/>
        </w:rPr>
        <w:t>207</w:t>
      </w:r>
      <w:r>
        <w:rPr>
          <w:rFonts w:ascii="Times New Roman" w:hAnsi="Times New Roman" w:eastAsia="宋体" w:cs="Times New Roman"/>
          <w:sz w:val="24"/>
        </w:rPr>
        <w:t>Pb/</w:t>
      </w:r>
      <w:r>
        <w:rPr>
          <w:rFonts w:ascii="Times New Roman" w:hAnsi="Times New Roman" w:eastAsia="宋体" w:cs="Times New Roman"/>
          <w:sz w:val="24"/>
          <w:vertAlign w:val="superscript"/>
        </w:rPr>
        <w:t>206</w:t>
      </w:r>
      <w:r>
        <w:rPr>
          <w:rFonts w:ascii="Times New Roman" w:hAnsi="Times New Roman" w:eastAsia="宋体" w:cs="Times New Roman"/>
          <w:sz w:val="24"/>
        </w:rPr>
        <w:t>U age)/ (</w:t>
      </w:r>
      <w:r>
        <w:rPr>
          <w:rFonts w:ascii="Times New Roman" w:hAnsi="Times New Roman" w:eastAsia="宋体" w:cs="Times New Roman"/>
          <w:sz w:val="24"/>
          <w:vertAlign w:val="superscript"/>
        </w:rPr>
        <w:t>206</w:t>
      </w:r>
      <w:r>
        <w:rPr>
          <w:rFonts w:ascii="Times New Roman" w:hAnsi="Times New Roman" w:eastAsia="宋体" w:cs="Times New Roman"/>
          <w:sz w:val="24"/>
        </w:rPr>
        <w:t>Pb/</w:t>
      </w:r>
      <w:r>
        <w:rPr>
          <w:rFonts w:ascii="Times New Roman" w:hAnsi="Times New Roman" w:eastAsia="宋体" w:cs="Times New Roman"/>
          <w:sz w:val="24"/>
          <w:vertAlign w:val="superscript"/>
        </w:rPr>
        <w:t>238</w:t>
      </w:r>
      <w:r>
        <w:rPr>
          <w:rFonts w:ascii="Times New Roman" w:hAnsi="Times New Roman" w:eastAsia="宋体" w:cs="Times New Roman"/>
          <w:sz w:val="24"/>
        </w:rPr>
        <w:t>U age) × 100 (%); age&lt;1000Ma, (</w:t>
      </w:r>
      <w:r>
        <w:rPr>
          <w:rFonts w:ascii="Times New Roman" w:hAnsi="Times New Roman" w:eastAsia="宋体" w:cs="Times New Roman"/>
          <w:sz w:val="24"/>
          <w:vertAlign w:val="superscript"/>
        </w:rPr>
        <w:t>207</w:t>
      </w:r>
      <w:r>
        <w:rPr>
          <w:rFonts w:ascii="Times New Roman" w:hAnsi="Times New Roman" w:eastAsia="宋体" w:cs="Times New Roman"/>
          <w:sz w:val="24"/>
        </w:rPr>
        <w:t>Pb/</w:t>
      </w:r>
      <w:r>
        <w:rPr>
          <w:rFonts w:ascii="Times New Roman" w:hAnsi="Times New Roman" w:eastAsia="宋体" w:cs="Times New Roman"/>
          <w:sz w:val="24"/>
          <w:vertAlign w:val="superscript"/>
        </w:rPr>
        <w:t>235</w:t>
      </w:r>
      <w:r>
        <w:rPr>
          <w:rFonts w:ascii="Times New Roman" w:hAnsi="Times New Roman" w:eastAsia="宋体" w:cs="Times New Roman"/>
          <w:sz w:val="24"/>
        </w:rPr>
        <w:t>U age)/ (</w:t>
      </w:r>
      <w:r>
        <w:rPr>
          <w:rFonts w:ascii="Times New Roman" w:hAnsi="Times New Roman" w:eastAsia="宋体" w:cs="Times New Roman"/>
          <w:sz w:val="24"/>
          <w:vertAlign w:val="superscript"/>
        </w:rPr>
        <w:t>206</w:t>
      </w:r>
      <w:r>
        <w:rPr>
          <w:rFonts w:ascii="Times New Roman" w:hAnsi="Times New Roman" w:eastAsia="宋体" w:cs="Times New Roman"/>
          <w:sz w:val="24"/>
        </w:rPr>
        <w:t>Pb/</w:t>
      </w:r>
      <w:r>
        <w:rPr>
          <w:rFonts w:ascii="Times New Roman" w:hAnsi="Times New Roman" w:eastAsia="宋体" w:cs="Times New Roman"/>
          <w:sz w:val="24"/>
          <w:vertAlign w:val="superscript"/>
        </w:rPr>
        <w:t>238</w:t>
      </w:r>
      <w:r>
        <w:rPr>
          <w:rFonts w:ascii="Times New Roman" w:hAnsi="Times New Roman" w:eastAsia="宋体" w:cs="Times New Roman"/>
          <w:sz w:val="24"/>
        </w:rPr>
        <w:t>U age) × 100 (%). Only analyses &gt; 90 % and &lt; 110% concordant were used to generate the age histograms, Concordia diagrams and discuss in the manuscript. The calculation of the weighted average age and the drawing of Concordia diagrams was done with the Isoplot/Ex (3.0) program (</w:t>
      </w:r>
      <w:r>
        <w:rPr>
          <w:rFonts w:ascii="Times New Roman" w:hAnsi="Times New Roman" w:eastAsia="宋体" w:cs="Times New Roman"/>
          <w:color w:val="00B0F0"/>
          <w:sz w:val="24"/>
        </w:rPr>
        <w:t>Ludwig, 2003</w:t>
      </w:r>
      <w:r>
        <w:rPr>
          <w:rFonts w:ascii="Times New Roman" w:hAnsi="Times New Roman" w:eastAsia="宋体" w:cs="Times New Roman"/>
          <w:sz w:val="24"/>
        </w:rPr>
        <w:t xml:space="preserve">). Weighted mean ages were calculated at 2s confidence level. The zircon Plešovice was dated as the secondary reference material, yielding a weighted mean </w:t>
      </w:r>
      <w:r>
        <w:rPr>
          <w:rFonts w:ascii="Times New Roman" w:hAnsi="Times New Roman" w:eastAsia="宋体" w:cs="Times New Roman"/>
          <w:sz w:val="24"/>
          <w:vertAlign w:val="superscript"/>
        </w:rPr>
        <w:t>206</w:t>
      </w:r>
      <w:r>
        <w:rPr>
          <w:rFonts w:ascii="Times New Roman" w:hAnsi="Times New Roman" w:eastAsia="宋体" w:cs="Times New Roman"/>
          <w:sz w:val="24"/>
        </w:rPr>
        <w:t>Pb/</w:t>
      </w:r>
      <w:r>
        <w:rPr>
          <w:rFonts w:ascii="Times New Roman" w:hAnsi="Times New Roman" w:eastAsia="宋体" w:cs="Times New Roman"/>
          <w:sz w:val="24"/>
          <w:vertAlign w:val="superscript"/>
        </w:rPr>
        <w:t>238</w:t>
      </w:r>
      <w:r>
        <w:rPr>
          <w:rFonts w:ascii="Times New Roman" w:hAnsi="Times New Roman" w:eastAsia="宋体" w:cs="Times New Roman"/>
          <w:sz w:val="24"/>
        </w:rPr>
        <w:t>U age of 339.27 ± 2.3 Ma (n = 16, 2s), which is in excellent agreement with the recommended age of 337.13 ± 0.37 Ma (</w:t>
      </w:r>
      <w:bookmarkStart w:id="4" w:name="_Hlk158281123"/>
      <w:r>
        <w:rPr>
          <w:rFonts w:ascii="Times New Roman" w:hAnsi="Times New Roman" w:eastAsia="宋体" w:cs="Times New Roman"/>
          <w:color w:val="0070C0"/>
          <w:sz w:val="24"/>
        </w:rPr>
        <w:t>Sláma</w:t>
      </w:r>
      <w:bookmarkEnd w:id="4"/>
      <w:r>
        <w:rPr>
          <w:rFonts w:ascii="Times New Roman" w:hAnsi="Times New Roman" w:eastAsia="宋体" w:cs="Times New Roman"/>
          <w:color w:val="0070C0"/>
          <w:sz w:val="24"/>
        </w:rPr>
        <w:t xml:space="preserve"> </w:t>
      </w:r>
      <w:r>
        <w:rPr>
          <w:rFonts w:ascii="Times New Roman" w:hAnsi="Times New Roman" w:eastAsia="宋体" w:cs="Times New Roman"/>
          <w:i/>
          <w:iCs/>
          <w:color w:val="0070C0"/>
          <w:sz w:val="24"/>
        </w:rPr>
        <w:t>et al.</w:t>
      </w:r>
      <w:r>
        <w:rPr>
          <w:rFonts w:ascii="Times New Roman" w:hAnsi="Times New Roman" w:eastAsia="宋体" w:cs="Times New Roman"/>
          <w:color w:val="0070C0"/>
          <w:sz w:val="24"/>
        </w:rPr>
        <w:t xml:space="preserve"> 2008</w:t>
      </w:r>
      <w:r>
        <w:rPr>
          <w:rFonts w:ascii="Times New Roman" w:hAnsi="Times New Roman" w:eastAsia="宋体" w:cs="Times New Roman"/>
          <w:sz w:val="24"/>
        </w:rPr>
        <w:t xml:space="preserve">). </w:t>
      </w:r>
      <w:bookmarkStart w:id="5" w:name="_Hlk137067252"/>
      <w:r>
        <w:rPr>
          <w:rFonts w:ascii="Times New Roman" w:hAnsi="Times New Roman" w:eastAsia="宋体" w:cs="Times New Roman"/>
          <w:sz w:val="24"/>
        </w:rPr>
        <w:t>The data and zircon U-Pb concordia diagram are at 2s error</w:t>
      </w:r>
      <w:bookmarkEnd w:id="5"/>
      <w:r>
        <w:rPr>
          <w:rFonts w:ascii="Times New Roman" w:hAnsi="Times New Roman" w:eastAsia="宋体" w:cs="Times New Roman"/>
          <w:sz w:val="24"/>
        </w:rPr>
        <w:t xml:space="preserve">. The specific analytical methods and procedures, as well as the common Pb correction, can be found in </w:t>
      </w:r>
      <w:r>
        <w:rPr>
          <w:rFonts w:ascii="Times New Roman" w:hAnsi="Times New Roman" w:eastAsia="宋体" w:cs="Times New Roman"/>
          <w:color w:val="0070C0"/>
          <w:sz w:val="24"/>
        </w:rPr>
        <w:t>Andersen (2002, 2005)</w:t>
      </w:r>
      <w:r>
        <w:rPr>
          <w:rFonts w:ascii="Times New Roman" w:hAnsi="Times New Roman" w:eastAsia="宋体" w:cs="Times New Roman"/>
          <w:sz w:val="24"/>
        </w:rPr>
        <w:t xml:space="preserve"> and </w:t>
      </w:r>
      <w:r>
        <w:rPr>
          <w:rFonts w:ascii="Times New Roman" w:hAnsi="Times New Roman" w:eastAsia="宋体" w:cs="Times New Roman"/>
          <w:color w:val="0070C0"/>
          <w:sz w:val="24"/>
        </w:rPr>
        <w:t>Yuan et al. (2004)</w:t>
      </w:r>
      <w:r>
        <w:rPr>
          <w:rFonts w:ascii="Times New Roman" w:hAnsi="Times New Roman" w:eastAsia="宋体" w:cs="Times New Roman"/>
          <w:sz w:val="24"/>
        </w:rPr>
        <w:t>.</w:t>
      </w:r>
    </w:p>
    <w:p w14:paraId="1560C745">
      <w:pPr>
        <w:pStyle w:val="10"/>
        <w:spacing w:before="156" w:beforeLines="50" w:after="156" w:afterLines="50" w:line="360" w:lineRule="auto"/>
        <w:ind w:firstLine="0"/>
        <w:rPr>
          <w:b/>
          <w:i/>
          <w:szCs w:val="24"/>
          <w:lang w:eastAsia="zh-CN"/>
        </w:rPr>
      </w:pPr>
      <w:r>
        <w:rPr>
          <w:b/>
          <w:i/>
          <w:szCs w:val="24"/>
        </w:rPr>
        <w:t>Visualization of U-Pb Age</w:t>
      </w:r>
    </w:p>
    <w:p w14:paraId="3CC94F53">
      <w:pPr>
        <w:spacing w:line="480" w:lineRule="auto"/>
        <w:ind w:firstLine="240" w:firstLineChars="100"/>
        <w:rPr>
          <w:rFonts w:ascii="Times New Roman" w:hAnsi="Times New Roman" w:eastAsia="宋体" w:cs="Times New Roman"/>
          <w:sz w:val="24"/>
        </w:rPr>
      </w:pPr>
      <w:r>
        <w:rPr>
          <w:rFonts w:ascii="Times New Roman" w:hAnsi="Times New Roman" w:eastAsia="宋体" w:cs="Times New Roman"/>
          <w:sz w:val="24"/>
        </w:rPr>
        <w:t xml:space="preserve">When analysing the similarity between samples, the U-Pb age probability plots (PDP) provide a simple visual comparison that is </w:t>
      </w:r>
      <w:r>
        <w:rPr>
          <w:rFonts w:ascii="Times New Roman" w:hAnsi="Times New Roman" w:cs="Times New Roman"/>
          <w:sz w:val="24"/>
        </w:rPr>
        <w:t>commonly</w:t>
      </w:r>
      <w:r>
        <w:rPr>
          <w:rFonts w:ascii="Times New Roman" w:hAnsi="Times New Roman" w:eastAsia="宋体" w:cs="Times New Roman"/>
          <w:sz w:val="24"/>
        </w:rPr>
        <w:t xml:space="preserve"> used to solve the data with a small number of samples and large age distribution differences (</w:t>
      </w:r>
      <w:r>
        <w:rPr>
          <w:rFonts w:ascii="Times New Roman" w:hAnsi="Times New Roman" w:eastAsia="宋体" w:cs="Times New Roman"/>
          <w:color w:val="0070C0"/>
          <w:sz w:val="24"/>
        </w:rPr>
        <w:t>Zhang et al., 2020</w:t>
      </w:r>
      <w:r>
        <w:rPr>
          <w:rFonts w:ascii="Times New Roman" w:hAnsi="Times New Roman" w:eastAsia="宋体" w:cs="Times New Roman"/>
          <w:sz w:val="24"/>
        </w:rPr>
        <w:t>).</w:t>
      </w:r>
      <w:r>
        <w:rPr>
          <w:rFonts w:ascii="Times New Roman" w:hAnsi="Times New Roman" w:cs="Times New Roman"/>
          <w:sz w:val="24"/>
        </w:rPr>
        <w:t xml:space="preserve"> </w:t>
      </w:r>
      <w:r>
        <w:rPr>
          <w:rFonts w:ascii="Times New Roman" w:hAnsi="Times New Roman" w:eastAsia="宋体" w:cs="Times New Roman"/>
          <w:sz w:val="24"/>
        </w:rPr>
        <w:t>KDE (Kernel Density Estimation) plots are used to visually compare the detrital age distribution (</w:t>
      </w:r>
      <w:r>
        <w:rPr>
          <w:rFonts w:ascii="Times New Roman" w:hAnsi="Times New Roman" w:eastAsia="宋体" w:cs="Times New Roman"/>
          <w:color w:val="00B0F0"/>
          <w:sz w:val="24"/>
        </w:rPr>
        <w:t>Vermeesch, 2012</w:t>
      </w:r>
      <w:r>
        <w:rPr>
          <w:rFonts w:ascii="Times New Roman" w:hAnsi="Times New Roman" w:eastAsia="宋体" w:cs="Times New Roman"/>
          <w:sz w:val="24"/>
        </w:rPr>
        <w:t>).In order to implement multi-sample comparison of detrital age spectra, Multidimensional scaling analysis (MDS) through a certain algorithm, projecting the results in the form of points in a multidimensional space, to the relative differences between said multiple samples at the same time. If the distance between two points is smaller, the higher the age distribution of both similarity (</w:t>
      </w:r>
      <w:r>
        <w:rPr>
          <w:rFonts w:ascii="Times New Roman" w:hAnsi="Times New Roman" w:eastAsia="宋体" w:cs="Times New Roman"/>
          <w:color w:val="0070C0"/>
          <w:sz w:val="24"/>
        </w:rPr>
        <w:t>Vermeesch, 2013; Wissink et al., 2018</w:t>
      </w:r>
      <w:r>
        <w:rPr>
          <w:rFonts w:ascii="Times New Roman" w:hAnsi="Times New Roman" w:eastAsia="宋体" w:cs="Times New Roman"/>
          <w:sz w:val="24"/>
        </w:rPr>
        <w:t>).</w:t>
      </w:r>
    </w:p>
    <w:p w14:paraId="11F4F1E8">
      <w:pPr>
        <w:spacing w:line="480" w:lineRule="auto"/>
        <w:ind w:firstLine="240" w:firstLineChars="100"/>
        <w:rPr>
          <w:rFonts w:ascii="Times New Roman" w:hAnsi="Times New Roman" w:eastAsia="宋体" w:cs="Times New Roman"/>
          <w:bCs/>
          <w:sz w:val="24"/>
        </w:rPr>
      </w:pPr>
      <w:r>
        <w:rPr>
          <w:rFonts w:ascii="Times New Roman" w:hAnsi="Times New Roman" w:eastAsia="宋体" w:cs="Times New Roman"/>
          <w:bCs/>
          <w:sz w:val="24"/>
        </w:rPr>
        <w:t xml:space="preserve">The Likeness is a quantification analysis of similarity (difference) based on the age spectra, and it is the </w:t>
      </w:r>
      <w:r>
        <w:rPr>
          <w:rFonts w:ascii="Times New Roman" w:hAnsi="Times New Roman" w:eastAsia="宋体" w:cs="Times New Roman"/>
          <w:sz w:val="24"/>
        </w:rPr>
        <w:t>complement</w:t>
      </w:r>
      <w:r>
        <w:rPr>
          <w:rFonts w:ascii="Times New Roman" w:hAnsi="Times New Roman" w:eastAsia="宋体" w:cs="Times New Roman"/>
          <w:bCs/>
          <w:sz w:val="24"/>
        </w:rPr>
        <w:t xml:space="preserve"> of the degree of mismatch (M) in the sample age spectra space (</w:t>
      </w:r>
      <w:r>
        <w:rPr>
          <w:rFonts w:ascii="Times New Roman" w:hAnsi="Times New Roman" w:eastAsia="宋体" w:cs="Times New Roman"/>
          <w:bCs/>
          <w:color w:val="0070C0"/>
          <w:sz w:val="24"/>
        </w:rPr>
        <w:t xml:space="preserve">Satkoski </w:t>
      </w:r>
      <w:r>
        <w:rPr>
          <w:rFonts w:ascii="Times New Roman" w:hAnsi="Times New Roman" w:eastAsia="宋体" w:cs="Times New Roman"/>
          <w:i/>
          <w:iCs/>
          <w:color w:val="0070C0"/>
          <w:sz w:val="24"/>
        </w:rPr>
        <w:t>et al.</w:t>
      </w:r>
      <w:r>
        <w:rPr>
          <w:rFonts w:ascii="Times New Roman" w:hAnsi="Times New Roman" w:eastAsia="宋体" w:cs="Times New Roman"/>
          <w:bCs/>
          <w:color w:val="0070C0"/>
          <w:sz w:val="24"/>
        </w:rPr>
        <w:t xml:space="preserve"> 2013</w:t>
      </w:r>
      <w:r>
        <w:rPr>
          <w:rFonts w:ascii="Times New Roman" w:hAnsi="Times New Roman" w:eastAsia="宋体" w:cs="Times New Roman"/>
          <w:bCs/>
          <w:sz w:val="24"/>
        </w:rPr>
        <w:t>).</w:t>
      </w:r>
    </w:p>
    <w:p w14:paraId="7CF10115">
      <w:pPr>
        <w:spacing w:line="360" w:lineRule="auto"/>
        <w:ind w:firstLine="480" w:firstLineChars="200"/>
        <w:rPr>
          <w:rFonts w:ascii="Times New Roman" w:hAnsi="Times New Roman" w:eastAsia="宋体" w:cs="Times New Roman"/>
          <w:bCs/>
          <w:sz w:val="24"/>
        </w:rPr>
      </w:pPr>
      <m:oMathPara>
        <m:oMath>
          <w:bookmarkStart w:id="6" w:name="_Hlk168828816"/>
          <m:r>
            <m:rPr/>
            <w:rPr>
              <w:rFonts w:ascii="Cambria Math" w:hAnsi="Cambria Math" w:eastAsia="宋体" w:cs="Times New Roman"/>
              <w:sz w:val="24"/>
            </w:rPr>
            <m:t>M</m:t>
          </m:r>
          <m:r>
            <m:rPr>
              <m:sty m:val="p"/>
            </m:rPr>
            <w:rPr>
              <w:rFonts w:ascii="Cambria Math" w:hAnsi="Cambria Math" w:eastAsia="宋体" w:cs="Times New Roman"/>
              <w:sz w:val="24"/>
            </w:rPr>
            <m:t>=</m:t>
          </m:r>
          <m:d>
            <m:dPr>
              <m:ctrlPr>
                <w:rPr>
                  <w:rFonts w:ascii="Cambria Math" w:hAnsi="Cambria Math" w:eastAsia="宋体" w:cs="Times New Roman"/>
                  <w:bCs/>
                  <w:sz w:val="24"/>
                </w:rPr>
              </m:ctrlPr>
            </m:dPr>
            <m:e>
              <m:nary>
                <m:naryPr>
                  <m:chr m:val="∑"/>
                  <m:grow m:val="1"/>
                  <m:limLoc m:val="subSup"/>
                  <m:ctrlPr>
                    <w:rPr>
                      <w:rFonts w:ascii="Cambria Math" w:hAnsi="Cambria Math" w:eastAsia="宋体" w:cs="Times New Roman"/>
                      <w:bCs/>
                      <w:sz w:val="24"/>
                    </w:rPr>
                  </m:ctrlPr>
                </m:naryPr>
                <m:sub>
                  <m:r>
                    <m:rPr/>
                    <w:rPr>
                      <w:rFonts w:ascii="Cambria Math" w:hAnsi="Cambria Math" w:eastAsia="宋体" w:cs="Times New Roman"/>
                      <w:sz w:val="24"/>
                    </w:rPr>
                    <m:t>i</m:t>
                  </m:r>
                  <m:r>
                    <m:rPr>
                      <m:sty m:val="p"/>
                    </m:rPr>
                    <w:rPr>
                      <w:rFonts w:ascii="Cambria Math" w:hAnsi="Cambria Math" w:eastAsia="宋体" w:cs="Times New Roman"/>
                      <w:sz w:val="24"/>
                    </w:rPr>
                    <m:t>=1</m:t>
                  </m:r>
                  <m:ctrlPr>
                    <w:rPr>
                      <w:rFonts w:ascii="Cambria Math" w:hAnsi="Cambria Math" w:eastAsia="宋体" w:cs="Times New Roman"/>
                      <w:bCs/>
                      <w:sz w:val="24"/>
                    </w:rPr>
                  </m:ctrlPr>
                </m:sub>
                <m:sup>
                  <m:r>
                    <m:rPr/>
                    <w:rPr>
                      <w:rFonts w:ascii="Cambria Math" w:hAnsi="Cambria Math" w:eastAsia="宋体" w:cs="Times New Roman"/>
                      <w:sz w:val="24"/>
                    </w:rPr>
                    <m:t>i</m:t>
                  </m:r>
                  <m:r>
                    <m:rPr>
                      <m:sty m:val="p"/>
                    </m:rPr>
                    <w:rPr>
                      <w:rFonts w:ascii="Cambria Math" w:hAnsi="Cambria Math" w:eastAsia="宋体" w:cs="Times New Roman"/>
                      <w:sz w:val="24"/>
                    </w:rPr>
                    <m:t>=</m:t>
                  </m:r>
                  <m:r>
                    <m:rPr/>
                    <w:rPr>
                      <w:rFonts w:ascii="Cambria Math" w:hAnsi="Cambria Math" w:eastAsia="宋体" w:cs="Times New Roman"/>
                      <w:sz w:val="24"/>
                    </w:rPr>
                    <m:t>n</m:t>
                  </m:r>
                  <m:ctrlPr>
                    <w:rPr>
                      <w:rFonts w:ascii="Cambria Math" w:hAnsi="Cambria Math" w:eastAsia="宋体" w:cs="Times New Roman"/>
                      <w:bCs/>
                      <w:sz w:val="24"/>
                    </w:rPr>
                  </m:ctrlPr>
                </m:sup>
                <m:e>
                  <m:d>
                    <m:dPr>
                      <m:begChr m:val="|"/>
                      <m:endChr m:val="|"/>
                      <m:ctrlPr>
                        <w:rPr>
                          <w:rFonts w:ascii="Cambria Math" w:hAnsi="Cambria Math" w:eastAsia="宋体" w:cs="Times New Roman"/>
                          <w:bCs/>
                          <w:sz w:val="24"/>
                        </w:rPr>
                      </m:ctrlPr>
                    </m:dPr>
                    <m:e>
                      <m:r>
                        <m:rPr/>
                        <w:rPr>
                          <w:rFonts w:ascii="Cambria Math" w:hAnsi="Cambria Math" w:eastAsia="宋体" w:cs="Times New Roman"/>
                          <w:sz w:val="24"/>
                        </w:rPr>
                        <m:t>f</m:t>
                      </m:r>
                      <m:d>
                        <m:dPr>
                          <m:ctrlPr>
                            <w:rPr>
                              <w:rFonts w:ascii="Cambria Math" w:hAnsi="Cambria Math" w:eastAsia="宋体" w:cs="Times New Roman"/>
                              <w:bCs/>
                              <w:sz w:val="24"/>
                            </w:rPr>
                          </m:ctrlPr>
                        </m:dPr>
                        <m:e>
                          <m:r>
                            <m:rPr/>
                            <w:rPr>
                              <w:rFonts w:ascii="Cambria Math" w:hAnsi="Cambria Math" w:eastAsia="宋体" w:cs="Times New Roman"/>
                              <w:sz w:val="24"/>
                            </w:rPr>
                            <m:t>i</m:t>
                          </m:r>
                          <m:ctrlPr>
                            <w:rPr>
                              <w:rFonts w:ascii="Cambria Math" w:hAnsi="Cambria Math" w:eastAsia="宋体" w:cs="Times New Roman"/>
                              <w:bCs/>
                              <w:sz w:val="24"/>
                            </w:rPr>
                          </m:ctrlPr>
                        </m:e>
                      </m:d>
                      <m:r>
                        <m:rPr>
                          <m:sty m:val="p"/>
                        </m:rPr>
                        <w:rPr>
                          <w:rFonts w:ascii="Cambria Math" w:hAnsi="Cambria Math" w:eastAsia="宋体" w:cs="Times New Roman"/>
                          <w:sz w:val="24"/>
                        </w:rPr>
                        <m:t>−</m:t>
                      </m:r>
                      <m:r>
                        <m:rPr/>
                        <w:rPr>
                          <w:rFonts w:ascii="Cambria Math" w:hAnsi="Cambria Math" w:eastAsia="宋体" w:cs="Times New Roman"/>
                          <w:sz w:val="24"/>
                        </w:rPr>
                        <m:t>g</m:t>
                      </m:r>
                      <m:d>
                        <m:dPr>
                          <m:ctrlPr>
                            <w:rPr>
                              <w:rFonts w:ascii="Cambria Math" w:hAnsi="Cambria Math" w:eastAsia="宋体" w:cs="Times New Roman"/>
                              <w:bCs/>
                              <w:sz w:val="24"/>
                            </w:rPr>
                          </m:ctrlPr>
                        </m:dPr>
                        <m:e>
                          <m:r>
                            <m:rPr/>
                            <w:rPr>
                              <w:rFonts w:ascii="Cambria Math" w:hAnsi="Cambria Math" w:eastAsia="宋体" w:cs="Times New Roman"/>
                              <w:sz w:val="24"/>
                            </w:rPr>
                            <m:t>i</m:t>
                          </m:r>
                          <m:ctrlPr>
                            <w:rPr>
                              <w:rFonts w:ascii="Cambria Math" w:hAnsi="Cambria Math" w:eastAsia="宋体" w:cs="Times New Roman"/>
                              <w:bCs/>
                              <w:sz w:val="24"/>
                            </w:rPr>
                          </m:ctrlPr>
                        </m:e>
                      </m:d>
                      <m:ctrlPr>
                        <w:rPr>
                          <w:rFonts w:ascii="Cambria Math" w:hAnsi="Cambria Math" w:eastAsia="宋体" w:cs="Times New Roman"/>
                          <w:bCs/>
                          <w:sz w:val="24"/>
                        </w:rPr>
                      </m:ctrlPr>
                    </m:e>
                  </m:d>
                  <m:ctrlPr>
                    <w:rPr>
                      <w:rFonts w:ascii="Cambria Math" w:hAnsi="Cambria Math" w:eastAsia="宋体" w:cs="Times New Roman"/>
                      <w:bCs/>
                      <w:sz w:val="24"/>
                    </w:rPr>
                  </m:ctrlPr>
                </m:e>
              </m:nary>
              <m:ctrlPr>
                <w:rPr>
                  <w:rFonts w:ascii="Cambria Math" w:hAnsi="Cambria Math" w:eastAsia="宋体" w:cs="Times New Roman"/>
                  <w:bCs/>
                  <w:sz w:val="24"/>
                </w:rPr>
              </m:ctrlPr>
            </m:e>
          </m:d>
          <m:r>
            <m:rPr>
              <m:sty m:val="p"/>
            </m:rPr>
            <w:rPr>
              <w:rFonts w:ascii="Cambria Math" w:hAnsi="Cambria Math" w:eastAsia="宋体" w:cs="Times New Roman"/>
              <w:sz w:val="24"/>
            </w:rPr>
            <m:t>∕2</m:t>
          </m:r>
        </m:oMath>
      </m:oMathPara>
      <w:bookmarkEnd w:id="6"/>
    </w:p>
    <w:p w14:paraId="44C37E7C">
      <w:pPr>
        <w:spacing w:line="480" w:lineRule="auto"/>
        <w:ind w:firstLine="240" w:firstLineChars="100"/>
        <w:rPr>
          <w:rFonts w:ascii="Times New Roman" w:hAnsi="Times New Roman" w:eastAsia="宋体" w:cs="Times New Roman"/>
          <w:bCs/>
          <w:sz w:val="24"/>
        </w:rPr>
      </w:pPr>
      <w:r>
        <w:rPr>
          <w:rFonts w:ascii="Times New Roman" w:hAnsi="Times New Roman" w:eastAsia="宋体" w:cs="Times New Roman"/>
          <w:bCs/>
          <w:sz w:val="24"/>
        </w:rPr>
        <w:t>Where f(i) and g(i) are the Probability Density Plots (PDP) or Kernel Density Estimates (KDE) age spectra of the two samples, respectively, and n is the study interval. Likeness (L) is calculated as follows:</w:t>
      </w:r>
    </w:p>
    <w:p w14:paraId="1AD83EA1">
      <w:pPr>
        <w:spacing w:line="360" w:lineRule="auto"/>
        <w:ind w:firstLine="480" w:firstLineChars="200"/>
        <w:rPr>
          <w:rFonts w:ascii="Times New Roman" w:hAnsi="Times New Roman" w:eastAsia="宋体" w:cs="Times New Roman"/>
          <w:sz w:val="24"/>
        </w:rPr>
      </w:pPr>
      <m:oMathPara>
        <m:oMath>
          <w:bookmarkStart w:id="7" w:name="_Hlk168829386"/>
          <m:r>
            <m:rPr/>
            <w:rPr>
              <w:rFonts w:ascii="Cambria Math" w:hAnsi="Cambria Math" w:eastAsia="宋体" w:cs="Times New Roman"/>
              <w:sz w:val="24"/>
            </w:rPr>
            <m:t>L =1− M</m:t>
          </m:r>
        </m:oMath>
      </m:oMathPara>
      <w:bookmarkEnd w:id="7"/>
    </w:p>
    <w:p w14:paraId="74E76952">
      <w:pPr>
        <w:spacing w:line="360" w:lineRule="auto"/>
        <w:ind w:firstLine="480" w:firstLineChars="200"/>
        <w:rPr>
          <w:rFonts w:ascii="Times New Roman" w:hAnsi="Times New Roman" w:eastAsia="宋体" w:cs="Times New Roman"/>
          <w:sz w:val="24"/>
        </w:rPr>
      </w:pPr>
    </w:p>
    <w:p w14:paraId="6CC06FE3">
      <w:pPr>
        <w:pStyle w:val="10"/>
        <w:spacing w:before="156" w:beforeLines="50" w:after="156" w:afterLines="50" w:line="360" w:lineRule="auto"/>
        <w:ind w:firstLine="0"/>
        <w:rPr>
          <w:b/>
          <w:i/>
          <w:szCs w:val="24"/>
        </w:rPr>
      </w:pPr>
      <w:r>
        <w:rPr>
          <w:b/>
          <w:i/>
          <w:szCs w:val="24"/>
        </w:rPr>
        <w:t>Zircon CL Images and Th/U Ratios</w:t>
      </w:r>
    </w:p>
    <w:p w14:paraId="2D915678">
      <w:pPr>
        <w:spacing w:line="480" w:lineRule="auto"/>
        <w:ind w:firstLine="240" w:firstLineChars="100"/>
        <w:rPr>
          <w:rFonts w:ascii="Times New Roman" w:hAnsi="Times New Roman" w:cs="Times New Roman"/>
          <w:b/>
          <w:i/>
        </w:rPr>
      </w:pPr>
      <w:r>
        <w:rPr>
          <w:rFonts w:ascii="Times New Roman" w:hAnsi="Times New Roman" w:eastAsia="宋体" w:cs="Times New Roman"/>
          <w:bCs/>
          <w:sz w:val="24"/>
        </w:rPr>
        <w:t>The zircon crystals in the samples of this study are 75-125 μm in diameter, with sub-angular to sub-rounded shapes, and idiomorphic-hypidiomorhic, transparent, prismatic or granular textures, and have length-width ratios of 1.5:1 to 3:1 (</w:t>
      </w:r>
      <w:r>
        <w:rPr>
          <w:rFonts w:ascii="Times New Roman" w:hAnsi="Times New Roman" w:eastAsia="宋体" w:cs="Times New Roman"/>
          <w:color w:val="FF0000"/>
          <w:sz w:val="24"/>
        </w:rPr>
        <w:t>Fig. S</w:t>
      </w:r>
      <w:r>
        <w:rPr>
          <w:rFonts w:hint="eastAsia" w:ascii="Times New Roman" w:hAnsi="Times New Roman" w:eastAsia="宋体" w:cs="Times New Roman"/>
          <w:color w:val="FF0000"/>
          <w:sz w:val="24"/>
        </w:rPr>
        <w:t>2</w:t>
      </w:r>
      <w:r>
        <w:rPr>
          <w:rFonts w:ascii="Times New Roman" w:hAnsi="Times New Roman" w:eastAsia="宋体" w:cs="Times New Roman"/>
          <w:bCs/>
          <w:sz w:val="24"/>
        </w:rPr>
        <w:t>). Most zircon grains show obvious oscillatory growth zoning in CL images. Some zircon particles are incomplete and may be damaged during transport.</w:t>
      </w:r>
      <w:r>
        <w:rPr>
          <w:rFonts w:ascii="Times New Roman" w:hAnsi="Times New Roman" w:cs="Times New Roman"/>
          <w:sz w:val="24"/>
        </w:rPr>
        <w:t xml:space="preserve"> </w:t>
      </w:r>
      <w:r>
        <w:rPr>
          <w:rFonts w:ascii="Times New Roman" w:hAnsi="Times New Roman" w:eastAsia="宋体" w:cs="Times New Roman"/>
          <w:bCs/>
          <w:sz w:val="24"/>
        </w:rPr>
        <w:t>In addition, only eight zircons have Th/U values less than 0.1, and most of them have Th/U values greater than 0.1, which indicates that the zircons are basically magmatic origin.</w:t>
      </w:r>
    </w:p>
    <w:p w14:paraId="3BAF0EF0">
      <w:pPr>
        <w:pStyle w:val="10"/>
        <w:spacing w:before="156" w:beforeLines="50" w:after="156" w:afterLines="50" w:line="360" w:lineRule="auto"/>
        <w:ind w:firstLine="0"/>
        <w:rPr>
          <w:b/>
          <w:i/>
          <w:szCs w:val="24"/>
        </w:rPr>
      </w:pPr>
    </w:p>
    <w:p w14:paraId="45DCE2C1">
      <w:pPr>
        <w:pStyle w:val="10"/>
        <w:spacing w:before="156" w:beforeLines="50" w:after="156" w:afterLines="50" w:line="360" w:lineRule="auto"/>
        <w:ind w:firstLine="0"/>
        <w:rPr>
          <w:b/>
          <w:i/>
          <w:szCs w:val="24"/>
        </w:rPr>
      </w:pPr>
      <w:r>
        <w:rPr>
          <w:b/>
          <w:i/>
          <w:szCs w:val="24"/>
        </w:rPr>
        <w:t>Zircon U-Pb ages</w:t>
      </w:r>
    </w:p>
    <w:p w14:paraId="45F3F096">
      <w:pPr>
        <w:spacing w:line="480" w:lineRule="auto"/>
        <w:ind w:firstLine="241" w:firstLineChars="100"/>
        <w:rPr>
          <w:rFonts w:ascii="Times New Roman" w:hAnsi="Times New Roman" w:cs="Times New Roman"/>
          <w:b/>
          <w:i/>
        </w:rPr>
      </w:pPr>
      <w:r>
        <w:rPr>
          <w:rFonts w:ascii="Times New Roman" w:hAnsi="Times New Roman" w:eastAsia="宋体" w:cs="Times New Roman"/>
          <w:b/>
          <w:sz w:val="24"/>
        </w:rPr>
        <w:t xml:space="preserve">Tiaoxingshan </w:t>
      </w:r>
      <w:r>
        <w:rPr>
          <w:rFonts w:ascii="Times New Roman" w:hAnsi="Times New Roman" w:cs="Times New Roman"/>
          <w:b/>
          <w:bCs/>
          <w:sz w:val="24"/>
        </w:rPr>
        <w:t>section</w:t>
      </w:r>
      <w:r>
        <w:rPr>
          <w:rFonts w:ascii="Times New Roman" w:hAnsi="Times New Roman" w:eastAsia="宋体" w:cs="Times New Roman"/>
          <w:b/>
          <w:sz w:val="24"/>
        </w:rPr>
        <w:t xml:space="preserve"> sandstone (X2314 and X2326)</w:t>
      </w:r>
    </w:p>
    <w:p w14:paraId="7FED22F2">
      <w:pPr>
        <w:spacing w:line="480" w:lineRule="auto"/>
        <w:ind w:firstLine="240" w:firstLineChars="100"/>
        <w:rPr>
          <w:rFonts w:ascii="Times New Roman" w:hAnsi="Times New Roman" w:eastAsia="宋体" w:cs="Times New Roman"/>
          <w:bCs/>
          <w:sz w:val="24"/>
        </w:rPr>
      </w:pPr>
      <w:r>
        <w:rPr>
          <w:rFonts w:ascii="Times New Roman" w:hAnsi="Times New Roman" w:eastAsia="宋体" w:cs="Times New Roman"/>
          <w:bCs/>
          <w:sz w:val="24"/>
        </w:rPr>
        <w:t>Eighty detrital zircon grains from each of the four samples were selected for LA-ICP-MS analysis, yielding a total of 320 data (</w:t>
      </w:r>
      <w:r>
        <w:rPr>
          <w:rFonts w:ascii="Times New Roman" w:hAnsi="Times New Roman" w:eastAsia="宋体" w:cs="Times New Roman"/>
          <w:bCs/>
          <w:color w:val="FF0000"/>
          <w:sz w:val="24"/>
        </w:rPr>
        <w:t>Table S3</w:t>
      </w:r>
      <w:r>
        <w:rPr>
          <w:rFonts w:ascii="Times New Roman" w:hAnsi="Times New Roman" w:eastAsia="宋体" w:cs="Times New Roman"/>
          <w:bCs/>
          <w:sz w:val="24"/>
        </w:rPr>
        <w:t>).</w:t>
      </w:r>
    </w:p>
    <w:p w14:paraId="4762A289">
      <w:pPr>
        <w:spacing w:line="480" w:lineRule="auto"/>
        <w:ind w:firstLine="240" w:firstLineChars="100"/>
        <w:rPr>
          <w:rFonts w:ascii="Times New Roman" w:hAnsi="Times New Roman" w:eastAsia="宋体" w:cs="Times New Roman"/>
          <w:bCs/>
          <w:sz w:val="24"/>
        </w:rPr>
      </w:pPr>
      <w:r>
        <w:rPr>
          <w:rFonts w:ascii="Times New Roman" w:hAnsi="Times New Roman" w:eastAsia="宋体" w:cs="Times New Roman"/>
          <w:bCs/>
          <w:sz w:val="24"/>
        </w:rPr>
        <w:t>Twenty data with age harmonies &lt;90% or &gt;110% were removed, yielding a total of 300 valid age data. 206Pb/238U was used as the best age for zircons with ages &lt;1000 Ma, and 207Pb/206Pb was used for zircons with ages &gt;1000 Ma, and the age distribution of detrital zircons in the samples was obtained (</w:t>
      </w:r>
      <w:r>
        <w:rPr>
          <w:rFonts w:ascii="Times New Roman" w:hAnsi="Times New Roman" w:eastAsia="宋体" w:cs="Times New Roman"/>
          <w:bCs/>
          <w:color w:val="FF0000"/>
          <w:sz w:val="24"/>
        </w:rPr>
        <w:t>Fig. 4</w:t>
      </w:r>
      <w:r>
        <w:rPr>
          <w:rFonts w:ascii="Times New Roman" w:hAnsi="Times New Roman" w:eastAsia="宋体" w:cs="Times New Roman"/>
          <w:bCs/>
          <w:sz w:val="24"/>
        </w:rPr>
        <w:t>).</w:t>
      </w:r>
    </w:p>
    <w:p w14:paraId="2E024F17">
      <w:pPr>
        <w:spacing w:line="480" w:lineRule="auto"/>
        <w:ind w:firstLine="240" w:firstLineChars="100"/>
        <w:rPr>
          <w:rFonts w:ascii="Times New Roman" w:hAnsi="Times New Roman" w:eastAsia="宋体" w:cs="Times New Roman"/>
          <w:bCs/>
          <w:sz w:val="24"/>
        </w:rPr>
      </w:pPr>
      <w:r>
        <w:rPr>
          <w:rFonts w:ascii="Times New Roman" w:hAnsi="Times New Roman" w:eastAsia="宋体" w:cs="Times New Roman"/>
          <w:bCs/>
          <w:sz w:val="24"/>
        </w:rPr>
        <w:t>Eighty valid ages were obtained for sample X2314 with 80 zircon ages harmonized between 90-110%. The zircon ages range from 247-2584 Ma, with a major age peak at 254 Ma and minor age peaks at 465 Ma and 1896 Ma. 71 of the 80 zircon ages of sample X2326 harmonize between 90-110%, and 9 ages were removed due to inconsistencies, yielding 71 valid ages. Zircon ages range from 247-2695 Ma, with a major age peak at 251 Ma with minor age peaks at 413 Ma, 1410 Ma, and 1713 Ma.</w:t>
      </w:r>
    </w:p>
    <w:p w14:paraId="29A0FFB8">
      <w:pPr>
        <w:ind w:firstLine="420" w:firstLineChars="200"/>
        <w:rPr>
          <w:rFonts w:ascii="Times New Roman" w:hAnsi="Times New Roman" w:cs="Times New Roman"/>
        </w:rPr>
      </w:pPr>
    </w:p>
    <w:p w14:paraId="1D30C862">
      <w:pPr>
        <w:spacing w:line="480" w:lineRule="auto"/>
        <w:ind w:firstLine="241" w:firstLineChars="100"/>
        <w:rPr>
          <w:rFonts w:ascii="Times New Roman" w:hAnsi="Times New Roman" w:cs="Times New Roman"/>
        </w:rPr>
      </w:pPr>
      <w:r>
        <w:rPr>
          <w:rFonts w:ascii="Times New Roman" w:hAnsi="Times New Roman" w:eastAsia="宋体" w:cs="Times New Roman"/>
          <w:b/>
          <w:sz w:val="24"/>
        </w:rPr>
        <w:t xml:space="preserve">South-Niushanliang </w:t>
      </w:r>
      <w:r>
        <w:rPr>
          <w:rFonts w:ascii="Times New Roman" w:hAnsi="Times New Roman" w:cs="Times New Roman"/>
          <w:b/>
          <w:bCs/>
          <w:sz w:val="24"/>
        </w:rPr>
        <w:t>section</w:t>
      </w:r>
      <w:r>
        <w:rPr>
          <w:rFonts w:ascii="Times New Roman" w:hAnsi="Times New Roman" w:eastAsia="宋体" w:cs="Times New Roman"/>
          <w:b/>
          <w:sz w:val="24"/>
        </w:rPr>
        <w:t xml:space="preserve"> sandstone (RP2314 and RP2329)</w:t>
      </w:r>
    </w:p>
    <w:p w14:paraId="2D2CC1BB">
      <w:pPr>
        <w:spacing w:line="480" w:lineRule="auto"/>
        <w:ind w:firstLine="240" w:firstLineChars="100"/>
        <w:rPr>
          <w:rFonts w:ascii="Times New Roman" w:hAnsi="Times New Roman" w:cs="Times New Roman"/>
          <w:sz w:val="24"/>
        </w:rPr>
      </w:pPr>
      <w:r>
        <w:rPr>
          <w:rFonts w:ascii="Times New Roman" w:hAnsi="Times New Roman" w:cs="Times New Roman"/>
          <w:sz w:val="24"/>
        </w:rPr>
        <w:t xml:space="preserve">Seventy-four of the 80 zircon age harmonies for sample RP2314 range from 90-110%, and six ages were </w:t>
      </w:r>
      <w:r>
        <w:rPr>
          <w:rFonts w:ascii="Times New Roman" w:hAnsi="Times New Roman" w:eastAsia="宋体" w:cs="Times New Roman"/>
          <w:bCs/>
          <w:sz w:val="24"/>
        </w:rPr>
        <w:t>removed</w:t>
      </w:r>
      <w:r>
        <w:rPr>
          <w:rFonts w:ascii="Times New Roman" w:hAnsi="Times New Roman" w:cs="Times New Roman"/>
          <w:sz w:val="24"/>
        </w:rPr>
        <w:t xml:space="preserve"> due to inconsistencies.</w:t>
      </w:r>
    </w:p>
    <w:p w14:paraId="2910F2F5">
      <w:pPr>
        <w:spacing w:line="480" w:lineRule="auto"/>
        <w:ind w:firstLine="240" w:firstLineChars="100"/>
        <w:rPr>
          <w:rFonts w:ascii="Times New Roman" w:hAnsi="Times New Roman" w:cs="Times New Roman"/>
          <w:sz w:val="24"/>
        </w:rPr>
      </w:pPr>
      <w:r>
        <w:rPr>
          <w:rFonts w:ascii="Times New Roman" w:hAnsi="Times New Roman" w:cs="Times New Roman"/>
          <w:sz w:val="24"/>
        </w:rPr>
        <w:t xml:space="preserve">Seventy-four valid ages were obtained with zircon ages ranging from 248-2407 Ma, with a major age peak at 252 Ma and a minor age peak at 448 Ma, with distributions at ages of 1000 Ma and 1700 Ma. Seventy-five of the 80 zircon age harmonies for sample RP2329 ranged from 90-110%, and five ages were deleted due to inconsistencies. Seventy-five valid ages were obtained with zircon ages ranging from 248-2422 Ma, with a major age peak at 254 Ma and a minor age peak at 432 Ma, with distributions at </w:t>
      </w:r>
      <w:r>
        <w:rPr>
          <w:rFonts w:ascii="Times New Roman" w:hAnsi="Times New Roman" w:eastAsia="宋体" w:cs="Times New Roman"/>
          <w:bCs/>
          <w:sz w:val="24"/>
        </w:rPr>
        <w:t>ages</w:t>
      </w:r>
      <w:r>
        <w:rPr>
          <w:rFonts w:ascii="Times New Roman" w:hAnsi="Times New Roman" w:cs="Times New Roman"/>
          <w:sz w:val="24"/>
        </w:rPr>
        <w:t xml:space="preserve"> 600 Ma, 1000 Ma, and 1700 Ma. Among the four samples, X2314, X2326 and RP2314 are from the second section of the Lower Triassic Hardwater Spring Formation, and RP2329 is from the first section of the Lower Triassic Hardwater Spring Formation and has a different age distribution from the other three samples. This difference is mainly characterized by an increase in the 400-500 Ma age composition.</w:t>
      </w:r>
    </w:p>
    <w:p w14:paraId="0A457A8C">
      <w:pPr>
        <w:ind w:firstLine="420" w:firstLineChars="200"/>
        <w:rPr>
          <w:rFonts w:ascii="Times New Roman" w:hAnsi="Times New Roman" w:cs="Times New Roman"/>
        </w:rPr>
      </w:pPr>
    </w:p>
    <w:p w14:paraId="39C3C3FF">
      <w:pPr>
        <w:pStyle w:val="10"/>
        <w:spacing w:before="156" w:beforeLines="50" w:after="156" w:afterLines="50"/>
        <w:ind w:firstLine="0"/>
        <w:rPr>
          <w:b/>
          <w:iCs/>
          <w:sz w:val="28"/>
          <w:szCs w:val="28"/>
          <w:lang w:eastAsia="zh-CN"/>
        </w:rPr>
      </w:pPr>
      <w:r>
        <w:rPr>
          <w:b/>
          <w:iCs/>
          <w:sz w:val="28"/>
          <w:szCs w:val="28"/>
          <w:lang w:eastAsia="zh-CN"/>
        </w:rPr>
        <w:t>Text S3 Geochronological age constraints for research samples </w:t>
      </w:r>
    </w:p>
    <w:p w14:paraId="2BB1B577">
      <w:pPr>
        <w:spacing w:line="480" w:lineRule="auto"/>
        <w:ind w:firstLine="240" w:firstLineChars="100"/>
        <w:rPr>
          <w:rFonts w:ascii="Times New Roman" w:hAnsi="Times New Roman" w:cs="Times New Roman"/>
          <w:sz w:val="24"/>
        </w:rPr>
      </w:pPr>
      <w:r>
        <w:rPr>
          <w:rFonts w:ascii="Times New Roman" w:hAnsi="Times New Roman" w:cs="Times New Roman"/>
          <w:sz w:val="24"/>
        </w:rPr>
        <w:t>The following quantitative methods for U-Pb dating studies are widely used to determine the age of the youngest detrital zircon: 1. YSG, the age of the single youngest detrital zircon in the sample; 2. YPP, the smallest peak age in the peak age distribution curve; 3. YDZ, a subset of the smallest detrital zircon ages obtained from the entire detrital zircon population using Monte Carlo analysis; 4.YC1σ, the weighted mean age of the smallest age group with an error value of 1σ; 5. YC2σ, the weighted mean age of the smallest age group with an error value of 2σ.</w:t>
      </w:r>
    </w:p>
    <w:p w14:paraId="5D6C7BF0">
      <w:pPr>
        <w:spacing w:line="480" w:lineRule="auto"/>
        <w:ind w:firstLine="240" w:firstLineChars="100"/>
        <w:rPr>
          <w:rFonts w:hint="eastAsia" w:ascii="Times New Roman" w:hAnsi="Times New Roman" w:cs="Times New Roman"/>
          <w:sz w:val="24"/>
        </w:rPr>
      </w:pPr>
      <w:r>
        <w:rPr>
          <w:rFonts w:ascii="Times New Roman" w:hAnsi="Times New Roman" w:cs="Times New Roman"/>
          <w:sz w:val="24"/>
        </w:rPr>
        <w:t>Due to the similarity of the four samples in this paper (</w:t>
      </w:r>
      <w:r>
        <w:rPr>
          <w:rFonts w:ascii="Times New Roman" w:hAnsi="Times New Roman" w:cs="Times New Roman"/>
          <w:color w:val="FF0000"/>
          <w:sz w:val="24"/>
        </w:rPr>
        <w:t>Fig. S3</w:t>
      </w:r>
      <w:r>
        <w:rPr>
          <w:rFonts w:ascii="Times New Roman" w:hAnsi="Times New Roman" w:cs="Times New Roman"/>
          <w:sz w:val="24"/>
        </w:rPr>
        <w:t>) and the concentration of young zircons, the YC1σ method was used to determine the maximum depositional age of the study stratigraphy.The YC1σ age of sample X2314 is 249.3 ± 4.2 Ma (MSWD = 0.062), the YC1σ age of sample X2326 is 249.0 ± 4.2 Ma (MSWD = 0.047), sample RP2314 has a YC1σ age of 249.4 ± 3.6 Ma (MSWD = 0.019), and sample RP2329 has a YC1σ age of 249.7 ± 6.6 Ma (MSWD = 0.089). Therefore, the detrital zircon U-Pb age data indicate that the maximum depositional timeframe for the Hardwater Springs Formation is Early Triassic.</w:t>
      </w:r>
    </w:p>
    <w:p w14:paraId="75492A7B">
      <w:pPr>
        <w:rPr>
          <w:rFonts w:hint="eastAsia" w:ascii="Times New Roman" w:hAnsi="Times New Roman" w:cs="Times New Roman"/>
        </w:rPr>
      </w:pPr>
    </w:p>
    <w:p w14:paraId="12EFB1A3">
      <w:pPr>
        <w:pStyle w:val="10"/>
        <w:spacing w:before="156" w:beforeLines="50" w:after="156" w:afterLines="50"/>
        <w:ind w:firstLine="0"/>
        <w:rPr>
          <w:b/>
          <w:iCs/>
          <w:sz w:val="28"/>
          <w:szCs w:val="28"/>
          <w:lang w:eastAsia="zh-CN"/>
        </w:rPr>
      </w:pPr>
      <w:r>
        <w:rPr>
          <w:b/>
          <w:iCs/>
          <w:sz w:val="28"/>
          <w:szCs w:val="28"/>
          <w:lang w:eastAsia="zh-CN"/>
        </w:rPr>
        <w:t>Text S4 Zircon Fertility Factor-Based Content Adjustment</w:t>
      </w:r>
    </w:p>
    <w:p w14:paraId="41306473">
      <w:pPr>
        <w:spacing w:line="480" w:lineRule="auto"/>
        <w:ind w:firstLine="240" w:firstLineChars="100"/>
        <w:rPr>
          <w:rFonts w:ascii="Times New Roman" w:hAnsi="Times New Roman" w:cs="Times New Roman"/>
          <w:sz w:val="24"/>
        </w:rPr>
      </w:pPr>
      <w:r>
        <w:rPr>
          <w:rFonts w:ascii="Times New Roman" w:hAnsi="Times New Roman" w:cs="Times New Roman"/>
          <w:sz w:val="24"/>
        </w:rPr>
        <w:t>The zircon fertility factor the ability of a rock or rock mass to produce detrital zircon for a sedimentary system. It is mainly influenced by the saturation of zircon in the magma, the pH of the magma, and the crystallization temperature-pressure environment. Together, these factors control the crystallization process of zircon in the magma, which in turn affects zircon fertility factors. In general, granitic rocks have high zircon abundances, while basaltic and sedimentary rocks have low zircon abundances (</w:t>
      </w:r>
      <w:r>
        <w:rPr>
          <w:rFonts w:ascii="Times New Roman" w:hAnsi="Times New Roman" w:cs="Times New Roman"/>
          <w:color w:val="00B0F0"/>
          <w:sz w:val="24"/>
        </w:rPr>
        <w:t>Dickinson, 2008</w:t>
      </w:r>
      <w:r>
        <w:rPr>
          <w:rFonts w:ascii="Times New Roman" w:hAnsi="Times New Roman" w:cs="Times New Roman"/>
          <w:sz w:val="24"/>
        </w:rPr>
        <w:t>). A large number of detrital zircon studies have indicated that detrital zircons are basically derived from granitic rocks (</w:t>
      </w:r>
      <w:r>
        <w:rPr>
          <w:rFonts w:ascii="Times New Roman" w:hAnsi="Times New Roman" w:cs="Times New Roman"/>
          <w:color w:val="00B0F0"/>
          <w:sz w:val="24"/>
        </w:rPr>
        <w:t>Dickinson and Gehrels, 2003)</w:t>
      </w:r>
      <w:r>
        <w:rPr>
          <w:rFonts w:ascii="Times New Roman" w:hAnsi="Times New Roman" w:cs="Times New Roman"/>
          <w:sz w:val="24"/>
        </w:rPr>
        <w:t>. During deposition, the age distribution of detrital zircon in the basin often differs from the real situation due to differences in weathering of the host rock and differences in detrital transport paths. Therefore, by including a correction for zircon abundance in the parent rock mass in detrital zircon age analyses, the influence of depositional processes on the age results will be greatly reduced. In general, zircon abundance is constrained to the ability of granitic rocks to produce detrital zircon, with rocks with high zircon mineral content producing more detrital zircon. However, direct determination of the zircon mineral content in a rock mass is difficult because the zircon grain size is too small and the content too low. Therefore, based on the fact that zircon is predominantly enriched in zircon minerals in granites (</w:t>
      </w:r>
      <w:r>
        <w:rPr>
          <w:rFonts w:ascii="Times New Roman" w:hAnsi="Times New Roman" w:cs="Times New Roman"/>
          <w:color w:val="00B0F0"/>
          <w:sz w:val="24"/>
        </w:rPr>
        <w:t>Deer et al., 2013</w:t>
      </w:r>
      <w:r>
        <w:rPr>
          <w:rFonts w:ascii="Times New Roman" w:hAnsi="Times New Roman" w:cs="Times New Roman"/>
          <w:sz w:val="24"/>
        </w:rPr>
        <w:t>) and that the zircon volume fraction approximates the zircon mass fraction (Dickinson, 2008), this paper utilizes the mass percentage of zircon in granites to estimate the relative zircon content. This approach lies in reconciling the amount of detrital zircon of different ages in a single sample, making the correlation analysis more reasonable.</w:t>
      </w:r>
    </w:p>
    <w:p w14:paraId="733F12BF">
      <w:pPr>
        <w:spacing w:line="480" w:lineRule="auto"/>
        <w:ind w:firstLine="240" w:firstLineChars="100"/>
        <w:rPr>
          <w:rFonts w:ascii="Times New Roman" w:hAnsi="Times New Roman" w:cs="Times New Roman"/>
          <w:sz w:val="24"/>
        </w:rPr>
      </w:pPr>
      <w:r>
        <w:rPr>
          <w:rFonts w:ascii="Times New Roman" w:hAnsi="Times New Roman" w:cs="Times New Roman"/>
          <w:sz w:val="24"/>
        </w:rPr>
        <w:t>This study compiled geochemical and geochronological data from 626 granitoid rock samples reported over the past two decades in the Qiangtang Block (</w:t>
      </w:r>
      <w:r>
        <w:rPr>
          <w:rFonts w:ascii="Times New Roman" w:hAnsi="Times New Roman" w:cs="Times New Roman"/>
          <w:color w:val="FF0000"/>
          <w:sz w:val="24"/>
        </w:rPr>
        <w:t>Fig. 8</w:t>
      </w:r>
      <w:r>
        <w:rPr>
          <w:rFonts w:ascii="Times New Roman" w:hAnsi="Times New Roman" w:cs="Times New Roman"/>
          <w:sz w:val="24"/>
        </w:rPr>
        <w:t xml:space="preserve">). Given that zircon crystallization in granitoids typically correlates with tectonic events, zircon fertility factors are conventionally calculated based on tectonic event chronology. However, due to ongoing debates regarding the tectonic settings of certain periods in the Qiangtang Block (e.g., the timing of North Qiangtang’s separation from Gondwana and its multiple amalgamation events with the South Qiangtang Block), the dataset was classified into three groups according to granitoid emplacement ages: Middle-Late Paleozoic (485–443 Ma, 359–252 Ma), Triassic (252–201 Ma), and Middle-Late Mesozoic (174–99 Ma). All analytical tests were performed in key laboratories in China, ensuring consistency in analytical uncertainties. Notably, some datasets were identified as outliers due to elemental loss or excessive ablation during analysis, significantly deviating from group means. These outliers were excluded prior to calculating mean values and standard deviations. A boxplot method (Fig. 6) was employed to filter outliers, defined as values outside the range (0, Q1 – 1.5IQR) and (Q3 + 1.5IQR, +∞), where Q1 and Q3 represent the lower and upper quartiles, respectively, and IQR denotes the interquartile range (Q3 – Q1). Post-outlier removal statistics for Zr concentrations in each group are presented in </w:t>
      </w:r>
      <w:r>
        <w:rPr>
          <w:rFonts w:ascii="Times New Roman" w:hAnsi="Times New Roman" w:cs="Times New Roman"/>
          <w:color w:val="FF0000"/>
          <w:sz w:val="24"/>
        </w:rPr>
        <w:t>Table S4</w:t>
      </w:r>
      <w:r>
        <w:rPr>
          <w:rFonts w:ascii="Times New Roman" w:hAnsi="Times New Roman" w:cs="Times New Roman"/>
          <w:sz w:val="24"/>
        </w:rPr>
        <w:t>.</w:t>
      </w:r>
    </w:p>
    <w:p w14:paraId="55BF2F82">
      <w:pPr>
        <w:spacing w:line="480" w:lineRule="auto"/>
        <w:ind w:firstLine="240" w:firstLineChars="100"/>
        <w:rPr>
          <w:rFonts w:ascii="Times New Roman" w:hAnsi="Times New Roman" w:cs="Times New Roman"/>
          <w:sz w:val="24"/>
        </w:rPr>
      </w:pPr>
      <w:r>
        <w:rPr>
          <w:rFonts w:ascii="Times New Roman" w:hAnsi="Times New Roman" w:cs="Times New Roman"/>
          <w:sz w:val="24"/>
        </w:rPr>
        <w:t>Integrated calculations of the three groups yielded mean Zr contents of 178 ± 105 ppm (Group A), 167 ± 79 ppm (Group B), and 145 ± 98 ppm (Group C). Following Dickinson’s (2008) methodology for zircon fertility factor calculation in North America, Group C exhibited the highest Zr content, followed by Group A. Normalizing Group B’s zircon fertility factor to 1.0 (unit), Group A and C factors were determined as 1.07 and 0.87, respectively.</w:t>
      </w:r>
    </w:p>
    <w:p w14:paraId="3367D2F9">
      <w:pPr>
        <w:ind w:firstLine="420" w:firstLineChars="200"/>
        <w:rPr>
          <w:rFonts w:ascii="Times New Roman" w:hAnsi="Times New Roman" w:cs="Times New Roman"/>
        </w:rPr>
      </w:pPr>
    </w:p>
    <w:p w14:paraId="21A3C6EB">
      <w:pPr>
        <w:pStyle w:val="2"/>
        <w:rPr>
          <w:rFonts w:ascii="Times New Roman" w:hAnsi="Times New Roman" w:cs="Times New Roman"/>
        </w:rPr>
      </w:pPr>
      <w:r>
        <w:rPr>
          <w:rFonts w:ascii="Times New Roman" w:hAnsi="Times New Roman" w:cs="Times New Roman"/>
          <w:iCs/>
          <w:sz w:val="28"/>
          <w:szCs w:val="28"/>
        </w:rPr>
        <w:t xml:space="preserve">Text </w:t>
      </w:r>
      <w:r>
        <w:rPr>
          <w:rFonts w:ascii="Times New Roman" w:hAnsi="Times New Roman" w:eastAsia="宋体" w:cs="Times New Roman"/>
          <w:iCs/>
          <w:sz w:val="28"/>
          <w:szCs w:val="28"/>
        </w:rPr>
        <w:t xml:space="preserve">S5 </w:t>
      </w:r>
      <w:r>
        <w:rPr>
          <w:rFonts w:ascii="Times New Roman" w:hAnsi="Times New Roman" w:cs="Times New Roman"/>
          <w:sz w:val="28"/>
          <w:szCs w:val="28"/>
        </w:rPr>
        <w:t>Calculation of crustal thickness</w:t>
      </w:r>
    </w:p>
    <w:p w14:paraId="0DFC5964">
      <w:pPr>
        <w:spacing w:line="480" w:lineRule="auto"/>
        <w:ind w:firstLine="240" w:firstLineChars="100"/>
        <w:rPr>
          <w:rFonts w:ascii="Times New Roman" w:hAnsi="Times New Roman" w:cs="Times New Roman"/>
          <w:sz w:val="24"/>
          <w:lang w:val="pl-PL"/>
        </w:rPr>
      </w:pPr>
      <w:r>
        <w:rPr>
          <w:rFonts w:ascii="Times New Roman" w:hAnsi="Times New Roman" w:cs="Times New Roman"/>
          <w:sz w:val="24"/>
          <w:lang w:val="pl-PL"/>
        </w:rPr>
        <w:t>The application of Eu anomalies of detrital zircons as chemical “mohometers” to estimate crustal thickness has been widely recognized in the academic community. Through geochemical trace element analysis of zircons, the 300-247 Ma detrital zircons in this paper are mainly from granitic rocks, and thus can be used to estimate crustal thickness. We used the Eu anomaly Eu/Eu* [</w:t>
      </w:r>
      <m:oMath>
        <m:f>
          <m:fPr>
            <m:type m:val="lin"/>
            <m:ctrlPr>
              <w:rPr>
                <w:rFonts w:ascii="Cambria Math" w:hAnsi="Cambria Math" w:cs="Times New Roman"/>
                <w:sz w:val="24"/>
                <w:lang w:val="pl-PL"/>
              </w:rPr>
            </m:ctrlPr>
          </m:fPr>
          <m:num>
            <m:r>
              <m:rPr>
                <m:sty m:val="p"/>
              </m:rPr>
              <w:rPr>
                <w:rFonts w:ascii="Cambria Math" w:hAnsi="Cambria Math" w:cs="Times New Roman"/>
                <w:sz w:val="24"/>
                <w:lang w:val="pl-PL"/>
              </w:rPr>
              <m:t>Eu</m:t>
            </m:r>
            <m:ctrlPr>
              <w:rPr>
                <w:rFonts w:ascii="Cambria Math" w:hAnsi="Cambria Math" w:cs="Times New Roman"/>
                <w:sz w:val="24"/>
                <w:lang w:val="pl-PL"/>
              </w:rPr>
            </m:ctrlPr>
          </m:num>
          <m:den>
            <m:rad>
              <m:radPr>
                <m:degHide m:val="1"/>
                <m:ctrlPr>
                  <w:rPr>
                    <w:rFonts w:ascii="Cambria Math" w:hAnsi="Cambria Math" w:cs="Times New Roman"/>
                    <w:sz w:val="24"/>
                    <w:lang w:val="pl-PL"/>
                  </w:rPr>
                </m:ctrlPr>
              </m:radPr>
              <m:deg>
                <m:ctrlPr>
                  <w:rPr>
                    <w:rFonts w:ascii="Cambria Math" w:hAnsi="Cambria Math" w:cs="Times New Roman"/>
                    <w:sz w:val="24"/>
                    <w:lang w:val="pl-PL"/>
                  </w:rPr>
                </m:ctrlPr>
              </m:deg>
              <m:e>
                <m:r>
                  <m:rPr>
                    <m:sty m:val="p"/>
                  </m:rPr>
                  <w:rPr>
                    <w:rFonts w:ascii="Cambria Math" w:hAnsi="Cambria Math" w:cs="Times New Roman"/>
                    <w:sz w:val="24"/>
                    <w:lang w:val="pl-PL"/>
                  </w:rPr>
                  <m:t>Sm×Gd</m:t>
                </m:r>
                <m:ctrlPr>
                  <w:rPr>
                    <w:rFonts w:ascii="Cambria Math" w:hAnsi="Cambria Math" w:cs="Times New Roman"/>
                    <w:sz w:val="24"/>
                    <w:lang w:val="pl-PL"/>
                  </w:rPr>
                </m:ctrlPr>
              </m:e>
            </m:rad>
            <m:ctrlPr>
              <w:rPr>
                <w:rFonts w:ascii="Cambria Math" w:hAnsi="Cambria Math" w:cs="Times New Roman"/>
                <w:sz w:val="24"/>
                <w:lang w:val="pl-PL"/>
              </w:rPr>
            </m:ctrlPr>
          </m:den>
        </m:f>
      </m:oMath>
      <w:r>
        <w:rPr>
          <w:rFonts w:ascii="Times New Roman" w:hAnsi="Times New Roman" w:cs="Times New Roman"/>
          <w:sz w:val="24"/>
          <w:lang w:val="pl-PL"/>
        </w:rPr>
        <w:t xml:space="preserve"> after normalization of spheroidal meteorites (</w:t>
      </w:r>
      <w:r>
        <w:rPr>
          <w:rFonts w:ascii="Times New Roman" w:hAnsi="Times New Roman" w:cs="Times New Roman"/>
          <w:color w:val="00B0F0"/>
          <w:sz w:val="24"/>
          <w:lang w:val="pl-PL"/>
        </w:rPr>
        <w:t>Sun and Mcdonough, 1989</w:t>
      </w:r>
      <w:r>
        <w:rPr>
          <w:rFonts w:ascii="Times New Roman" w:hAnsi="Times New Roman" w:cs="Times New Roman"/>
          <w:sz w:val="24"/>
          <w:lang w:val="pl-PL"/>
        </w:rPr>
        <w:t xml:space="preserve">)] of this fraction of detrital zircons to </w:t>
      </w:r>
      <w:r>
        <w:rPr>
          <w:rFonts w:ascii="Times New Roman" w:hAnsi="Times New Roman" w:cs="Times New Roman"/>
          <w:sz w:val="24"/>
        </w:rPr>
        <w:t>reconstruct</w:t>
      </w:r>
      <w:r>
        <w:rPr>
          <w:rFonts w:ascii="Times New Roman" w:hAnsi="Times New Roman" w:cs="Times New Roman"/>
          <w:sz w:val="24"/>
          <w:lang w:val="pl-PL"/>
        </w:rPr>
        <w:t xml:space="preserve"> a crustal thickness evolution map of the source area for 300-247 Ma (Fig. 11c). Where the crustal thickness equation:</w:t>
      </w:r>
    </w:p>
    <w:p w14:paraId="412C112C">
      <w:pPr>
        <w:spacing w:line="300" w:lineRule="auto"/>
        <w:jc w:val="center"/>
        <w:rPr>
          <w:rFonts w:ascii="Times New Roman" w:hAnsi="Times New Roman" w:cs="Times New Roman"/>
          <w:sz w:val="24"/>
          <w:lang w:val="pl-PL"/>
        </w:rPr>
      </w:pPr>
      <w:r>
        <w:rPr>
          <w:rFonts w:ascii="Times New Roman" w:hAnsi="Times New Roman" w:cs="Times New Roman"/>
          <w:sz w:val="24"/>
          <w:lang w:val="pl-PL"/>
        </w:rPr>
        <w:t>z = (84.2 ± 9.2) ×Eu/Eu*zircon + (24.5 ± 3.3)  （</w:t>
      </w:r>
      <w:r>
        <w:rPr>
          <w:rFonts w:ascii="Times New Roman" w:hAnsi="Times New Roman" w:cs="Times New Roman"/>
          <w:color w:val="00B0F0"/>
          <w:sz w:val="24"/>
          <w:lang w:val="pl-PL"/>
        </w:rPr>
        <w:t>Tang et al., 2020</w:t>
      </w:r>
      <w:r>
        <w:rPr>
          <w:rFonts w:ascii="Times New Roman" w:hAnsi="Times New Roman" w:cs="Times New Roman"/>
          <w:sz w:val="24"/>
          <w:lang w:val="pl-PL"/>
        </w:rPr>
        <w:t>）</w:t>
      </w:r>
    </w:p>
    <w:p w14:paraId="43977BA4">
      <w:pPr>
        <w:spacing w:line="480" w:lineRule="auto"/>
        <w:ind w:firstLine="240" w:firstLineChars="100"/>
        <w:rPr>
          <w:rFonts w:ascii="Times New Roman" w:hAnsi="Times New Roman" w:cs="Times New Roman"/>
          <w:sz w:val="24"/>
          <w:lang w:val="pl-PL"/>
        </w:rPr>
      </w:pPr>
      <w:r>
        <w:rPr>
          <w:rFonts w:ascii="Times New Roman" w:hAnsi="Times New Roman" w:cs="Times New Roman"/>
          <w:sz w:val="24"/>
          <w:lang w:val="pl-PL"/>
        </w:rPr>
        <w:t>where z is the crustal thickness in kilometers. Data with Th/U &lt; 0.1 and/or La &gt; 1 ppm were excluded prior to calculating crustal thickness to eliminate metamorphic zircons and to be influenced by inclusions (</w:t>
      </w:r>
      <w:r>
        <w:rPr>
          <w:rFonts w:ascii="Times New Roman" w:hAnsi="Times New Roman" w:cs="Times New Roman"/>
          <w:color w:val="00B0F0"/>
          <w:sz w:val="24"/>
          <w:lang w:val="pl-PL"/>
        </w:rPr>
        <w:t>Hoskin and Schaltegger, 2003</w:t>
      </w:r>
      <w:r>
        <w:rPr>
          <w:rFonts w:ascii="Times New Roman" w:hAnsi="Times New Roman" w:cs="Times New Roman"/>
          <w:sz w:val="24"/>
          <w:lang w:val="pl-PL"/>
        </w:rPr>
        <w:t>), and the highest 10% and lowest 10% of Eu/Eu* data within each 5-year interval were removed to minimize the dispersion of the data in the statistics of the calculated mean crustal thickness. This filtering does not change the calculated crustal thickness pattern.</w:t>
      </w:r>
    </w:p>
    <w:p w14:paraId="553CD27E">
      <w:pPr>
        <w:rPr>
          <w:rFonts w:hint="eastAsia" w:ascii="Times New Roman" w:hAnsi="Times New Roman" w:cs="Times New Roman"/>
        </w:rPr>
      </w:pPr>
    </w:p>
    <w:p w14:paraId="6F954D0E">
      <w:pPr>
        <w:jc w:val="center"/>
        <w:rPr>
          <w:rFonts w:ascii="Times New Roman" w:hAnsi="Times New Roman"/>
        </w:rPr>
      </w:pPr>
      <w:r>
        <w:drawing>
          <wp:inline distT="0" distB="0" distL="0" distR="0">
            <wp:extent cx="5274310" cy="392430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74310" cy="3924300"/>
                    </a:xfrm>
                    <a:prstGeom prst="rect">
                      <a:avLst/>
                    </a:prstGeom>
                    <a:noFill/>
                    <a:ln>
                      <a:noFill/>
                    </a:ln>
                  </pic:spPr>
                </pic:pic>
              </a:graphicData>
            </a:graphic>
          </wp:inline>
        </w:drawing>
      </w:r>
    </w:p>
    <w:p w14:paraId="4DBA0A32">
      <w:pPr>
        <w:spacing w:line="360" w:lineRule="auto"/>
        <w:jc w:val="center"/>
        <w:rPr>
          <w:rFonts w:ascii="Times New Roman" w:hAnsi="Times New Roman"/>
          <w:sz w:val="24"/>
        </w:rPr>
      </w:pPr>
      <w:r>
        <w:rPr>
          <w:rFonts w:ascii="Times New Roman" w:hAnsi="Times New Roman"/>
          <w:sz w:val="24"/>
        </w:rPr>
        <w:t>Figure S1. Photomicrographs of representative samples.</w:t>
      </w:r>
    </w:p>
    <w:p w14:paraId="75260098">
      <w:pPr>
        <w:spacing w:line="360" w:lineRule="auto"/>
        <w:jc w:val="center"/>
        <w:rPr>
          <w:rFonts w:ascii="Times New Roman" w:hAnsi="Times New Roman"/>
          <w:szCs w:val="21"/>
        </w:rPr>
      </w:pPr>
      <w:r>
        <w:rPr>
          <w:rFonts w:ascii="Times New Roman" w:hAnsi="Times New Roman"/>
          <w:sz w:val="24"/>
        </w:rPr>
        <w:t xml:space="preserve"> </w:t>
      </w:r>
      <w:r>
        <w:rPr>
          <w:rFonts w:ascii="Times New Roman" w:hAnsi="Times New Roman"/>
        </w:rPr>
        <w:t xml:space="preserve"> </w:t>
      </w:r>
    </w:p>
    <w:p w14:paraId="4DF1BEA7">
      <w:pPr>
        <w:rPr>
          <w:rFonts w:hint="eastAsia" w:ascii="Times New Roman" w:hAnsi="Times New Roman"/>
          <w:szCs w:val="21"/>
        </w:rPr>
      </w:pPr>
      <w:r>
        <w:drawing>
          <wp:inline distT="0" distB="0" distL="0" distR="0">
            <wp:extent cx="5274310" cy="5020310"/>
            <wp:effectExtent l="0" t="0" r="254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4310" cy="5020310"/>
                    </a:xfrm>
                    <a:prstGeom prst="rect">
                      <a:avLst/>
                    </a:prstGeom>
                    <a:noFill/>
                    <a:ln>
                      <a:noFill/>
                    </a:ln>
                  </pic:spPr>
                </pic:pic>
              </a:graphicData>
            </a:graphic>
          </wp:inline>
        </w:drawing>
      </w:r>
    </w:p>
    <w:p w14:paraId="4E2BFB30">
      <w:pPr>
        <w:jc w:val="center"/>
        <w:rPr>
          <w:rFonts w:ascii="等线" w:hAnsi="等线" w:eastAsia="等线"/>
        </w:rPr>
      </w:pPr>
      <w:r>
        <w:rPr>
          <w:rFonts w:ascii="Times New Roman" w:hAnsi="Times New Roman"/>
          <w:sz w:val="24"/>
        </w:rPr>
        <w:t>Figure S2. CL images of zircons for U-Pb dating. Circles show zircon U-Pb analysis spots (circle diameter 33 μm).</w:t>
      </w:r>
    </w:p>
    <w:p w14:paraId="08503735">
      <w:pPr>
        <w:rPr>
          <w:rFonts w:hint="eastAsia" w:ascii="Times New Roman" w:hAnsi="Times New Roman" w:eastAsia="宋体"/>
        </w:rPr>
      </w:pPr>
      <w:r>
        <w:drawing>
          <wp:inline distT="0" distB="0" distL="0" distR="0">
            <wp:extent cx="5274310" cy="4893310"/>
            <wp:effectExtent l="0" t="0" r="254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4310" cy="4893310"/>
                    </a:xfrm>
                    <a:prstGeom prst="rect">
                      <a:avLst/>
                    </a:prstGeom>
                    <a:noFill/>
                    <a:ln>
                      <a:noFill/>
                    </a:ln>
                  </pic:spPr>
                </pic:pic>
              </a:graphicData>
            </a:graphic>
          </wp:inline>
        </w:drawing>
      </w:r>
    </w:p>
    <w:p w14:paraId="0862ACC5">
      <w:pPr>
        <w:jc w:val="center"/>
        <w:rPr>
          <w:rFonts w:ascii="等线" w:hAnsi="等线" w:eastAsia="等线"/>
        </w:rPr>
      </w:pPr>
      <w:r>
        <w:rPr>
          <w:rFonts w:ascii="Times New Roman" w:hAnsi="Times New Roman"/>
          <w:sz w:val="24"/>
        </w:rPr>
        <w:t>Figure S2 (continued). CL images of zircons for U-Pb dating. Circles show zircon U-Pb analysis spots (circle diameter 33 μm).</w:t>
      </w:r>
    </w:p>
    <w:p w14:paraId="4C8AC41A">
      <w:pPr>
        <w:rPr>
          <w:rFonts w:hint="eastAsia" w:ascii="Times New Roman" w:hAnsi="Times New Roman" w:eastAsia="宋体"/>
        </w:rPr>
      </w:pPr>
      <w:r>
        <w:drawing>
          <wp:inline distT="0" distB="0" distL="0" distR="0">
            <wp:extent cx="5274310" cy="4893310"/>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4310" cy="4893310"/>
                    </a:xfrm>
                    <a:prstGeom prst="rect">
                      <a:avLst/>
                    </a:prstGeom>
                    <a:noFill/>
                    <a:ln>
                      <a:noFill/>
                    </a:ln>
                  </pic:spPr>
                </pic:pic>
              </a:graphicData>
            </a:graphic>
          </wp:inline>
        </w:drawing>
      </w:r>
    </w:p>
    <w:p w14:paraId="0291FEAD">
      <w:pPr>
        <w:jc w:val="center"/>
        <w:rPr>
          <w:rFonts w:ascii="等线" w:hAnsi="等线" w:eastAsia="等线"/>
        </w:rPr>
      </w:pPr>
      <w:r>
        <w:rPr>
          <w:rFonts w:ascii="Times New Roman" w:hAnsi="Times New Roman"/>
          <w:sz w:val="24"/>
        </w:rPr>
        <w:t>Figure S2 (continued). CL images of zircons for U-Pb dating. Circles show zircon U-Pb analysis spots (circle diameter 33 μm).</w:t>
      </w:r>
    </w:p>
    <w:p w14:paraId="35E3F589">
      <w:pPr>
        <w:rPr>
          <w:rFonts w:hint="eastAsia" w:ascii="Times New Roman" w:hAnsi="Times New Roman" w:eastAsia="宋体"/>
        </w:rPr>
      </w:pPr>
      <w:r>
        <w:rPr>
          <w:rFonts w:ascii="Times New Roman" w:hAnsi="Times New Roman"/>
        </w:rPr>
        <w:t xml:space="preserve"> </w:t>
      </w:r>
    </w:p>
    <w:p w14:paraId="054F5594">
      <w:pPr>
        <w:rPr>
          <w:rFonts w:ascii="Times New Roman" w:hAnsi="Times New Roman"/>
        </w:rPr>
      </w:pPr>
      <w:r>
        <w:drawing>
          <wp:inline distT="0" distB="0" distL="0" distR="0">
            <wp:extent cx="5274310" cy="494157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4310" cy="4941570"/>
                    </a:xfrm>
                    <a:prstGeom prst="rect">
                      <a:avLst/>
                    </a:prstGeom>
                    <a:noFill/>
                    <a:ln>
                      <a:noFill/>
                    </a:ln>
                  </pic:spPr>
                </pic:pic>
              </a:graphicData>
            </a:graphic>
          </wp:inline>
        </w:drawing>
      </w:r>
    </w:p>
    <w:p w14:paraId="4F92B9D9">
      <w:pPr>
        <w:jc w:val="center"/>
        <w:rPr>
          <w:rFonts w:hint="eastAsia" w:ascii="等线" w:hAnsi="等线" w:eastAsia="等线"/>
        </w:rPr>
      </w:pPr>
      <w:r>
        <w:rPr>
          <w:rFonts w:ascii="Times New Roman" w:hAnsi="Times New Roman"/>
          <w:sz w:val="24"/>
        </w:rPr>
        <w:t>Figure S2 (continued). CL images of zircons for U-Pb dating. Circles show zircon U-Pb analysis spots (circle diameter 33 μm).</w:t>
      </w:r>
    </w:p>
    <w:p w14:paraId="4AF0A4AE"/>
    <w:p w14:paraId="0CEA81CD">
      <w:pPr>
        <w:rPr>
          <w:rFonts w:ascii="Times New Roman" w:hAnsi="Times New Roman"/>
        </w:rPr>
      </w:pPr>
      <w:r>
        <w:drawing>
          <wp:inline distT="0" distB="0" distL="0" distR="0">
            <wp:extent cx="5274310" cy="251777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517775"/>
                    </a:xfrm>
                    <a:prstGeom prst="rect">
                      <a:avLst/>
                    </a:prstGeom>
                    <a:noFill/>
                    <a:ln>
                      <a:noFill/>
                    </a:ln>
                  </pic:spPr>
                </pic:pic>
              </a:graphicData>
            </a:graphic>
          </wp:inline>
        </w:drawing>
      </w:r>
    </w:p>
    <w:p w14:paraId="1B82601B">
      <w:pPr>
        <w:spacing w:line="360" w:lineRule="auto"/>
        <w:jc w:val="center"/>
        <w:rPr>
          <w:rFonts w:ascii="Times New Roman" w:hAnsi="Times New Roman"/>
          <w:sz w:val="24"/>
        </w:rPr>
      </w:pPr>
      <w:r>
        <w:rPr>
          <w:rFonts w:ascii="Times New Roman" w:hAnsi="Times New Roman"/>
          <w:sz w:val="24"/>
        </w:rPr>
        <w:t xml:space="preserve">Figure S3. </w:t>
      </w:r>
      <w:r>
        <w:rPr>
          <w:rFonts w:ascii="Times New Roman" w:hAnsi="Times New Roman" w:eastAsia="宋体"/>
          <w:sz w:val="24"/>
        </w:rPr>
        <w:t>Graph of similarity index of the four samples in this study</w:t>
      </w:r>
    </w:p>
    <w:p w14:paraId="64862B14">
      <w:pPr>
        <w:rPr>
          <w:rFonts w:ascii="Times New Roman" w:hAnsi="Times New Roman" w:cs="Times New Roman"/>
        </w:rPr>
      </w:pPr>
    </w:p>
    <w:p w14:paraId="2286E434">
      <w:pPr>
        <w:widowControl/>
        <w:jc w:val="left"/>
        <w:rPr>
          <w:rFonts w:ascii="Times New Roman" w:hAnsi="Times New Roman" w:eastAsia="宋体" w:cs="Times New Roman"/>
          <w:b/>
          <w:bCs/>
          <w:kern w:val="0"/>
          <w:sz w:val="24"/>
          <w:lang w:eastAsia="en-US"/>
        </w:rPr>
      </w:pPr>
      <w:r>
        <w:rPr>
          <w:rFonts w:ascii="Times New Roman" w:hAnsi="Times New Roman" w:eastAsia="宋体" w:cs="Times New Roman"/>
          <w:b/>
          <w:bCs/>
          <w:kern w:val="0"/>
          <w:sz w:val="24"/>
          <w:lang w:eastAsia="en-US"/>
        </w:rPr>
        <w:br w:type="page"/>
      </w:r>
    </w:p>
    <w:p w14:paraId="0A2F8F30">
      <w:pPr>
        <w:spacing w:line="360" w:lineRule="auto"/>
        <w:rPr>
          <w:rFonts w:ascii="Times New Roman" w:hAnsi="Times New Roman" w:eastAsia="宋体" w:cs="Times New Roman"/>
          <w:b/>
          <w:bCs/>
          <w:kern w:val="0"/>
          <w:sz w:val="24"/>
          <w:lang w:eastAsia="en-US"/>
        </w:rPr>
      </w:pPr>
      <w:r>
        <w:rPr>
          <w:rFonts w:ascii="Times New Roman" w:hAnsi="Times New Roman" w:eastAsia="宋体" w:cs="Times New Roman"/>
          <w:b/>
          <w:bCs/>
          <w:kern w:val="0"/>
          <w:sz w:val="24"/>
          <w:lang w:eastAsia="en-US"/>
        </w:rPr>
        <w:t>Captions</w:t>
      </w:r>
    </w:p>
    <w:p w14:paraId="5D94D91C">
      <w:pPr>
        <w:spacing w:line="360" w:lineRule="auto"/>
        <w:rPr>
          <w:rFonts w:ascii="Times New Roman" w:hAnsi="Times New Roman" w:cs="Times New Roman"/>
          <w:sz w:val="24"/>
        </w:rPr>
      </w:pPr>
      <w:r>
        <w:rPr>
          <w:rFonts w:ascii="Times New Roman" w:hAnsi="Times New Roman" w:cs="Times New Roman"/>
          <w:sz w:val="24"/>
        </w:rPr>
        <w:t>Table S1</w:t>
      </w:r>
      <w:r>
        <w:rPr>
          <w:rFonts w:hint="eastAsia" w:ascii="Times New Roman" w:hAnsi="Times New Roman" w:cs="Times New Roman"/>
          <w:sz w:val="24"/>
        </w:rPr>
        <w:t>. Statistical table of clastic samples of Late Triassic samples in this study</w:t>
      </w:r>
    </w:p>
    <w:p w14:paraId="3259FB9D">
      <w:pPr>
        <w:spacing w:line="360" w:lineRule="auto"/>
        <w:rPr>
          <w:rFonts w:ascii="Times New Roman" w:hAnsi="Times New Roman" w:cs="Times New Roman"/>
          <w:sz w:val="24"/>
        </w:rPr>
      </w:pPr>
      <w:r>
        <w:rPr>
          <w:rFonts w:ascii="Times New Roman" w:hAnsi="Times New Roman" w:cs="Times New Roman"/>
          <w:sz w:val="24"/>
        </w:rPr>
        <w:t>Table S</w:t>
      </w:r>
      <w:r>
        <w:rPr>
          <w:rFonts w:hint="eastAsia" w:ascii="Times New Roman" w:hAnsi="Times New Roman" w:cs="Times New Roman"/>
          <w:sz w:val="24"/>
        </w:rPr>
        <w:t>2</w:t>
      </w:r>
      <w:r>
        <w:rPr>
          <w:rFonts w:ascii="Times New Roman" w:hAnsi="Times New Roman" w:cs="Times New Roman"/>
          <w:sz w:val="24"/>
        </w:rPr>
        <w:t>. Metadata of LA-ICP-MS U-Pb data used in this study.</w:t>
      </w:r>
    </w:p>
    <w:p w14:paraId="411673DA">
      <w:pPr>
        <w:spacing w:line="360" w:lineRule="auto"/>
        <w:rPr>
          <w:rFonts w:ascii="Times New Roman" w:hAnsi="Times New Roman" w:cs="Times New Roman"/>
          <w:sz w:val="24"/>
        </w:rPr>
      </w:pPr>
      <w:r>
        <w:rPr>
          <w:rFonts w:ascii="Times New Roman" w:hAnsi="Times New Roman" w:cs="Times New Roman"/>
          <w:sz w:val="24"/>
        </w:rPr>
        <w:t>Table S</w:t>
      </w:r>
      <w:r>
        <w:rPr>
          <w:rFonts w:hint="eastAsia" w:ascii="Times New Roman" w:hAnsi="Times New Roman" w:cs="Times New Roman"/>
          <w:sz w:val="24"/>
        </w:rPr>
        <w:t>3</w:t>
      </w:r>
      <w:r>
        <w:rPr>
          <w:rFonts w:ascii="Times New Roman" w:hAnsi="Times New Roman" w:cs="Times New Roman"/>
          <w:sz w:val="24"/>
        </w:rPr>
        <w:t>. Zircon U-Pb data for the Early Triassic sandstone in this study.</w:t>
      </w:r>
    </w:p>
    <w:p w14:paraId="1567466B">
      <w:pPr>
        <w:spacing w:line="360" w:lineRule="auto"/>
        <w:rPr>
          <w:rFonts w:ascii="Times New Roman" w:hAnsi="Times New Roman" w:cs="Times New Roman"/>
          <w:sz w:val="24"/>
        </w:rPr>
      </w:pPr>
      <w:r>
        <w:rPr>
          <w:rFonts w:ascii="Times New Roman" w:hAnsi="Times New Roman" w:cs="Times New Roman"/>
          <w:sz w:val="24"/>
        </w:rPr>
        <w:t>Table S</w:t>
      </w:r>
      <w:r>
        <w:rPr>
          <w:rFonts w:hint="eastAsia" w:ascii="Times New Roman" w:hAnsi="Times New Roman" w:cs="Times New Roman"/>
          <w:sz w:val="24"/>
        </w:rPr>
        <w:t>4</w:t>
      </w:r>
      <w:r>
        <w:rPr>
          <w:rFonts w:ascii="Times New Roman" w:hAnsi="Times New Roman" w:cs="Times New Roman"/>
          <w:sz w:val="24"/>
        </w:rPr>
        <w:t>. Results of zircon fertility factor calculations and granite data literature.</w:t>
      </w:r>
    </w:p>
    <w:p w14:paraId="360530A4">
      <w:pPr>
        <w:widowControl/>
        <w:ind w:left="480" w:hanging="480" w:hangingChars="200"/>
        <w:jc w:val="left"/>
        <w:rPr>
          <w:rFonts w:ascii="Times New Roman" w:hAnsi="Times New Roman" w:eastAsia="宋体" w:cs="Times New Roman"/>
          <w:sz w:val="24"/>
        </w:rPr>
      </w:pPr>
    </w:p>
    <w:p w14:paraId="0027DF25">
      <w:pPr>
        <w:widowControl/>
        <w:spacing w:line="360" w:lineRule="auto"/>
        <w:jc w:val="left"/>
        <w:rPr>
          <w:rFonts w:ascii="Times New Roman" w:hAnsi="Times New Roman" w:eastAsia="宋体" w:cs="Times New Roman"/>
          <w:b/>
          <w:kern w:val="0"/>
          <w:sz w:val="24"/>
          <w:lang w:eastAsia="en-US"/>
        </w:rPr>
      </w:pPr>
      <w:r>
        <w:rPr>
          <w:rFonts w:ascii="Times New Roman" w:hAnsi="Times New Roman" w:eastAsia="宋体" w:cs="Times New Roman"/>
          <w:b/>
          <w:kern w:val="0"/>
          <w:sz w:val="24"/>
          <w:lang w:eastAsia="en-US"/>
        </w:rPr>
        <w:t>References</w:t>
      </w:r>
    </w:p>
    <w:p w14:paraId="14A84092">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Andersen, T.</w:t>
      </w:r>
      <w:r>
        <w:rPr>
          <w:rFonts w:hint="eastAsia" w:ascii="Times New Roman" w:hAnsi="Times New Roman" w:eastAsia="宋体" w:cs="Times New Roman"/>
          <w:sz w:val="24"/>
        </w:rPr>
        <w:t>,</w:t>
      </w:r>
      <w:r>
        <w:rPr>
          <w:rFonts w:ascii="Times New Roman" w:hAnsi="Times New Roman" w:eastAsia="宋体" w:cs="Times New Roman"/>
          <w:sz w:val="24"/>
        </w:rPr>
        <w:t xml:space="preserve"> 2002. Correction of common lead in U-Pb analyses that do not report </w:t>
      </w:r>
      <w:r>
        <w:rPr>
          <w:rFonts w:ascii="Times New Roman" w:hAnsi="Times New Roman" w:eastAsia="宋体" w:cs="Times New Roman"/>
          <w:sz w:val="24"/>
          <w:vertAlign w:val="superscript"/>
        </w:rPr>
        <w:t>204</w:t>
      </w:r>
      <w:r>
        <w:rPr>
          <w:rFonts w:ascii="Times New Roman" w:hAnsi="Times New Roman" w:eastAsia="宋体" w:cs="Times New Roman"/>
          <w:sz w:val="24"/>
        </w:rPr>
        <w:t>Pb. Chemical Geology 192(1-2), 59-79. doi:10.1016/s0009-2541(02)00195-x.</w:t>
      </w:r>
    </w:p>
    <w:p w14:paraId="15C1E860">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Andersen, T.</w:t>
      </w:r>
      <w:r>
        <w:rPr>
          <w:rFonts w:hint="eastAsia" w:ascii="Times New Roman" w:hAnsi="Times New Roman" w:eastAsia="宋体" w:cs="Times New Roman"/>
          <w:sz w:val="24"/>
        </w:rPr>
        <w:t>,</w:t>
      </w:r>
      <w:r>
        <w:rPr>
          <w:rFonts w:ascii="Times New Roman" w:hAnsi="Times New Roman" w:eastAsia="宋体" w:cs="Times New Roman"/>
          <w:sz w:val="24"/>
        </w:rPr>
        <w:t xml:space="preserve"> 2005. Detrital Zircons as Tracers of Sedimentary Provenance: Limiting Conditions from Statistics and Numerical Simulation. Chemical Geology 216(3-4), 249-270. doi:10.1016/ j. chemgeo.2004.11.013.</w:t>
      </w:r>
    </w:p>
    <w:p w14:paraId="4AFC69B9">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Liu, R., Zhou, H.W., Zhang, L., Zhong, Z.Q., Zeng, W., Xiang, H., Jin, S., Lu, X.Q., Li, C.Z.</w:t>
      </w:r>
      <w:r>
        <w:rPr>
          <w:rFonts w:hint="eastAsia" w:ascii="Times New Roman" w:hAnsi="Times New Roman" w:eastAsia="宋体" w:cs="Times New Roman"/>
          <w:sz w:val="24"/>
        </w:rPr>
        <w:t>,</w:t>
      </w:r>
      <w:r>
        <w:rPr>
          <w:rFonts w:ascii="Times New Roman" w:hAnsi="Times New Roman" w:eastAsia="宋体" w:cs="Times New Roman"/>
          <w:sz w:val="24"/>
        </w:rPr>
        <w:t xml:space="preserve"> 2010. Zircon U-Pb ages and Hf isotope compositions of the Mayuan migmatite complex, NW Fujian Province, southeast China. constraints on the timing and nature of a regional tectonothermal event associated with the Caledonian orogeny. Lithos 119, 163-180. doi: 10.1016/j.lithos.2010.06.004.</w:t>
      </w:r>
    </w:p>
    <w:p w14:paraId="5070A8BE">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Satkoski, A.M., Wilkinson, B.H., Hietpas, J., Samson, S.D.</w:t>
      </w:r>
      <w:r>
        <w:rPr>
          <w:rFonts w:hint="eastAsia" w:ascii="Times New Roman" w:hAnsi="Times New Roman" w:eastAsia="宋体" w:cs="Times New Roman"/>
          <w:sz w:val="24"/>
        </w:rPr>
        <w:t>,</w:t>
      </w:r>
      <w:r>
        <w:rPr>
          <w:rFonts w:ascii="Times New Roman" w:hAnsi="Times New Roman" w:eastAsia="宋体" w:cs="Times New Roman"/>
          <w:sz w:val="24"/>
        </w:rPr>
        <w:t xml:space="preserve"> 2013. Likeness among detrital zircon populations</w:t>
      </w:r>
      <w:r>
        <w:rPr>
          <w:rFonts w:hint="eastAsia" w:ascii="Times New Roman" w:hAnsi="Times New Roman" w:eastAsia="宋体" w:cs="Times New Roman"/>
          <w:sz w:val="24"/>
        </w:rPr>
        <w:t>-</w:t>
      </w:r>
      <w:r>
        <w:rPr>
          <w:rFonts w:ascii="Times New Roman" w:hAnsi="Times New Roman" w:eastAsia="宋体" w:cs="Times New Roman"/>
          <w:sz w:val="24"/>
        </w:rPr>
        <w:t>An approach to the comparison of age frequency data in time and space. Geological Society of America Bulletin 125(11-12), 1783-1799. doi:10.1130/b30888.1.</w:t>
      </w:r>
    </w:p>
    <w:p w14:paraId="0D065878">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Sláma, J., Kosler, J., Condon, D.J., Crowley, J.L., Gerdes, A., Hanchar, J.M., Horstwood, M.S.A., Morris, G.A., Nasdala, L., Norberg, N., Schaltegger, U., Schoene, B., Tubrett, M.N., Whitehouse, M.J., 2008. Plešovice zircon-a new natural reference material for U–Pb and Hf isotopic microanalysis. Chemical Geology 249, 1-35</w:t>
      </w:r>
    </w:p>
    <w:p w14:paraId="477CA618">
      <w:pPr>
        <w:widowControl/>
        <w:ind w:left="480" w:hanging="480" w:hangingChars="200"/>
        <w:jc w:val="left"/>
        <w:rPr>
          <w:rFonts w:ascii="Times New Roman" w:hAnsi="Times New Roman" w:eastAsia="宋体" w:cs="Times New Roman"/>
          <w:sz w:val="24"/>
        </w:rPr>
      </w:pPr>
      <w:r>
        <w:rPr>
          <w:rFonts w:hint="eastAsia" w:ascii="Times New Roman" w:hAnsi="Times New Roman" w:eastAsia="宋体" w:cs="Times New Roman"/>
          <w:sz w:val="24"/>
        </w:rPr>
        <w:t xml:space="preserve">Vermeesch, P., 2012. On the visualisation of detrital age distributions. Chemical Geology 312-313, 190-194. </w:t>
      </w:r>
      <w:r>
        <w:rPr>
          <w:rFonts w:ascii="Times New Roman" w:hAnsi="Times New Roman" w:eastAsia="宋体" w:cs="Times New Roman"/>
          <w:sz w:val="24"/>
        </w:rPr>
        <w:t>doi: 10.1016/j.chemgeo</w:t>
      </w:r>
      <w:r>
        <w:rPr>
          <w:rFonts w:hint="eastAsia" w:ascii="Times New Roman" w:hAnsi="Times New Roman" w:eastAsia="宋体" w:cs="Times New Roman"/>
          <w:sz w:val="24"/>
        </w:rPr>
        <w:t>.2012.04.021.</w:t>
      </w:r>
    </w:p>
    <w:p w14:paraId="13FCD0E5">
      <w:pPr>
        <w:widowControl/>
        <w:ind w:left="480" w:hanging="480" w:hangingChars="200"/>
        <w:jc w:val="left"/>
        <w:rPr>
          <w:rFonts w:ascii="Times New Roman" w:hAnsi="Times New Roman" w:eastAsia="宋体" w:cs="Times New Roman"/>
          <w:sz w:val="24"/>
        </w:rPr>
      </w:pPr>
      <w:r>
        <w:rPr>
          <w:rFonts w:hint="eastAsia" w:ascii="Times New Roman" w:hAnsi="Times New Roman" w:eastAsia="宋体" w:cs="Times New Roman"/>
          <w:sz w:val="24"/>
        </w:rPr>
        <w:t>Vermeesch, P., 2013. Multi-sample comparison of detrital age distributions. Chemical Geology 341, 140-146. doi: 10.1016/j.chemgeo.2013.01.010.</w:t>
      </w:r>
    </w:p>
    <w:p w14:paraId="64E6A36D">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Wiedenbeck, M. Allé, p. Corfu, F., Griffin, W.L., Meier, M., Oberli, F., Von Quadt, A., Roddick, J.C., Spiegel, W.</w:t>
      </w:r>
      <w:r>
        <w:rPr>
          <w:rFonts w:hint="eastAsia" w:ascii="Times New Roman" w:hAnsi="Times New Roman" w:eastAsia="宋体" w:cs="Times New Roman"/>
          <w:sz w:val="24"/>
        </w:rPr>
        <w:t>,</w:t>
      </w:r>
      <w:r>
        <w:rPr>
          <w:rFonts w:ascii="Times New Roman" w:hAnsi="Times New Roman" w:eastAsia="宋体" w:cs="Times New Roman"/>
          <w:sz w:val="24"/>
        </w:rPr>
        <w:t xml:space="preserve"> 1995. Three natural zircon standards for U-Th-Pb, Lu-Hf, trace element and REE analyses: Geostandards Newsletter 19(1), 1-23. </w:t>
      </w:r>
      <w:r>
        <w:fldChar w:fldCharType="begin"/>
      </w:r>
      <w:r>
        <w:instrText xml:space="preserve"> HYPERLINK "https://doi.org/10.1111/j.1751-908X.1995.tb00147.x" </w:instrText>
      </w:r>
      <w:r>
        <w:fldChar w:fldCharType="separate"/>
      </w:r>
      <w:r>
        <w:rPr>
          <w:rStyle w:val="9"/>
          <w:rFonts w:ascii="Times New Roman" w:hAnsi="Times New Roman" w:eastAsia="宋体" w:cs="Times New Roman"/>
          <w:sz w:val="24"/>
        </w:rPr>
        <w:t>https://doi.org/10.1111/j.1751-908X.1995.tb00147.x</w:t>
      </w:r>
      <w:r>
        <w:rPr>
          <w:rStyle w:val="9"/>
          <w:rFonts w:ascii="Times New Roman" w:hAnsi="Times New Roman" w:eastAsia="宋体" w:cs="Times New Roman"/>
          <w:sz w:val="24"/>
        </w:rPr>
        <w:fldChar w:fldCharType="end"/>
      </w:r>
      <w:r>
        <w:rPr>
          <w:rFonts w:ascii="Times New Roman" w:hAnsi="Times New Roman" w:eastAsia="宋体" w:cs="Times New Roman"/>
          <w:sz w:val="24"/>
        </w:rPr>
        <w:t>.</w:t>
      </w:r>
    </w:p>
    <w:p w14:paraId="7F187C50">
      <w:pPr>
        <w:widowControl/>
        <w:ind w:left="480" w:hanging="480" w:hangingChars="200"/>
        <w:jc w:val="left"/>
        <w:rPr>
          <w:rFonts w:ascii="Times New Roman" w:hAnsi="Times New Roman" w:eastAsia="宋体" w:cs="Times New Roman"/>
          <w:sz w:val="24"/>
        </w:rPr>
      </w:pPr>
      <w:r>
        <w:rPr>
          <w:rFonts w:hint="eastAsia" w:ascii="Times New Roman" w:hAnsi="Times New Roman" w:eastAsia="宋体" w:cs="Times New Roman"/>
          <w:sz w:val="24"/>
        </w:rPr>
        <w:t>Wissink, G.K., Wilkinson, B.H., Hoke, G.D., 2018. Pairwise sample comparisons and multidimensional scaling of detrital zircon ages with examples from the North American platform, basin, and passive margin settings. Lithosphere 10(3), 478-491. doi:10.1130/l700.1.</w:t>
      </w:r>
    </w:p>
    <w:p w14:paraId="69660298">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Yuan, H.L., Gao, S., Liu, X.M., Günther, D., Wu, F.Y.</w:t>
      </w:r>
      <w:r>
        <w:rPr>
          <w:rFonts w:hint="eastAsia" w:ascii="Times New Roman" w:hAnsi="Times New Roman" w:eastAsia="宋体" w:cs="Times New Roman"/>
          <w:sz w:val="24"/>
        </w:rPr>
        <w:t>,</w:t>
      </w:r>
      <w:r>
        <w:rPr>
          <w:rFonts w:ascii="Times New Roman" w:hAnsi="Times New Roman" w:eastAsia="宋体" w:cs="Times New Roman"/>
          <w:sz w:val="24"/>
        </w:rPr>
        <w:t xml:space="preserve"> 2004. Accurate U-Pb Age and Trace Element Determinations of Zircon by Laser Ablation-Inductively Coupled Plasma-Mass Spectrometry. Geostandards and Geoanalytical Research 28(3), 353-370. doi:10.1111/j.1751-908X.2004.tb00755. x.</w:t>
      </w:r>
    </w:p>
    <w:p w14:paraId="097E730A">
      <w:pPr>
        <w:widowControl/>
        <w:ind w:left="480" w:hanging="480" w:hangingChars="200"/>
        <w:jc w:val="left"/>
        <w:rPr>
          <w:rFonts w:ascii="Times New Roman" w:hAnsi="Times New Roman" w:eastAsia="宋体" w:cs="Times New Roman"/>
          <w:sz w:val="24"/>
        </w:rPr>
      </w:pPr>
      <w:r>
        <w:rPr>
          <w:rFonts w:hint="eastAsia" w:ascii="Times New Roman" w:hAnsi="Times New Roman" w:eastAsia="宋体" w:cs="Times New Roman"/>
          <w:sz w:val="24"/>
        </w:rPr>
        <w:t>Zhang, L., Wang, P., Chen, X.Y., Yin, Y., 2020. Review in Detrital Zircon U-Pb Geochronology: Data Acquisition, Analysis and Comparison. Advances in Earth Science 35, 414-430. doi: 10.15898/j.cnki.11-2131/td.202112260209.</w:t>
      </w:r>
    </w:p>
    <w:p w14:paraId="3A89E24C">
      <w:pPr>
        <w:widowControl/>
        <w:ind w:left="480" w:hanging="480" w:hangingChars="200"/>
        <w:jc w:val="left"/>
        <w:rPr>
          <w:rFonts w:ascii="Times New Roman" w:hAnsi="Times New Roman" w:eastAsia="宋体" w:cs="Times New Roman"/>
          <w:sz w:val="24"/>
        </w:rPr>
      </w:pPr>
      <w:r>
        <w:rPr>
          <w:rFonts w:ascii="Times New Roman" w:hAnsi="Times New Roman" w:eastAsia="宋体" w:cs="Times New Roman"/>
          <w:sz w:val="24"/>
        </w:rPr>
        <w:t>Tang, M., Chen, H., Song, S.G., Sun, G.Z., Wang, C., 2024. Zircon Eu/Eu* in Archean TTGs with implications for the role of endogenic oxidation in Archean crustal differentiation. Geochimica Et Cosmochimica Acta 378, 259-269.</w:t>
      </w:r>
    </w:p>
    <w:p w14:paraId="26797BAA">
      <w:pPr>
        <w:rPr>
          <w:rFonts w:ascii="Times New Roman" w:hAnsi="Times New Roman" w:eastAsia="宋体" w:cs="Times New Roman"/>
          <w:sz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8D9"/>
    <w:rsid w:val="00336554"/>
    <w:rsid w:val="00556718"/>
    <w:rsid w:val="005F4BA7"/>
    <w:rsid w:val="00862916"/>
    <w:rsid w:val="0092359E"/>
    <w:rsid w:val="00A050A7"/>
    <w:rsid w:val="00B24E9E"/>
    <w:rsid w:val="00BE2907"/>
    <w:rsid w:val="00C27FED"/>
    <w:rsid w:val="00C5373A"/>
    <w:rsid w:val="00D25362"/>
    <w:rsid w:val="00DE58D9"/>
    <w:rsid w:val="00E25D90"/>
    <w:rsid w:val="00F91DAD"/>
    <w:rsid w:val="00FC42FC"/>
    <w:rsid w:val="07B83E73"/>
    <w:rsid w:val="0C460A4F"/>
    <w:rsid w:val="0EFF2C1E"/>
    <w:rsid w:val="105535AA"/>
    <w:rsid w:val="10715C73"/>
    <w:rsid w:val="13272FBC"/>
    <w:rsid w:val="22D4640C"/>
    <w:rsid w:val="2DD7384A"/>
    <w:rsid w:val="51CB6B32"/>
    <w:rsid w:val="51DD61B3"/>
    <w:rsid w:val="523A34B8"/>
    <w:rsid w:val="5270279C"/>
    <w:rsid w:val="543A7A40"/>
    <w:rsid w:val="67E934CF"/>
    <w:rsid w:val="7D945CD3"/>
    <w:rsid w:val="7E6E10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等线"/>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8">
    <w:name w:val="Default Paragraph Font"/>
    <w:semiHidden/>
    <w:unhideWhenUsed/>
    <w:qFormat/>
    <w:uiPriority w:val="1"/>
  </w:style>
  <w:style w:type="table" w:default="1" w:styleId="6">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sz w:val="20"/>
      <w:szCs w:val="20"/>
    </w:rPr>
    <w:tblPr>
      <w:tblCellMar>
        <w:top w:w="0" w:type="dxa"/>
        <w:left w:w="108" w:type="dxa"/>
        <w:bottom w:w="0" w:type="dxa"/>
        <w:right w:w="108" w:type="dxa"/>
      </w:tblCellMar>
    </w:tblPr>
  </w:style>
  <w:style w:type="paragraph" w:styleId="3">
    <w:name w:val="footer"/>
    <w:basedOn w:val="1"/>
    <w:link w:val="13"/>
    <w:qFormat/>
    <w:uiPriority w:val="0"/>
    <w:pPr>
      <w:tabs>
        <w:tab w:val="center" w:pos="4153"/>
        <w:tab w:val="right" w:pos="8306"/>
      </w:tabs>
      <w:snapToGrid w:val="0"/>
      <w:jc w:val="left"/>
    </w:pPr>
    <w:rPr>
      <w:sz w:val="18"/>
      <w:szCs w:val="18"/>
    </w:rPr>
  </w:style>
  <w:style w:type="paragraph" w:styleId="4">
    <w:name w:val="header"/>
    <w:basedOn w:val="1"/>
    <w:link w:val="12"/>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rPr>
      <w:sz w:val="24"/>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qFormat/>
    <w:uiPriority w:val="99"/>
    <w:rPr>
      <w:color w:val="0026E5" w:themeColor="hyperlink"/>
      <w:u w:val="single"/>
      <w14:textFill>
        <w14:solidFill>
          <w14:schemeClr w14:val="hlink"/>
        </w14:solidFill>
      </w14:textFill>
    </w:rPr>
  </w:style>
  <w:style w:type="paragraph" w:customStyle="1" w:styleId="10">
    <w:name w:val="SM Text"/>
    <w:basedOn w:val="1"/>
    <w:qFormat/>
    <w:uiPriority w:val="0"/>
    <w:pPr>
      <w:widowControl/>
      <w:ind w:firstLine="480"/>
      <w:jc w:val="left"/>
    </w:pPr>
    <w:rPr>
      <w:rFonts w:ascii="Times New Roman" w:hAnsi="Times New Roman" w:eastAsia="宋体" w:cs="Times New Roman"/>
      <w:kern w:val="0"/>
      <w:sz w:val="24"/>
      <w:szCs w:val="20"/>
      <w:lang w:eastAsia="en-US"/>
    </w:rPr>
  </w:style>
  <w:style w:type="paragraph" w:customStyle="1" w:styleId="11">
    <w:name w:val="Affilations"/>
    <w:basedOn w:val="1"/>
    <w:next w:val="1"/>
    <w:qFormat/>
    <w:uiPriority w:val="0"/>
    <w:pPr>
      <w:widowControl/>
      <w:spacing w:beforeAutospacing="1" w:afterAutospacing="1" w:line="360" w:lineRule="auto"/>
      <w:ind w:left="311" w:hanging="198"/>
      <w:jc w:val="center"/>
    </w:pPr>
    <w:rPr>
      <w:rFonts w:ascii="Times New Roman" w:hAnsi="Times New Roman" w:eastAsia="Calibri" w:cs="Times New Roman"/>
      <w:i/>
      <w:iCs/>
      <w:color w:val="000000"/>
      <w:kern w:val="0"/>
      <w:sz w:val="24"/>
    </w:rPr>
  </w:style>
  <w:style w:type="character" w:customStyle="1" w:styleId="12">
    <w:name w:val="页眉 字符"/>
    <w:basedOn w:val="8"/>
    <w:link w:val="4"/>
    <w:qFormat/>
    <w:uiPriority w:val="0"/>
    <w:rPr>
      <w:rFonts w:asciiTheme="minorHAnsi" w:hAnsiTheme="minorHAnsi" w:eastAsiaTheme="minorEastAsia" w:cstheme="minorBidi"/>
      <w:kern w:val="2"/>
      <w:sz w:val="18"/>
      <w:szCs w:val="18"/>
    </w:rPr>
  </w:style>
  <w:style w:type="character" w:customStyle="1" w:styleId="13">
    <w:name w:val="页脚 字符"/>
    <w:basedOn w:val="8"/>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3380</Words>
  <Characters>18783</Characters>
  <Lines>157</Lines>
  <Paragraphs>44</Paragraphs>
  <TotalTime>2</TotalTime>
  <ScaleCrop>false</ScaleCrop>
  <LinksUpToDate>false</LinksUpToDate>
  <CharactersWithSpaces>22078</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2025-03-28T08:01:00Z</dcterms:created>
  <dc:creator>Administrator</dc:creator>
  <cp:lastModifiedBy>TL</cp:lastModifiedBy>
  <dcterms:modified xsi:type="dcterms:W3CDTF">2025-04-13T16:19:16Z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eyJoZGlkIjoiNWI3NjVmZTlkYzUwMjhlNTdmY2NkY2FhZjQ0MTA4MGMiLCJ1c2VySWQiOiI4NjIwODE4MDgifQ==</vt:lpwstr>
  </property>
  <property fmtid="{D5CDD505-2E9C-101B-9397-08002B2CF9AE}" pid="4" name="ICV">
    <vt:lpwstr>E116F9C8E78747AEBC2D0D7B0152A2D7_12</vt:lpwstr>
  </property>
</Properties>
</file>