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Title"/>
        <w:keepNext w:val="0"/>
        <w:keepLines w:val="0"/>
        <w:shd w:fill="ffffff" w:val="clear"/>
        <w:spacing w:before="280" w:line="480" w:lineRule="auto"/>
        <w:ind w:left="720" w:hanging="360"/>
        <w:rPr>
          <w:rFonts w:ascii="Georgia" w:cs="Georgia" w:eastAsia="Georgia" w:hAnsi="Georgia"/>
        </w:rPr>
      </w:pPr>
      <w:bookmarkStart w:colFirst="0" w:colLast="0" w:name="_obswfbmq7wc3" w:id="0"/>
      <w:bookmarkEnd w:id="0"/>
      <w:r w:rsidDel="00000000" w:rsidR="00000000" w:rsidRPr="00000000">
        <w:rPr>
          <w:rFonts w:ascii="Georgia" w:cs="Georgia" w:eastAsia="Georgia" w:hAnsi="Georgia"/>
          <w:rtl w:val="0"/>
        </w:rPr>
        <w:t xml:space="preserve">Data Extraction Items: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hd w:fill="ffffff" w:val="clear"/>
        <w:spacing w:after="0" w:afterAutospacing="0" w:before="24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Study ID</w:t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: A unique identifier assigned to each study (e.g., S1, S2) for ease of reference throughout the review.</w:t>
        <w:br w:type="textWrapping"/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hd w:fill="ffffff" w:val="clear"/>
        <w:spacing w:after="0" w:afterAutospacing="0" w:before="0" w:beforeAutospacing="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Title of Study</w:t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: The full title of the publication being analyzed.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hd w:fill="ffffff" w:val="clear"/>
        <w:spacing w:after="0" w:afterAutospacing="0" w:before="0" w:beforeAutospacing="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Year of Publication</w:t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: The year the study was published, used to understand the temporal trends in LIWC usage.</w:t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hd w:fill="ffffff" w:val="clear"/>
        <w:spacing w:after="0" w:afterAutospacing="0" w:before="0" w:beforeAutospacing="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Authors</w:t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: The listed authors of the study.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hd w:fill="ffffff" w:val="clear"/>
        <w:spacing w:after="0" w:afterAutospacing="0" w:before="0" w:beforeAutospacing="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Publication Venue</w:t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: The conference, journal, or workshop where the study appeared. This helps contextualize the disciplinary focus of the work (e.g., SE, HCI, or interdisciplinary).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hd w:fill="ffffff" w:val="clear"/>
        <w:spacing w:after="0" w:afterAutospacing="0" w:before="0" w:beforeAutospacing="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Paper Abstract</w:t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: The abstract was extracted to provide a concise summary of the study’s content and facilitate initial screening.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hd w:fill="ffffff" w:val="clear"/>
        <w:spacing w:after="240" w:before="0" w:beforeAutospacing="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Was the paper collected through forward/backward snowballing?</w:t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: Indicates whether the study was retrieved using forward or backward snowballing from seed papers, helping document the search process.</w:t>
        <w:br w:type="textWrapping"/>
      </w:r>
    </w:p>
    <w:p w:rsidR="00000000" w:rsidDel="00000000" w:rsidP="00000000" w:rsidRDefault="00000000" w:rsidRPr="00000000" w14:paraId="00000009">
      <w:pPr>
        <w:shd w:fill="ffffff" w:val="clear"/>
        <w:spacing w:line="240" w:lineRule="auto"/>
        <w:ind w:left="720" w:hanging="360"/>
        <w:rPr>
          <w:rFonts w:ascii="Georgia" w:cs="Georgia" w:eastAsia="Georgia" w:hAnsi="Georgia"/>
          <w:color w:val="252525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spacing w:after="0" w:afterAutospacing="0" w:before="24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Were LIWC categories used directly or indirectly?</w:t>
        <w:br w:type="textWrapping"/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 Captures whether the study directly interpreted LIWC output (e.g., emotional tone, cognitive processes) or used LIWC-derived features within a larger model or analysis pipeline.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spacing w:after="0" w:afterAutospacing="0" w:before="0" w:beforeAutospacing="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What LIWC categories were used?</w:t>
        <w:br w:type="textWrapping"/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 Lists specific LIWC categories used in the study (e.g., 1st person singular, anger, clout), helping identify the psychological dimensions most relevant to software engineering.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spacing w:after="0" w:afterAutospacing="0" w:before="0" w:beforeAutospacing="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What data sources were used?</w:t>
        <w:br w:type="textWrapping"/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 Identifies the textual data analyzed using LIWC (e.g., GitHub issues, mailing lists, Stack Overflow posts), to track the types of communication studied.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hd w:fill="ffffff" w:val="clear"/>
        <w:spacing w:after="0" w:afterAutospacing="0" w:before="0" w:beforeAutospacing="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What software engineering activities were included?</w:t>
        <w:br w:type="textWrapping"/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 Categorizes the SE tasks or activities being studied (e.g., code review, issue reporting, team management), based on a deductive taxonomy.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hd w:fill="ffffff" w:val="clear"/>
        <w:spacing w:after="0" w:afterAutospacing="0" w:before="0" w:beforeAutospacing="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What BSE concepts were studied?</w:t>
        <w:br w:type="textWrapping"/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 Captures the behavioral software engineering (BSE) concepts addressed in the paper (e.g., burnout, trust, leadership), coded using an established conceptual framework.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spacing w:after="0" w:afterAutospacing="0" w:before="0" w:beforeAutospacing="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What evaluation techniques were utilized?</w:t>
        <w:br w:type="textWrapping"/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 Documents whether and how the authors evaluated LIWC’s output or effectiveness (e.g., comparisons with ground truth, triangulation, correlation with survey data).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spacing w:after="240" w:before="0" w:beforeAutospacing="0" w:line="240" w:lineRule="auto"/>
        <w:ind w:left="720" w:hanging="360"/>
        <w:rPr>
          <w:color w:val="252525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252525"/>
          <w:sz w:val="24"/>
          <w:szCs w:val="24"/>
          <w:rtl w:val="0"/>
        </w:rPr>
        <w:t xml:space="preserve">What concerns or limitations regarding LIWC were pointed out?</w:t>
        <w:br w:type="textWrapping"/>
      </w:r>
      <w:r w:rsidDel="00000000" w:rsidR="00000000" w:rsidRPr="00000000">
        <w:rPr>
          <w:rFonts w:ascii="Georgia" w:cs="Georgia" w:eastAsia="Georgia" w:hAnsi="Georgia"/>
          <w:color w:val="252525"/>
          <w:sz w:val="24"/>
          <w:szCs w:val="24"/>
          <w:rtl w:val="0"/>
        </w:rPr>
        <w:t xml:space="preserve"> Summarizes any critiques, limitations, or cautions raised by the study’s authors regarding LIWC’s use or interpretability.</w:t>
      </w:r>
    </w:p>
    <w:p w:rsidR="00000000" w:rsidDel="00000000" w:rsidP="00000000" w:rsidRDefault="00000000" w:rsidRPr="00000000" w14:paraId="00000011">
      <w:pPr>
        <w:shd w:fill="ffffff" w:val="clear"/>
        <w:spacing w:line="240" w:lineRule="auto"/>
        <w:rPr>
          <w:rFonts w:ascii="Georgia" w:cs="Georgia" w:eastAsia="Georgia" w:hAnsi="Georgia"/>
          <w:color w:val="252525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