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71807" w14:textId="646D2DE6" w:rsidR="00566CD5" w:rsidRPr="004D4649" w:rsidRDefault="00566CD5" w:rsidP="004D4649">
      <w:pPr>
        <w:spacing w:line="360" w:lineRule="auto"/>
        <w:jc w:val="center"/>
        <w:rPr>
          <w:rFonts w:ascii="Times New Roman" w:hAnsi="Times New Roman"/>
          <w:b/>
          <w:bCs/>
          <w:kern w:val="0"/>
          <w:sz w:val="28"/>
          <w:szCs w:val="28"/>
        </w:rPr>
      </w:pPr>
      <w:r w:rsidRPr="004D4649">
        <w:rPr>
          <w:rFonts w:ascii="Times New Roman" w:hAnsi="Times New Roman"/>
          <w:b/>
          <w:bCs/>
          <w:kern w:val="0"/>
          <w:sz w:val="28"/>
          <w:szCs w:val="28"/>
        </w:rPr>
        <w:t>Experimental Procedure of the Whole Exome Sequencing</w:t>
      </w:r>
    </w:p>
    <w:p w14:paraId="566D0EDA" w14:textId="77777777" w:rsidR="005428AE" w:rsidRPr="00B34902" w:rsidRDefault="005428AE" w:rsidP="004D4649">
      <w:pPr>
        <w:spacing w:line="360" w:lineRule="auto"/>
        <w:rPr>
          <w:rFonts w:ascii="Times New Roman" w:hAnsi="Times New Roman" w:hint="eastAsia"/>
          <w:b/>
          <w:bCs/>
          <w:kern w:val="0"/>
          <w:sz w:val="24"/>
        </w:rPr>
      </w:pPr>
    </w:p>
    <w:p w14:paraId="74193AAA" w14:textId="77777777" w:rsidR="00527A29" w:rsidRPr="00527A29" w:rsidRDefault="00527A29" w:rsidP="004D4649">
      <w:pPr>
        <w:numPr>
          <w:ilvl w:val="0"/>
          <w:numId w:val="1"/>
        </w:numPr>
        <w:spacing w:line="360" w:lineRule="auto"/>
        <w:rPr>
          <w:rFonts w:ascii="Times New Roman" w:hAnsi="Times New Roman"/>
          <w:b/>
          <w:bCs/>
          <w:kern w:val="0"/>
          <w:sz w:val="24"/>
        </w:rPr>
      </w:pPr>
      <w:r w:rsidRPr="00527A29">
        <w:rPr>
          <w:rFonts w:ascii="Times New Roman" w:hAnsi="Times New Roman"/>
          <w:b/>
          <w:bCs/>
          <w:kern w:val="0"/>
          <w:sz w:val="24"/>
        </w:rPr>
        <w:t>DNA Extraction</w:t>
      </w:r>
    </w:p>
    <w:p w14:paraId="06EC73B0" w14:textId="1B91E2F2"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Extract DNA using the magnetic bead-based method</w:t>
      </w:r>
      <w:r w:rsidR="004D4649">
        <w:rPr>
          <w:rFonts w:ascii="Times New Roman" w:hAnsi="Times New Roman" w:hint="eastAsia"/>
          <w:kern w:val="0"/>
          <w:sz w:val="24"/>
        </w:rPr>
        <w:t xml:space="preserve"> (</w:t>
      </w:r>
      <w:r w:rsidR="004D4649" w:rsidRPr="004D4649">
        <w:rPr>
          <w:rFonts w:ascii="Times New Roman" w:hAnsi="Times New Roman"/>
          <w:kern w:val="0"/>
          <w:sz w:val="24"/>
        </w:rPr>
        <w:t>931236</w:t>
      </w:r>
      <w:r w:rsidR="004D4649" w:rsidRPr="004D4649">
        <w:rPr>
          <w:rFonts w:ascii="Times New Roman" w:hAnsi="Times New Roman"/>
          <w:kern w:val="0"/>
          <w:sz w:val="24"/>
        </w:rPr>
        <w:t>，</w:t>
      </w:r>
      <w:r w:rsidR="004D4649" w:rsidRPr="004D4649">
        <w:rPr>
          <w:rFonts w:ascii="Times New Roman" w:hAnsi="Times New Roman"/>
          <w:kern w:val="0"/>
          <w:sz w:val="24"/>
        </w:rPr>
        <w:t>QIAGEN QIAsymphony DNA Mini kit</w:t>
      </w:r>
      <w:r w:rsidR="004D4649">
        <w:rPr>
          <w:rFonts w:ascii="Times New Roman" w:hAnsi="Times New Roman" w:hint="eastAsia"/>
          <w:kern w:val="0"/>
          <w:sz w:val="24"/>
        </w:rPr>
        <w:t xml:space="preserve">, </w:t>
      </w:r>
      <w:r w:rsidR="004D4649" w:rsidRPr="00527A29">
        <w:rPr>
          <w:rFonts w:ascii="Times New Roman" w:hAnsi="Times New Roman"/>
          <w:kern w:val="0"/>
          <w:sz w:val="24"/>
        </w:rPr>
        <w:t>Germany</w:t>
      </w:r>
      <w:r w:rsidR="004D4649">
        <w:rPr>
          <w:rFonts w:ascii="Times New Roman" w:hAnsi="Times New Roman" w:hint="eastAsia"/>
          <w:kern w:val="0"/>
          <w:sz w:val="24"/>
        </w:rPr>
        <w:t>)</w:t>
      </w:r>
      <w:r w:rsidRPr="00527A29">
        <w:rPr>
          <w:rFonts w:ascii="Times New Roman" w:hAnsi="Times New Roman"/>
          <w:kern w:val="0"/>
          <w:sz w:val="24"/>
        </w:rPr>
        <w:t xml:space="preserve"> with a nucleic acid extraction and purification analyzer (QIAsymphony SP, QIAGEN, </w:t>
      </w:r>
      <w:bookmarkStart w:id="0" w:name="OLE_LINK82"/>
      <w:r w:rsidRPr="00527A29">
        <w:rPr>
          <w:rFonts w:ascii="Times New Roman" w:hAnsi="Times New Roman"/>
          <w:kern w:val="0"/>
          <w:sz w:val="24"/>
        </w:rPr>
        <w:t>Germany</w:t>
      </w:r>
      <w:bookmarkEnd w:id="0"/>
      <w:r w:rsidRPr="00527A29">
        <w:rPr>
          <w:rFonts w:ascii="Times New Roman" w:hAnsi="Times New Roman"/>
          <w:kern w:val="0"/>
          <w:sz w:val="24"/>
        </w:rPr>
        <w:t>).</w:t>
      </w:r>
    </w:p>
    <w:p w14:paraId="381ED804" w14:textId="77777777"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Measure the DNA concentration using a microplate reader (Infinite 200 pro, Tecan, Switzerland). Only use DNA samples with a concentration of ≥10 ng/μL for subsequent experiments.</w:t>
      </w:r>
    </w:p>
    <w:p w14:paraId="1251EA52" w14:textId="77777777" w:rsidR="00527A29" w:rsidRPr="00527A29" w:rsidRDefault="00527A29" w:rsidP="004D4649">
      <w:pPr>
        <w:numPr>
          <w:ilvl w:val="0"/>
          <w:numId w:val="1"/>
        </w:numPr>
        <w:spacing w:line="360" w:lineRule="auto"/>
        <w:rPr>
          <w:rFonts w:ascii="Times New Roman" w:hAnsi="Times New Roman"/>
          <w:b/>
          <w:bCs/>
          <w:kern w:val="0"/>
          <w:sz w:val="24"/>
        </w:rPr>
      </w:pPr>
      <w:r w:rsidRPr="00527A29">
        <w:rPr>
          <w:rFonts w:ascii="Times New Roman" w:hAnsi="Times New Roman"/>
          <w:b/>
          <w:bCs/>
          <w:kern w:val="0"/>
          <w:sz w:val="24"/>
        </w:rPr>
        <w:t>Library Construction</w:t>
      </w:r>
    </w:p>
    <w:p w14:paraId="6B970F99" w14:textId="35FE14D0"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Digest 100 ng of the qualified DNA using a DNA library construction kit (180479, QIAGEN QIAseq FX DNA Library Kit, Germany), followed by end-repair and addition of an A-base.</w:t>
      </w:r>
    </w:p>
    <w:p w14:paraId="1D3E492F" w14:textId="77777777"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Add 2 μL of Index Adapter for ligation.</w:t>
      </w:r>
    </w:p>
    <w:p w14:paraId="798A596D" w14:textId="33C1F1A0"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Purify the ligated products and perform fragment selection using 0.8×AMPure XP beads (A63882, Beckman, USA).</w:t>
      </w:r>
    </w:p>
    <w:p w14:paraId="67D1E952" w14:textId="77777777" w:rsidR="004D464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 xml:space="preserve">Conduct PCR amplification under the following conditions: </w:t>
      </w:r>
    </w:p>
    <w:p w14:paraId="4B95A422" w14:textId="6F714787" w:rsidR="00527A29" w:rsidRPr="00527A29" w:rsidRDefault="00527A29" w:rsidP="004D4649">
      <w:pPr>
        <w:spacing w:line="360" w:lineRule="auto"/>
        <w:ind w:left="1440"/>
        <w:rPr>
          <w:rFonts w:ascii="Times New Roman" w:hAnsi="Times New Roman"/>
          <w:kern w:val="0"/>
          <w:sz w:val="24"/>
        </w:rPr>
      </w:pPr>
      <w:r w:rsidRPr="00527A29">
        <w:rPr>
          <w:rFonts w:ascii="Times New Roman" w:hAnsi="Times New Roman"/>
          <w:kern w:val="0"/>
          <w:sz w:val="24"/>
        </w:rPr>
        <w:t>[98°C, 2 min]; [98°C, 20 s; 60°C, 30 s; 72°C, 30 s] for 10 cycles; [72°C, 1 min]; [10°C, ∞].</w:t>
      </w:r>
    </w:p>
    <w:p w14:paraId="46C677CE" w14:textId="1A406727"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Purify the PCR products using 1×AMPure XP beads (A63882, Beckman, USA) to complete the library construction.</w:t>
      </w:r>
    </w:p>
    <w:p w14:paraId="46EEF04E" w14:textId="77777777"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Ensure the library concentration is ≥10 ng/μL. Use an Agilent 2100 Bioanalyzer (DNA 1000 Kit) to verify that the library fragment size ranges from 300 to 500 bp.</w:t>
      </w:r>
    </w:p>
    <w:p w14:paraId="5785AB57" w14:textId="77777777" w:rsidR="00527A29" w:rsidRPr="00527A29" w:rsidRDefault="00527A29" w:rsidP="004D4649">
      <w:pPr>
        <w:numPr>
          <w:ilvl w:val="0"/>
          <w:numId w:val="1"/>
        </w:numPr>
        <w:spacing w:line="360" w:lineRule="auto"/>
        <w:rPr>
          <w:rFonts w:ascii="Times New Roman" w:hAnsi="Times New Roman"/>
          <w:b/>
          <w:bCs/>
          <w:kern w:val="0"/>
          <w:sz w:val="24"/>
        </w:rPr>
      </w:pPr>
      <w:r w:rsidRPr="00527A29">
        <w:rPr>
          <w:rFonts w:ascii="Times New Roman" w:hAnsi="Times New Roman"/>
          <w:b/>
          <w:bCs/>
          <w:kern w:val="0"/>
          <w:sz w:val="24"/>
        </w:rPr>
        <w:t>Target Region Capture</w:t>
      </w:r>
    </w:p>
    <w:p w14:paraId="3E0AFBA0" w14:textId="13467001" w:rsidR="00527A29" w:rsidRPr="00527A29"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t>Use the Nuoandachip capture magnetic beads and hybridization-elution kit (1005101, Nuoandachip, China) to capture the whole-exome target regions.</w:t>
      </w:r>
    </w:p>
    <w:p w14:paraId="46640CDB" w14:textId="77777777" w:rsidR="00527A29" w:rsidRPr="00527A29" w:rsidRDefault="00527A29" w:rsidP="004D4649">
      <w:pPr>
        <w:numPr>
          <w:ilvl w:val="0"/>
          <w:numId w:val="1"/>
        </w:numPr>
        <w:spacing w:line="360" w:lineRule="auto"/>
        <w:rPr>
          <w:rFonts w:ascii="Times New Roman" w:hAnsi="Times New Roman"/>
          <w:b/>
          <w:bCs/>
          <w:kern w:val="0"/>
          <w:sz w:val="24"/>
        </w:rPr>
      </w:pPr>
      <w:r w:rsidRPr="00527A29">
        <w:rPr>
          <w:rFonts w:ascii="Times New Roman" w:hAnsi="Times New Roman"/>
          <w:b/>
          <w:bCs/>
          <w:kern w:val="0"/>
          <w:sz w:val="24"/>
        </w:rPr>
        <w:t>Target Region Amplification</w:t>
      </w:r>
    </w:p>
    <w:p w14:paraId="4CDC97D7" w14:textId="77777777" w:rsidR="00636F03" w:rsidRDefault="00527A29" w:rsidP="004D4649">
      <w:pPr>
        <w:numPr>
          <w:ilvl w:val="1"/>
          <w:numId w:val="1"/>
        </w:numPr>
        <w:spacing w:line="360" w:lineRule="auto"/>
        <w:rPr>
          <w:rFonts w:ascii="Times New Roman" w:hAnsi="Times New Roman"/>
          <w:kern w:val="0"/>
          <w:sz w:val="24"/>
        </w:rPr>
      </w:pPr>
      <w:r w:rsidRPr="00527A29">
        <w:rPr>
          <w:rFonts w:ascii="Times New Roman" w:hAnsi="Times New Roman"/>
          <w:kern w:val="0"/>
          <w:sz w:val="24"/>
        </w:rPr>
        <w:lastRenderedPageBreak/>
        <w:t xml:space="preserve">Amplify the captured target regions by PCR using a high-fidelity DNA polymerase (KK2621, KAPA, USA) with a product concentration of ≥10 ng/μL. </w:t>
      </w:r>
    </w:p>
    <w:p w14:paraId="0A3F4085" w14:textId="77777777" w:rsidR="00636F03" w:rsidRDefault="00527A29" w:rsidP="00636F03">
      <w:pPr>
        <w:spacing w:line="360" w:lineRule="auto"/>
        <w:ind w:left="1440"/>
        <w:rPr>
          <w:rFonts w:ascii="Times New Roman" w:hAnsi="Times New Roman"/>
          <w:kern w:val="0"/>
          <w:sz w:val="24"/>
        </w:rPr>
      </w:pPr>
      <w:r w:rsidRPr="00527A29">
        <w:rPr>
          <w:rFonts w:ascii="Times New Roman" w:hAnsi="Times New Roman"/>
          <w:kern w:val="0"/>
          <w:sz w:val="24"/>
        </w:rPr>
        <w:t xml:space="preserve">The PCR amplification conditions are as follows: </w:t>
      </w:r>
    </w:p>
    <w:p w14:paraId="074DFE56" w14:textId="45B9F6D6" w:rsidR="00527A29" w:rsidRPr="00527A29" w:rsidRDefault="00527A29" w:rsidP="00636F03">
      <w:pPr>
        <w:spacing w:line="360" w:lineRule="auto"/>
        <w:ind w:left="1440"/>
        <w:rPr>
          <w:rFonts w:ascii="Times New Roman" w:hAnsi="Times New Roman"/>
          <w:kern w:val="0"/>
          <w:sz w:val="24"/>
        </w:rPr>
      </w:pPr>
      <w:r w:rsidRPr="00527A29">
        <w:rPr>
          <w:rFonts w:ascii="Times New Roman" w:hAnsi="Times New Roman"/>
          <w:kern w:val="0"/>
          <w:sz w:val="24"/>
        </w:rPr>
        <w:t>[98°C, 45 s]; [98°C, 15 s; 65°C, 30 s; 72°C, 30 s] for 8 cycles; [72°C, 1 min]; [10°C, ∞].</w:t>
      </w:r>
    </w:p>
    <w:p w14:paraId="5622D560" w14:textId="77777777" w:rsidR="00527A29" w:rsidRPr="009E6D0A" w:rsidRDefault="00527A29" w:rsidP="004D4649">
      <w:pPr>
        <w:numPr>
          <w:ilvl w:val="0"/>
          <w:numId w:val="1"/>
        </w:numPr>
        <w:spacing w:line="360" w:lineRule="auto"/>
        <w:rPr>
          <w:rFonts w:ascii="Times New Roman" w:hAnsi="Times New Roman"/>
          <w:b/>
          <w:bCs/>
          <w:kern w:val="0"/>
          <w:sz w:val="24"/>
        </w:rPr>
      </w:pPr>
      <w:r w:rsidRPr="00527A29">
        <w:rPr>
          <w:rFonts w:ascii="Times New Roman" w:hAnsi="Times New Roman"/>
          <w:b/>
          <w:bCs/>
          <w:kern w:val="0"/>
          <w:sz w:val="24"/>
        </w:rPr>
        <w:t>Sequencing</w:t>
      </w:r>
    </w:p>
    <w:p w14:paraId="01D89CBC" w14:textId="27316CAE" w:rsidR="00A85B7E" w:rsidRPr="009E6D0A" w:rsidRDefault="00A85B7E" w:rsidP="009E6D0A">
      <w:pPr>
        <w:numPr>
          <w:ilvl w:val="1"/>
          <w:numId w:val="1"/>
        </w:numPr>
        <w:spacing w:line="360" w:lineRule="auto"/>
        <w:rPr>
          <w:rFonts w:ascii="Times New Roman" w:hAnsi="Times New Roman" w:hint="eastAsia"/>
          <w:kern w:val="0"/>
          <w:sz w:val="24"/>
        </w:rPr>
      </w:pPr>
      <w:bookmarkStart w:id="1" w:name="OLE_LINK84"/>
      <w:r w:rsidRPr="00527A29">
        <w:rPr>
          <w:rFonts w:ascii="Times New Roman" w:hAnsi="Times New Roman"/>
          <w:kern w:val="0"/>
          <w:sz w:val="24"/>
        </w:rPr>
        <w:t>Perform paired-end 150-bp (</w:t>
      </w:r>
      <w:r w:rsidRPr="009E6D0A">
        <w:rPr>
          <w:rFonts w:ascii="Times New Roman" w:hAnsi="Times New Roman" w:hint="eastAsia"/>
          <w:kern w:val="0"/>
          <w:sz w:val="24"/>
        </w:rPr>
        <w:t>Pair End 150bp</w:t>
      </w:r>
      <w:r w:rsidRPr="00527A29">
        <w:rPr>
          <w:rFonts w:ascii="Times New Roman" w:hAnsi="Times New Roman"/>
          <w:kern w:val="0"/>
          <w:sz w:val="24"/>
        </w:rPr>
        <w:t>) sequencing in high-throughput mode on a Novaseq 6000 sequencer (Illumina, USA).</w:t>
      </w:r>
    </w:p>
    <w:bookmarkEnd w:id="1"/>
    <w:p w14:paraId="06FE7871" w14:textId="020A3F9D" w:rsidR="009E6D0A" w:rsidRPr="009E6D0A" w:rsidRDefault="009E6D0A" w:rsidP="009E6D0A">
      <w:pPr>
        <w:numPr>
          <w:ilvl w:val="0"/>
          <w:numId w:val="1"/>
        </w:numPr>
        <w:spacing w:line="360" w:lineRule="auto"/>
        <w:rPr>
          <w:rFonts w:ascii="Times New Roman" w:hAnsi="Times New Roman"/>
          <w:b/>
          <w:bCs/>
          <w:kern w:val="0"/>
          <w:sz w:val="24"/>
        </w:rPr>
      </w:pPr>
      <w:r w:rsidRPr="009E6D0A">
        <w:rPr>
          <w:rFonts w:ascii="Times New Roman" w:hAnsi="Times New Roman"/>
          <w:b/>
          <w:bCs/>
          <w:kern w:val="0"/>
          <w:sz w:val="24"/>
        </w:rPr>
        <w:t>Bioinformatics analysis</w:t>
      </w:r>
    </w:p>
    <w:p w14:paraId="5591B4CD" w14:textId="259FC877" w:rsidR="00527A29" w:rsidRPr="00B34902" w:rsidRDefault="009E6D0A" w:rsidP="00396306">
      <w:pPr>
        <w:spacing w:line="360" w:lineRule="auto"/>
        <w:ind w:left="720"/>
        <w:rPr>
          <w:rFonts w:ascii="Times New Roman" w:hAnsi="Times New Roman" w:hint="eastAsia"/>
          <w:kern w:val="0"/>
          <w:sz w:val="24"/>
        </w:rPr>
      </w:pPr>
      <w:r w:rsidRPr="009E6D0A">
        <w:rPr>
          <w:rFonts w:ascii="Times New Roman" w:hAnsi="Times New Roman"/>
          <w:kern w:val="0"/>
          <w:sz w:val="24"/>
        </w:rPr>
        <w:t>After sequencing, the raw</w:t>
      </w:r>
      <w:r>
        <w:rPr>
          <w:rFonts w:ascii="Times New Roman" w:hAnsi="Times New Roman" w:hint="eastAsia"/>
          <w:kern w:val="0"/>
          <w:sz w:val="24"/>
        </w:rPr>
        <w:t xml:space="preserve"> </w:t>
      </w:r>
      <w:r w:rsidRPr="009E6D0A">
        <w:rPr>
          <w:rFonts w:ascii="Times New Roman" w:hAnsi="Times New Roman"/>
          <w:kern w:val="0"/>
          <w:sz w:val="24"/>
        </w:rPr>
        <w:t>data were saved as a FASTQ format, then followed the bioinformatics analysis: First, Illumina sequencing adapters and low</w:t>
      </w:r>
      <w:r>
        <w:rPr>
          <w:rFonts w:ascii="Times New Roman" w:hAnsi="Times New Roman" w:hint="eastAsia"/>
          <w:kern w:val="0"/>
          <w:sz w:val="24"/>
        </w:rPr>
        <w:t>-</w:t>
      </w:r>
      <w:r w:rsidRPr="009E6D0A">
        <w:rPr>
          <w:rFonts w:ascii="Times New Roman" w:hAnsi="Times New Roman"/>
          <w:kern w:val="0"/>
          <w:sz w:val="24"/>
        </w:rPr>
        <w:t xml:space="preserve">quality reads (&lt;80bp) were filtered by cutadapt. After quality control, the clean reads were mapped to the UCSC hg19 human reference genome using </w:t>
      </w:r>
      <w:r w:rsidR="00B131D2" w:rsidRPr="00B131D2">
        <w:rPr>
          <w:rFonts w:ascii="Times New Roman" w:hAnsi="Times New Roman"/>
          <w:kern w:val="0"/>
          <w:sz w:val="24"/>
        </w:rPr>
        <w:t>Burrows-Wheeler Aligner software</w:t>
      </w:r>
      <w:r w:rsidRPr="009E6D0A">
        <w:rPr>
          <w:rFonts w:ascii="Times New Roman" w:hAnsi="Times New Roman"/>
          <w:kern w:val="0"/>
          <w:sz w:val="24"/>
        </w:rPr>
        <w:t>. Duplicated reads were removed using picard tools and mapping reads were used for variation detection. Second, the variants of SNP and InDel were detected by GATK Haplotype Caller, then using GATK Variant Filtration to filter variant</w:t>
      </w:r>
      <w:r w:rsidR="00396306">
        <w:rPr>
          <w:rFonts w:ascii="Times New Roman" w:hAnsi="Times New Roman" w:hint="eastAsia"/>
          <w:kern w:val="0"/>
          <w:sz w:val="24"/>
        </w:rPr>
        <w:t xml:space="preserve">. </w:t>
      </w:r>
      <w:r w:rsidRPr="00B131D2">
        <w:rPr>
          <w:rFonts w:ascii="Times New Roman" w:hAnsi="Times New Roman"/>
          <w:kern w:val="0"/>
          <w:sz w:val="24"/>
        </w:rPr>
        <w:t xml:space="preserve">After above two steps, the data would be transformed to VCF format, variants were further annotated by ANNOVAR and associated with multiple databases, such as,1000 genome, ESP6500, dbSNP , </w:t>
      </w:r>
      <w:r w:rsidRPr="00B131D2">
        <w:rPr>
          <w:rFonts w:ascii="Times New Roman" w:hAnsi="Times New Roman" w:hint="eastAsia"/>
          <w:kern w:val="0"/>
          <w:sz w:val="24"/>
        </w:rPr>
        <w:t>EXAC</w:t>
      </w:r>
      <w:r w:rsidRPr="00B131D2">
        <w:rPr>
          <w:rFonts w:ascii="Times New Roman" w:hAnsi="Times New Roman"/>
          <w:kern w:val="0"/>
          <w:sz w:val="24"/>
        </w:rPr>
        <w:t>, Inhouse, HGMD, and predicted by SIFT, PolyPhen-2, MutationTaster, GERP++</w:t>
      </w:r>
      <w:r w:rsidRPr="00B131D2">
        <w:rPr>
          <w:rFonts w:ascii="Times New Roman" w:hAnsi="Times New Roman" w:hint="eastAsia"/>
          <w:kern w:val="0"/>
          <w:sz w:val="24"/>
        </w:rPr>
        <w:t>.</w:t>
      </w:r>
    </w:p>
    <w:p w14:paraId="7E988364" w14:textId="77777777" w:rsidR="002408DB" w:rsidRPr="00566CD5" w:rsidRDefault="002408DB" w:rsidP="004D4649">
      <w:pPr>
        <w:spacing w:line="360" w:lineRule="auto"/>
      </w:pPr>
    </w:p>
    <w:sectPr w:rsidR="002408DB" w:rsidRPr="00566C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C6797" w14:textId="77777777" w:rsidR="00B03555" w:rsidRDefault="00B03555" w:rsidP="00507F23">
      <w:r>
        <w:separator/>
      </w:r>
    </w:p>
  </w:endnote>
  <w:endnote w:type="continuationSeparator" w:id="0">
    <w:p w14:paraId="3F0CBDD2" w14:textId="77777777" w:rsidR="00B03555" w:rsidRDefault="00B03555" w:rsidP="0050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DE0B7" w14:textId="77777777" w:rsidR="00B03555" w:rsidRDefault="00B03555" w:rsidP="00507F23">
      <w:r>
        <w:separator/>
      </w:r>
    </w:p>
  </w:footnote>
  <w:footnote w:type="continuationSeparator" w:id="0">
    <w:p w14:paraId="4EB5D75B" w14:textId="77777777" w:rsidR="00B03555" w:rsidRDefault="00B03555" w:rsidP="00507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DD3FBE"/>
    <w:multiLevelType w:val="hybridMultilevel"/>
    <w:tmpl w:val="51E66E24"/>
    <w:lvl w:ilvl="0" w:tplc="912CCD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BAB576E"/>
    <w:multiLevelType w:val="multilevel"/>
    <w:tmpl w:val="E11A28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8333855">
    <w:abstractNumId w:val="1"/>
  </w:num>
  <w:num w:numId="2" w16cid:durableId="706216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kzMzc1ZGNkMjJjN2MyZTA3ZTNmYWQxZjAzNGM3MGEifQ=="/>
  </w:docVars>
  <w:rsids>
    <w:rsidRoot w:val="00CB11F3"/>
    <w:rsid w:val="000D4A00"/>
    <w:rsid w:val="000E4561"/>
    <w:rsid w:val="002408DB"/>
    <w:rsid w:val="00396306"/>
    <w:rsid w:val="004D4649"/>
    <w:rsid w:val="00507F23"/>
    <w:rsid w:val="00527A29"/>
    <w:rsid w:val="005428AE"/>
    <w:rsid w:val="00566CD5"/>
    <w:rsid w:val="00636F03"/>
    <w:rsid w:val="009C6120"/>
    <w:rsid w:val="009E6D0A"/>
    <w:rsid w:val="00A85B7E"/>
    <w:rsid w:val="00AD7A8D"/>
    <w:rsid w:val="00B03555"/>
    <w:rsid w:val="00B131D2"/>
    <w:rsid w:val="00B34902"/>
    <w:rsid w:val="00C95D34"/>
    <w:rsid w:val="00CB11F3"/>
    <w:rsid w:val="00E139A8"/>
    <w:rsid w:val="0403106C"/>
    <w:rsid w:val="05C611A9"/>
    <w:rsid w:val="1C35348E"/>
    <w:rsid w:val="21D124D5"/>
    <w:rsid w:val="27FA7EAB"/>
    <w:rsid w:val="29312A37"/>
    <w:rsid w:val="2C8108C4"/>
    <w:rsid w:val="339361B3"/>
    <w:rsid w:val="4762429A"/>
    <w:rsid w:val="5F185773"/>
    <w:rsid w:val="64B91AA0"/>
    <w:rsid w:val="655B1E97"/>
    <w:rsid w:val="719B7007"/>
    <w:rsid w:val="747A582F"/>
    <w:rsid w:val="7B705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A5AFE6"/>
  <w15:docId w15:val="{4E59EAAE-E99E-4442-933C-DDFB50DE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4">
    <w:name w:val="heading 4"/>
    <w:basedOn w:val="a"/>
    <w:next w:val="a"/>
    <w:link w:val="40"/>
    <w:uiPriority w:val="9"/>
    <w:semiHidden/>
    <w:unhideWhenUsed/>
    <w:qFormat/>
    <w:rsid w:val="00566CD5"/>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40">
    <w:name w:val="标题 4 字符"/>
    <w:basedOn w:val="a0"/>
    <w:link w:val="4"/>
    <w:uiPriority w:val="9"/>
    <w:semiHidden/>
    <w:rsid w:val="00566CD5"/>
    <w:rPr>
      <w:rFonts w:asciiTheme="majorHAnsi" w:eastAsiaTheme="majorEastAsia" w:hAnsiTheme="majorHAnsi" w:cstheme="majorBidi"/>
      <w:b/>
      <w:bCs/>
      <w:kern w:val="2"/>
      <w:sz w:val="28"/>
      <w:szCs w:val="28"/>
    </w:rPr>
  </w:style>
  <w:style w:type="character" w:styleId="a7">
    <w:name w:val="Hyperlink"/>
    <w:basedOn w:val="a0"/>
    <w:uiPriority w:val="99"/>
    <w:unhideWhenUsed/>
    <w:rsid w:val="00A85B7E"/>
    <w:rPr>
      <w:color w:val="0563C1" w:themeColor="hyperlink"/>
      <w:u w:val="single"/>
    </w:rPr>
  </w:style>
  <w:style w:type="paragraph" w:styleId="a8">
    <w:name w:val="List Paragraph"/>
    <w:basedOn w:val="a"/>
    <w:uiPriority w:val="34"/>
    <w:qFormat/>
    <w:rsid w:val="00A85B7E"/>
    <w:pPr>
      <w:ind w:firstLineChars="200" w:firstLine="42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509210">
      <w:bodyDiv w:val="1"/>
      <w:marLeft w:val="0"/>
      <w:marRight w:val="0"/>
      <w:marTop w:val="0"/>
      <w:marBottom w:val="0"/>
      <w:divBdr>
        <w:top w:val="none" w:sz="0" w:space="0" w:color="auto"/>
        <w:left w:val="none" w:sz="0" w:space="0" w:color="auto"/>
        <w:bottom w:val="none" w:sz="0" w:space="0" w:color="auto"/>
        <w:right w:val="none" w:sz="0" w:space="0" w:color="auto"/>
      </w:divBdr>
    </w:div>
    <w:div w:id="1032224492">
      <w:bodyDiv w:val="1"/>
      <w:marLeft w:val="0"/>
      <w:marRight w:val="0"/>
      <w:marTop w:val="0"/>
      <w:marBottom w:val="0"/>
      <w:divBdr>
        <w:top w:val="none" w:sz="0" w:space="0" w:color="auto"/>
        <w:left w:val="none" w:sz="0" w:space="0" w:color="auto"/>
        <w:bottom w:val="none" w:sz="0" w:space="0" w:color="auto"/>
        <w:right w:val="none" w:sz="0" w:space="0" w:color="auto"/>
      </w:divBdr>
    </w:div>
    <w:div w:id="1702365122">
      <w:bodyDiv w:val="1"/>
      <w:marLeft w:val="0"/>
      <w:marRight w:val="0"/>
      <w:marTop w:val="0"/>
      <w:marBottom w:val="0"/>
      <w:divBdr>
        <w:top w:val="none" w:sz="0" w:space="0" w:color="auto"/>
        <w:left w:val="none" w:sz="0" w:space="0" w:color="auto"/>
        <w:bottom w:val="none" w:sz="0" w:space="0" w:color="auto"/>
        <w:right w:val="none" w:sz="0" w:space="0" w:color="auto"/>
      </w:divBdr>
    </w:div>
    <w:div w:id="1969045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399</Words>
  <Characters>2279</Characters>
  <Application>Microsoft Office Word</Application>
  <DocSecurity>0</DocSecurity>
  <Lines>18</Lines>
  <Paragraphs>5</Paragraphs>
  <ScaleCrop>false</ScaleCrop>
  <Company>China</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lrm822925@fjmu.edu.cn</cp:lastModifiedBy>
  <cp:revision>17</cp:revision>
  <dcterms:created xsi:type="dcterms:W3CDTF">2025-03-27T03:53:00Z</dcterms:created>
  <dcterms:modified xsi:type="dcterms:W3CDTF">2025-03-27T04:25:00Z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F88F78662E5E4A16A075CD74E29C8A34_12</vt:lpwstr>
  </property>
</Properties>
</file>