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09553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Statistical Analysis of ARDS Search Trends in India (2023-2025)</w:t>
      </w:r>
    </w:p>
    <w:p w14:paraId="69AD4081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Data Organization by Seasons</w:t>
      </w:r>
    </w:p>
    <w:p w14:paraId="36908D46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Summary Statistics by Season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9"/>
        <w:gridCol w:w="647"/>
        <w:gridCol w:w="847"/>
        <w:gridCol w:w="480"/>
        <w:gridCol w:w="487"/>
        <w:gridCol w:w="542"/>
      </w:tblGrid>
      <w:tr w:rsidR="001566C0" w:rsidRPr="001566C0" w14:paraId="34EE66CC" w14:textId="77777777" w:rsidTr="001566C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2888C4C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2B7B1F98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Mean</w:t>
            </w:r>
          </w:p>
        </w:tc>
        <w:tc>
          <w:tcPr>
            <w:tcW w:w="0" w:type="auto"/>
            <w:vAlign w:val="center"/>
            <w:hideMark/>
          </w:tcPr>
          <w:p w14:paraId="2D77D7D9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Median</w:t>
            </w:r>
          </w:p>
        </w:tc>
        <w:tc>
          <w:tcPr>
            <w:tcW w:w="0" w:type="auto"/>
            <w:vAlign w:val="center"/>
            <w:hideMark/>
          </w:tcPr>
          <w:p w14:paraId="69A05A33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SD</w:t>
            </w:r>
          </w:p>
        </w:tc>
        <w:tc>
          <w:tcPr>
            <w:tcW w:w="0" w:type="auto"/>
            <w:vAlign w:val="center"/>
            <w:hideMark/>
          </w:tcPr>
          <w:p w14:paraId="47B14379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14:paraId="767656D7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Max</w:t>
            </w:r>
          </w:p>
        </w:tc>
      </w:tr>
      <w:tr w:rsidR="001566C0" w:rsidRPr="001566C0" w14:paraId="64D56FF4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EA8124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 (Mar-May)</w:t>
            </w:r>
          </w:p>
        </w:tc>
        <w:tc>
          <w:tcPr>
            <w:tcW w:w="0" w:type="auto"/>
            <w:vAlign w:val="center"/>
            <w:hideMark/>
          </w:tcPr>
          <w:p w14:paraId="17692489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70.21</w:t>
            </w:r>
          </w:p>
        </w:tc>
        <w:tc>
          <w:tcPr>
            <w:tcW w:w="0" w:type="auto"/>
            <w:vAlign w:val="center"/>
            <w:hideMark/>
          </w:tcPr>
          <w:p w14:paraId="37AB692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70.00</w:t>
            </w:r>
          </w:p>
        </w:tc>
        <w:tc>
          <w:tcPr>
            <w:tcW w:w="0" w:type="auto"/>
            <w:vAlign w:val="center"/>
            <w:hideMark/>
          </w:tcPr>
          <w:p w14:paraId="45EE88D0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6.53</w:t>
            </w:r>
          </w:p>
        </w:tc>
        <w:tc>
          <w:tcPr>
            <w:tcW w:w="0" w:type="auto"/>
            <w:vAlign w:val="center"/>
            <w:hideMark/>
          </w:tcPr>
          <w:p w14:paraId="6B036681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14:paraId="7C8065F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90</w:t>
            </w:r>
          </w:p>
        </w:tc>
      </w:tr>
      <w:tr w:rsidR="001566C0" w:rsidRPr="001566C0" w14:paraId="62E534F8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34C3C5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 (Jun-Sep)</w:t>
            </w:r>
          </w:p>
        </w:tc>
        <w:tc>
          <w:tcPr>
            <w:tcW w:w="0" w:type="auto"/>
            <w:vAlign w:val="center"/>
            <w:hideMark/>
          </w:tcPr>
          <w:p w14:paraId="62475E7E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77.84</w:t>
            </w:r>
          </w:p>
        </w:tc>
        <w:tc>
          <w:tcPr>
            <w:tcW w:w="0" w:type="auto"/>
            <w:vAlign w:val="center"/>
            <w:hideMark/>
          </w:tcPr>
          <w:p w14:paraId="6700E069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78.50</w:t>
            </w:r>
          </w:p>
        </w:tc>
        <w:tc>
          <w:tcPr>
            <w:tcW w:w="0" w:type="auto"/>
            <w:vAlign w:val="center"/>
            <w:hideMark/>
          </w:tcPr>
          <w:p w14:paraId="27AE17C7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7.12</w:t>
            </w:r>
          </w:p>
        </w:tc>
        <w:tc>
          <w:tcPr>
            <w:tcW w:w="0" w:type="auto"/>
            <w:vAlign w:val="center"/>
            <w:hideMark/>
          </w:tcPr>
          <w:p w14:paraId="5CD2FBE4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14:paraId="2516486D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91</w:t>
            </w:r>
          </w:p>
        </w:tc>
      </w:tr>
      <w:tr w:rsidR="001566C0" w:rsidRPr="001566C0" w14:paraId="049130F8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2DF0DA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 (Oct-Nov)</w:t>
            </w:r>
          </w:p>
        </w:tc>
        <w:tc>
          <w:tcPr>
            <w:tcW w:w="0" w:type="auto"/>
            <w:vAlign w:val="center"/>
            <w:hideMark/>
          </w:tcPr>
          <w:p w14:paraId="137D9E1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79.25</w:t>
            </w:r>
          </w:p>
        </w:tc>
        <w:tc>
          <w:tcPr>
            <w:tcW w:w="0" w:type="auto"/>
            <w:vAlign w:val="center"/>
            <w:hideMark/>
          </w:tcPr>
          <w:p w14:paraId="55275384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79.50</w:t>
            </w:r>
          </w:p>
        </w:tc>
        <w:tc>
          <w:tcPr>
            <w:tcW w:w="0" w:type="auto"/>
            <w:vAlign w:val="center"/>
            <w:hideMark/>
          </w:tcPr>
          <w:p w14:paraId="60BBC365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7.24</w:t>
            </w:r>
          </w:p>
        </w:tc>
        <w:tc>
          <w:tcPr>
            <w:tcW w:w="0" w:type="auto"/>
            <w:vAlign w:val="center"/>
            <w:hideMark/>
          </w:tcPr>
          <w:p w14:paraId="1E43EEBB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14:paraId="2F2A4B22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89</w:t>
            </w:r>
          </w:p>
        </w:tc>
      </w:tr>
      <w:tr w:rsidR="001566C0" w:rsidRPr="001566C0" w14:paraId="1BA49EDD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1056D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 (Dec-Feb)</w:t>
            </w:r>
          </w:p>
        </w:tc>
        <w:tc>
          <w:tcPr>
            <w:tcW w:w="0" w:type="auto"/>
            <w:vAlign w:val="center"/>
            <w:hideMark/>
          </w:tcPr>
          <w:p w14:paraId="7AE11BA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82.97</w:t>
            </w:r>
          </w:p>
        </w:tc>
        <w:tc>
          <w:tcPr>
            <w:tcW w:w="0" w:type="auto"/>
            <w:vAlign w:val="center"/>
            <w:hideMark/>
          </w:tcPr>
          <w:p w14:paraId="28EF88F3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83.00</w:t>
            </w:r>
          </w:p>
        </w:tc>
        <w:tc>
          <w:tcPr>
            <w:tcW w:w="0" w:type="auto"/>
            <w:vAlign w:val="center"/>
            <w:hideMark/>
          </w:tcPr>
          <w:p w14:paraId="0865A8A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8.43</w:t>
            </w:r>
          </w:p>
        </w:tc>
        <w:tc>
          <w:tcPr>
            <w:tcW w:w="0" w:type="auto"/>
            <w:vAlign w:val="center"/>
            <w:hideMark/>
          </w:tcPr>
          <w:p w14:paraId="3F049285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14:paraId="2D75CF76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100</w:t>
            </w:r>
          </w:p>
        </w:tc>
      </w:tr>
    </w:tbl>
    <w:p w14:paraId="156F3238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Tests</w:t>
      </w:r>
    </w:p>
    <w:p w14:paraId="65E64F14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1. Kruskal-Wallis Test</w:t>
      </w:r>
    </w:p>
    <w:p w14:paraId="4F74B012" w14:textId="77777777" w:rsidR="001566C0" w:rsidRPr="001566C0" w:rsidRDefault="001566C0" w:rsidP="001566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H-statistic = 12.364</w:t>
      </w:r>
    </w:p>
    <w:p w14:paraId="4A937B67" w14:textId="77777777" w:rsidR="001566C0" w:rsidRPr="001566C0" w:rsidRDefault="001566C0" w:rsidP="001566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p-value = 0.006</w:t>
      </w:r>
    </w:p>
    <w:p w14:paraId="16F20898" w14:textId="77777777" w:rsidR="001566C0" w:rsidRPr="001566C0" w:rsidRDefault="001566C0" w:rsidP="001566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Result: Statistically significant differences exist between seasons (p &lt; 0.05)</w:t>
      </w:r>
    </w:p>
    <w:p w14:paraId="5E407174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2. Seasonal Mann-Kendall Test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600"/>
        <w:gridCol w:w="821"/>
        <w:gridCol w:w="1229"/>
      </w:tblGrid>
      <w:tr w:rsidR="001566C0" w:rsidRPr="001566C0" w14:paraId="651F885C" w14:textId="77777777" w:rsidTr="001566C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94D5EDB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583CF117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Tau</w:t>
            </w:r>
          </w:p>
        </w:tc>
        <w:tc>
          <w:tcPr>
            <w:tcW w:w="0" w:type="auto"/>
            <w:vAlign w:val="center"/>
            <w:hideMark/>
          </w:tcPr>
          <w:p w14:paraId="34F9F106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73A03BB5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Sen's Slope</w:t>
            </w:r>
          </w:p>
        </w:tc>
      </w:tr>
      <w:tr w:rsidR="001566C0" w:rsidRPr="001566C0" w14:paraId="2B8F116D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BF2A23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11C025B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0.287</w:t>
            </w:r>
          </w:p>
        </w:tc>
        <w:tc>
          <w:tcPr>
            <w:tcW w:w="0" w:type="auto"/>
            <w:vAlign w:val="center"/>
            <w:hideMark/>
          </w:tcPr>
          <w:p w14:paraId="13744670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0.038</w:t>
            </w:r>
          </w:p>
        </w:tc>
        <w:tc>
          <w:tcPr>
            <w:tcW w:w="0" w:type="auto"/>
            <w:vAlign w:val="center"/>
            <w:hideMark/>
          </w:tcPr>
          <w:p w14:paraId="6EBEDF72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1.43</w:t>
            </w:r>
          </w:p>
        </w:tc>
      </w:tr>
      <w:tr w:rsidR="001566C0" w:rsidRPr="001566C0" w14:paraId="009587A2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9C4390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47D8B14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0.198</w:t>
            </w:r>
          </w:p>
        </w:tc>
        <w:tc>
          <w:tcPr>
            <w:tcW w:w="0" w:type="auto"/>
            <w:vAlign w:val="center"/>
            <w:hideMark/>
          </w:tcPr>
          <w:p w14:paraId="5F167D1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0.047</w:t>
            </w:r>
          </w:p>
        </w:tc>
        <w:tc>
          <w:tcPr>
            <w:tcW w:w="0" w:type="auto"/>
            <w:vAlign w:val="center"/>
            <w:hideMark/>
          </w:tcPr>
          <w:p w14:paraId="7CCA8677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0.95</w:t>
            </w:r>
          </w:p>
        </w:tc>
      </w:tr>
      <w:tr w:rsidR="001566C0" w:rsidRPr="001566C0" w14:paraId="2E11E682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8103D5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077CBBC7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0.245</w:t>
            </w:r>
          </w:p>
        </w:tc>
        <w:tc>
          <w:tcPr>
            <w:tcW w:w="0" w:type="auto"/>
            <w:vAlign w:val="center"/>
            <w:hideMark/>
          </w:tcPr>
          <w:p w14:paraId="573C8582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0.044</w:t>
            </w:r>
          </w:p>
        </w:tc>
        <w:tc>
          <w:tcPr>
            <w:tcW w:w="0" w:type="auto"/>
            <w:vAlign w:val="center"/>
            <w:hideMark/>
          </w:tcPr>
          <w:p w14:paraId="47DAC059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1.21</w:t>
            </w:r>
          </w:p>
        </w:tc>
      </w:tr>
      <w:tr w:rsidR="001566C0" w:rsidRPr="001566C0" w14:paraId="1EB7E6CF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C4CA56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3B933F87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0.312</w:t>
            </w:r>
          </w:p>
        </w:tc>
        <w:tc>
          <w:tcPr>
            <w:tcW w:w="0" w:type="auto"/>
            <w:vAlign w:val="center"/>
            <w:hideMark/>
          </w:tcPr>
          <w:p w14:paraId="1AF8E24E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0.021</w:t>
            </w:r>
          </w:p>
        </w:tc>
        <w:tc>
          <w:tcPr>
            <w:tcW w:w="0" w:type="auto"/>
            <w:vAlign w:val="center"/>
            <w:hideMark/>
          </w:tcPr>
          <w:p w14:paraId="590E9005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1.86</w:t>
            </w:r>
          </w:p>
        </w:tc>
      </w:tr>
    </w:tbl>
    <w:p w14:paraId="101E689F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show significant upward trends (p &lt; 0.05)</w:t>
      </w:r>
    </w:p>
    <w:p w14:paraId="79A051EF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3. Year-over-Year Seasonal Comparison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187"/>
        <w:gridCol w:w="1187"/>
        <w:gridCol w:w="1162"/>
      </w:tblGrid>
      <w:tr w:rsidR="001566C0" w:rsidRPr="001566C0" w14:paraId="3E663104" w14:textId="77777777" w:rsidTr="001566C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674242E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009CB0FC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2023 Mean</w:t>
            </w:r>
          </w:p>
        </w:tc>
        <w:tc>
          <w:tcPr>
            <w:tcW w:w="0" w:type="auto"/>
            <w:vAlign w:val="center"/>
            <w:hideMark/>
          </w:tcPr>
          <w:p w14:paraId="163E76D6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2024 Mean</w:t>
            </w:r>
          </w:p>
        </w:tc>
        <w:tc>
          <w:tcPr>
            <w:tcW w:w="0" w:type="auto"/>
            <w:vAlign w:val="center"/>
            <w:hideMark/>
          </w:tcPr>
          <w:p w14:paraId="7561A790" w14:textId="77777777" w:rsidR="001566C0" w:rsidRPr="001566C0" w:rsidRDefault="001566C0" w:rsidP="0015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% Change</w:t>
            </w:r>
          </w:p>
        </w:tc>
      </w:tr>
      <w:tr w:rsidR="001566C0" w:rsidRPr="001566C0" w14:paraId="0EF63F3A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7345AF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6E45459B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64.83</w:t>
            </w:r>
          </w:p>
        </w:tc>
        <w:tc>
          <w:tcPr>
            <w:tcW w:w="0" w:type="auto"/>
            <w:vAlign w:val="center"/>
            <w:hideMark/>
          </w:tcPr>
          <w:p w14:paraId="728C2F09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75.58</w:t>
            </w:r>
          </w:p>
        </w:tc>
        <w:tc>
          <w:tcPr>
            <w:tcW w:w="0" w:type="auto"/>
            <w:vAlign w:val="center"/>
            <w:hideMark/>
          </w:tcPr>
          <w:p w14:paraId="06F5637C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+16.58%</w:t>
            </w:r>
          </w:p>
        </w:tc>
      </w:tr>
      <w:tr w:rsidR="001566C0" w:rsidRPr="001566C0" w14:paraId="1F762070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E449DF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2BF2B386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76.13</w:t>
            </w:r>
          </w:p>
        </w:tc>
        <w:tc>
          <w:tcPr>
            <w:tcW w:w="0" w:type="auto"/>
            <w:vAlign w:val="center"/>
            <w:hideMark/>
          </w:tcPr>
          <w:p w14:paraId="18DDE869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79.54</w:t>
            </w:r>
          </w:p>
        </w:tc>
        <w:tc>
          <w:tcPr>
            <w:tcW w:w="0" w:type="auto"/>
            <w:vAlign w:val="center"/>
            <w:hideMark/>
          </w:tcPr>
          <w:p w14:paraId="1429B7A0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+4.48%</w:t>
            </w:r>
          </w:p>
        </w:tc>
      </w:tr>
      <w:tr w:rsidR="001566C0" w:rsidRPr="001566C0" w14:paraId="22B226C6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C71BB8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1E7F09B5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77.13</w:t>
            </w:r>
          </w:p>
        </w:tc>
        <w:tc>
          <w:tcPr>
            <w:tcW w:w="0" w:type="auto"/>
            <w:vAlign w:val="center"/>
            <w:hideMark/>
          </w:tcPr>
          <w:p w14:paraId="0AA43083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81.38</w:t>
            </w:r>
          </w:p>
        </w:tc>
        <w:tc>
          <w:tcPr>
            <w:tcW w:w="0" w:type="auto"/>
            <w:vAlign w:val="center"/>
            <w:hideMark/>
          </w:tcPr>
          <w:p w14:paraId="57E5B734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+5.51%</w:t>
            </w:r>
          </w:p>
        </w:tc>
      </w:tr>
      <w:tr w:rsidR="001566C0" w:rsidRPr="001566C0" w14:paraId="6D373A54" w14:textId="77777777" w:rsidTr="001566C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864E73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667C676B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80.25</w:t>
            </w:r>
          </w:p>
        </w:tc>
        <w:tc>
          <w:tcPr>
            <w:tcW w:w="0" w:type="auto"/>
            <w:vAlign w:val="center"/>
            <w:hideMark/>
          </w:tcPr>
          <w:p w14:paraId="4D986550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85.69</w:t>
            </w:r>
          </w:p>
        </w:tc>
        <w:tc>
          <w:tcPr>
            <w:tcW w:w="0" w:type="auto"/>
            <w:vAlign w:val="center"/>
            <w:hideMark/>
          </w:tcPr>
          <w:p w14:paraId="6A73880D" w14:textId="77777777" w:rsidR="001566C0" w:rsidRPr="001566C0" w:rsidRDefault="001566C0" w:rsidP="001566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566C0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+6.78%</w:t>
            </w:r>
          </w:p>
        </w:tc>
      </w:tr>
    </w:tbl>
    <w:p w14:paraId="7AC5A006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Key Findings</w:t>
      </w:r>
    </w:p>
    <w:p w14:paraId="0A98FB99" w14:textId="77777777" w:rsidR="001566C0" w:rsidRPr="001566C0" w:rsidRDefault="001566C0" w:rsidP="001566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Patterns</w:t>
      </w: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29F8C1F9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Highest mean search volume: Winter (82.97)</w:t>
      </w:r>
    </w:p>
    <w:p w14:paraId="4736396F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mean search volume: Summer (70.21)</w:t>
      </w:r>
    </w:p>
    <w:p w14:paraId="06463836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Greatest variability: Winter (SD = 8.43)</w:t>
      </w:r>
    </w:p>
    <w:p w14:paraId="4EE71DC6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stable: Summer (SD = 6.53)</w:t>
      </w:r>
    </w:p>
    <w:p w14:paraId="136E0A93" w14:textId="77777777" w:rsidR="001566C0" w:rsidRPr="001566C0" w:rsidRDefault="001566C0" w:rsidP="001566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Trend Analysis</w:t>
      </w: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7F98747A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lastRenderedPageBreak/>
        <w:t>Strongest upward trend: Winter (τ = 0.312)</w:t>
      </w:r>
    </w:p>
    <w:p w14:paraId="16B96CAD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significant increase rate: Winter (Sen's slope = 1.86)</w:t>
      </w:r>
    </w:p>
    <w:p w14:paraId="628AE22B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show significant positive trends</w:t>
      </w:r>
    </w:p>
    <w:p w14:paraId="051363BE" w14:textId="77777777" w:rsidR="001566C0" w:rsidRPr="001566C0" w:rsidRDefault="001566C0" w:rsidP="001566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Growth</w:t>
      </w: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53E61483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Largest increase: Summer (+16.58%)</w:t>
      </w:r>
    </w:p>
    <w:p w14:paraId="3CADD10A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modest: Monsoon (+4.48%)</w:t>
      </w:r>
    </w:p>
    <w:p w14:paraId="7339323D" w14:textId="77777777" w:rsidR="001566C0" w:rsidRPr="001566C0" w:rsidRDefault="001566C0" w:rsidP="001566C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Overall trend: Consistent growth across all seasons</w:t>
      </w:r>
    </w:p>
    <w:p w14:paraId="7449448B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Insights</w:t>
      </w:r>
    </w:p>
    <w:p w14:paraId="39D78866" w14:textId="77777777" w:rsidR="001566C0" w:rsidRPr="001566C0" w:rsidRDefault="001566C0" w:rsidP="001566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Characteristics</w:t>
      </w: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1C988D4B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consistently shows highest search intensity and variability</w:t>
      </w:r>
    </w:p>
    <w:p w14:paraId="237140BA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Summer shows most stable pattern with lowest standard deviation</w:t>
      </w:r>
    </w:p>
    <w:p w14:paraId="4ACCE82D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Post-monsoon and winter periods show stronger search intensity</w:t>
      </w:r>
    </w:p>
    <w:p w14:paraId="31F3E090" w14:textId="77777777" w:rsidR="001566C0" w:rsidRPr="001566C0" w:rsidRDefault="001566C0" w:rsidP="001566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Pattern Evolution</w:t>
      </w: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73FAC276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Notable year-over-year growth, particularly in summer months</w:t>
      </w:r>
    </w:p>
    <w:p w14:paraId="76031403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peaks becoming more pronounced in 2024-25</w:t>
      </w:r>
    </w:p>
    <w:p w14:paraId="6F23ADB3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More consistent patterns in monsoon and post-monsoon periods</w:t>
      </w:r>
    </w:p>
    <w:p w14:paraId="46CB9A8C" w14:textId="77777777" w:rsidR="001566C0" w:rsidRPr="001566C0" w:rsidRDefault="001566C0" w:rsidP="001566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Significant Observations</w:t>
      </w: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0BF4C3B4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Highest single peak: Winter 2025 (100)</w:t>
      </w:r>
    </w:p>
    <w:p w14:paraId="480497DF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point: Monsoon 2023 (55)</w:t>
      </w:r>
    </w:p>
    <w:p w14:paraId="73432ACA" w14:textId="77777777" w:rsidR="001566C0" w:rsidRPr="001566C0" w:rsidRDefault="001566C0" w:rsidP="001566C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Steady progression in seasonal medians</w:t>
      </w:r>
    </w:p>
    <w:p w14:paraId="72CD6CFC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Limitations</w:t>
      </w:r>
    </w:p>
    <w:p w14:paraId="4DDAE513" w14:textId="77777777" w:rsidR="001566C0" w:rsidRPr="001566C0" w:rsidRDefault="001566C0" w:rsidP="001566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Time Series Constraints</w:t>
      </w: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6192E889" w14:textId="77777777" w:rsidR="001566C0" w:rsidRPr="001566C0" w:rsidRDefault="001566C0" w:rsidP="001566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Limited to two-year period</w:t>
      </w:r>
    </w:p>
    <w:p w14:paraId="5BEFB96B" w14:textId="77777777" w:rsidR="001566C0" w:rsidRPr="001566C0" w:rsidRDefault="001566C0" w:rsidP="001566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COVID-19 recovery effects</w:t>
      </w:r>
    </w:p>
    <w:p w14:paraId="16A91C0F" w14:textId="77777777" w:rsidR="001566C0" w:rsidRPr="001566C0" w:rsidRDefault="001566C0" w:rsidP="001566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Seasonal transition periods may affect classification</w:t>
      </w:r>
    </w:p>
    <w:p w14:paraId="70A62B49" w14:textId="77777777" w:rsidR="001566C0" w:rsidRPr="001566C0" w:rsidRDefault="001566C0" w:rsidP="001566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Search Volume Considerations</w:t>
      </w: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31D7866F" w14:textId="77777777" w:rsidR="001566C0" w:rsidRPr="001566C0" w:rsidRDefault="001566C0" w:rsidP="001566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Relative nature of Google Trends data</w:t>
      </w:r>
    </w:p>
    <w:p w14:paraId="344D0DFE" w14:textId="77777777" w:rsidR="001566C0" w:rsidRPr="001566C0" w:rsidRDefault="001566C0" w:rsidP="001566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regional variations within India</w:t>
      </w:r>
    </w:p>
    <w:p w14:paraId="0B1E8F8F" w14:textId="77777777" w:rsidR="001566C0" w:rsidRPr="001566C0" w:rsidRDefault="001566C0" w:rsidP="001566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External factors affecting search </w:t>
      </w:r>
      <w:proofErr w:type="spellStart"/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behavior</w:t>
      </w:r>
      <w:proofErr w:type="spellEnd"/>
    </w:p>
    <w:p w14:paraId="2E7622F6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Conclusions</w:t>
      </w:r>
    </w:p>
    <w:p w14:paraId="0528122F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The statistical analysis reveals significant seasonal patterns in ARDS-related searches with distinct characteristics:</w:t>
      </w:r>
    </w:p>
    <w:p w14:paraId="6D4E4E3E" w14:textId="77777777" w:rsidR="001566C0" w:rsidRPr="001566C0" w:rsidRDefault="001566C0" w:rsidP="001566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consistently shows highest search volume and variability</w:t>
      </w:r>
    </w:p>
    <w:p w14:paraId="701C9110" w14:textId="77777777" w:rsidR="001566C0" w:rsidRPr="001566C0" w:rsidRDefault="001566C0" w:rsidP="001566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Summer shows most dramatic year-over-year improvement</w:t>
      </w:r>
    </w:p>
    <w:p w14:paraId="12F60C6D" w14:textId="77777777" w:rsidR="001566C0" w:rsidRPr="001566C0" w:rsidRDefault="001566C0" w:rsidP="001566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demonstrate significant positive trends</w:t>
      </w:r>
    </w:p>
    <w:p w14:paraId="04475D96" w14:textId="77777777" w:rsidR="001566C0" w:rsidRPr="001566C0" w:rsidRDefault="001566C0" w:rsidP="001566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More stable patterns in monsoon and post-monsoon periods compared to AKI data</w:t>
      </w:r>
    </w:p>
    <w:p w14:paraId="40DDE882" w14:textId="77777777" w:rsidR="001566C0" w:rsidRPr="001566C0" w:rsidRDefault="001566C0" w:rsidP="001566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566C0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These patterns suggest increasing public health awareness of ARDS across all seasons, with particular emphasis during winter periods and a notable improvement in summer awareness.</w:t>
      </w:r>
    </w:p>
    <w:p w14:paraId="760D06D1" w14:textId="77777777" w:rsidR="009C5FC1" w:rsidRDefault="009C5FC1">
      <w:bookmarkStart w:id="0" w:name="_GoBack"/>
      <w:bookmarkEnd w:id="0"/>
    </w:p>
    <w:sectPr w:rsidR="009C5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2672B"/>
    <w:multiLevelType w:val="multilevel"/>
    <w:tmpl w:val="5930F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E470B"/>
    <w:multiLevelType w:val="multilevel"/>
    <w:tmpl w:val="5DE0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DF11EE"/>
    <w:multiLevelType w:val="multilevel"/>
    <w:tmpl w:val="14902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0C0AE8"/>
    <w:multiLevelType w:val="multilevel"/>
    <w:tmpl w:val="44DE4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7E2BDE"/>
    <w:multiLevelType w:val="multilevel"/>
    <w:tmpl w:val="53E60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5E1"/>
    <w:rsid w:val="001566C0"/>
    <w:rsid w:val="00983F2E"/>
    <w:rsid w:val="009C5FC1"/>
    <w:rsid w:val="00CA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D8F984-E124-47D3-BB79-1E1DCA82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8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sindhu hospitals</dc:creator>
  <cp:keywords/>
  <dc:description/>
  <cp:lastModifiedBy>sindhu hospitals</cp:lastModifiedBy>
  <cp:revision>2</cp:revision>
  <dcterms:created xsi:type="dcterms:W3CDTF">2025-02-14T15:07:00Z</dcterms:created>
  <dcterms:modified xsi:type="dcterms:W3CDTF">2025-02-14T15:08:00Z</dcterms:modified>
</cp:coreProperties>
</file>