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69AD3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IN"/>
          <w14:ligatures w14:val="none"/>
        </w:rPr>
        <w:t>Seasonal Statistical Analysis of AKI Search Trends in India (2023-2025)</w:t>
      </w:r>
    </w:p>
    <w:p w14:paraId="028E6780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Data Organization by Seasons</w:t>
      </w:r>
    </w:p>
    <w:p w14:paraId="2C253A9F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9"/>
        <w:gridCol w:w="647"/>
        <w:gridCol w:w="847"/>
        <w:gridCol w:w="600"/>
        <w:gridCol w:w="487"/>
        <w:gridCol w:w="542"/>
      </w:tblGrid>
      <w:tr w:rsidR="00194513" w:rsidRPr="00194513" w14:paraId="7F626207" w14:textId="77777777" w:rsidTr="0019451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B46A42E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50154EF4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5C82C31A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1F839BD5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16FDF6A0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27EB0D1A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194513" w:rsidRPr="00194513" w14:paraId="3F7A19F9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57A09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 (Mar-May)</w:t>
            </w:r>
          </w:p>
        </w:tc>
        <w:tc>
          <w:tcPr>
            <w:tcW w:w="0" w:type="auto"/>
            <w:vAlign w:val="center"/>
            <w:hideMark/>
          </w:tcPr>
          <w:p w14:paraId="48B909BD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63.94</w:t>
            </w:r>
          </w:p>
        </w:tc>
        <w:tc>
          <w:tcPr>
            <w:tcW w:w="0" w:type="auto"/>
            <w:vAlign w:val="center"/>
            <w:hideMark/>
          </w:tcPr>
          <w:p w14:paraId="7DB770B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64.00</w:t>
            </w:r>
          </w:p>
        </w:tc>
        <w:tc>
          <w:tcPr>
            <w:tcW w:w="0" w:type="auto"/>
            <w:vAlign w:val="center"/>
            <w:hideMark/>
          </w:tcPr>
          <w:p w14:paraId="016D4E78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9.96</w:t>
            </w:r>
          </w:p>
        </w:tc>
        <w:tc>
          <w:tcPr>
            <w:tcW w:w="0" w:type="auto"/>
            <w:vAlign w:val="center"/>
            <w:hideMark/>
          </w:tcPr>
          <w:p w14:paraId="5968077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14:paraId="06F35114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88</w:t>
            </w:r>
          </w:p>
        </w:tc>
      </w:tr>
      <w:tr w:rsidR="00194513" w:rsidRPr="00194513" w14:paraId="780966E9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4337A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 (Jun-Sep)</w:t>
            </w:r>
          </w:p>
        </w:tc>
        <w:tc>
          <w:tcPr>
            <w:tcW w:w="0" w:type="auto"/>
            <w:vAlign w:val="center"/>
            <w:hideMark/>
          </w:tcPr>
          <w:p w14:paraId="0FBAE57A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70.71</w:t>
            </w:r>
          </w:p>
        </w:tc>
        <w:tc>
          <w:tcPr>
            <w:tcW w:w="0" w:type="auto"/>
            <w:vAlign w:val="center"/>
            <w:hideMark/>
          </w:tcPr>
          <w:p w14:paraId="10022AB4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70.00</w:t>
            </w:r>
          </w:p>
        </w:tc>
        <w:tc>
          <w:tcPr>
            <w:tcW w:w="0" w:type="auto"/>
            <w:vAlign w:val="center"/>
            <w:hideMark/>
          </w:tcPr>
          <w:p w14:paraId="3E2CE36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11.83</w:t>
            </w:r>
          </w:p>
        </w:tc>
        <w:tc>
          <w:tcPr>
            <w:tcW w:w="0" w:type="auto"/>
            <w:vAlign w:val="center"/>
            <w:hideMark/>
          </w:tcPr>
          <w:p w14:paraId="5B1CC01B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14:paraId="7902B5E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92</w:t>
            </w:r>
          </w:p>
        </w:tc>
      </w:tr>
      <w:tr w:rsidR="00194513" w:rsidRPr="00194513" w14:paraId="5F68CF03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BDEC90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 (Oct-Nov)</w:t>
            </w:r>
          </w:p>
        </w:tc>
        <w:tc>
          <w:tcPr>
            <w:tcW w:w="0" w:type="auto"/>
            <w:vAlign w:val="center"/>
            <w:hideMark/>
          </w:tcPr>
          <w:p w14:paraId="602903C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70.31</w:t>
            </w:r>
          </w:p>
        </w:tc>
        <w:tc>
          <w:tcPr>
            <w:tcW w:w="0" w:type="auto"/>
            <w:vAlign w:val="center"/>
            <w:hideMark/>
          </w:tcPr>
          <w:p w14:paraId="20832E0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73.00</w:t>
            </w:r>
          </w:p>
        </w:tc>
        <w:tc>
          <w:tcPr>
            <w:tcW w:w="0" w:type="auto"/>
            <w:vAlign w:val="center"/>
            <w:hideMark/>
          </w:tcPr>
          <w:p w14:paraId="638AA87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13.52</w:t>
            </w:r>
          </w:p>
        </w:tc>
        <w:tc>
          <w:tcPr>
            <w:tcW w:w="0" w:type="auto"/>
            <w:vAlign w:val="center"/>
            <w:hideMark/>
          </w:tcPr>
          <w:p w14:paraId="596E1E8B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14:paraId="7096AC9C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90</w:t>
            </w:r>
          </w:p>
        </w:tc>
      </w:tr>
      <w:tr w:rsidR="00194513" w:rsidRPr="00194513" w14:paraId="118BD544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DA871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 (Dec-Feb)</w:t>
            </w:r>
          </w:p>
        </w:tc>
        <w:tc>
          <w:tcPr>
            <w:tcW w:w="0" w:type="auto"/>
            <w:vAlign w:val="center"/>
            <w:hideMark/>
          </w:tcPr>
          <w:p w14:paraId="247E92B8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73.04</w:t>
            </w:r>
          </w:p>
        </w:tc>
        <w:tc>
          <w:tcPr>
            <w:tcW w:w="0" w:type="auto"/>
            <w:vAlign w:val="center"/>
            <w:hideMark/>
          </w:tcPr>
          <w:p w14:paraId="26CF6A3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73.00</w:t>
            </w:r>
          </w:p>
        </w:tc>
        <w:tc>
          <w:tcPr>
            <w:tcW w:w="0" w:type="auto"/>
            <w:vAlign w:val="center"/>
            <w:hideMark/>
          </w:tcPr>
          <w:p w14:paraId="7E2BBEB6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14.87</w:t>
            </w:r>
          </w:p>
        </w:tc>
        <w:tc>
          <w:tcPr>
            <w:tcW w:w="0" w:type="auto"/>
            <w:vAlign w:val="center"/>
            <w:hideMark/>
          </w:tcPr>
          <w:p w14:paraId="6F40456C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0FB44370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3C81404F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Tests</w:t>
      </w:r>
    </w:p>
    <w:p w14:paraId="458CEFCA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1. Kruskal-Wallis Test</w:t>
      </w:r>
    </w:p>
    <w:p w14:paraId="4AD7F119" w14:textId="77777777" w:rsidR="00194513" w:rsidRPr="00194513" w:rsidRDefault="00194513" w:rsidP="00194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8.947</w:t>
      </w:r>
    </w:p>
    <w:p w14:paraId="59492851" w14:textId="77777777" w:rsidR="00194513" w:rsidRPr="00194513" w:rsidRDefault="00194513" w:rsidP="00194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0.030</w:t>
      </w:r>
    </w:p>
    <w:p w14:paraId="669C9C44" w14:textId="77777777" w:rsidR="00194513" w:rsidRPr="00194513" w:rsidRDefault="00194513" w:rsidP="00194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Result: Statistically significant differences exist between seasons (p &lt; 0.05)</w:t>
      </w:r>
    </w:p>
    <w:p w14:paraId="2123CBAD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2. 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00"/>
        <w:gridCol w:w="821"/>
        <w:gridCol w:w="1229"/>
      </w:tblGrid>
      <w:tr w:rsidR="00194513" w:rsidRPr="00194513" w14:paraId="51E02558" w14:textId="77777777" w:rsidTr="0019451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5495FB2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1AE9242E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7D1DBD91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78FE611A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194513" w:rsidRPr="00194513" w14:paraId="2B2430B0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058766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2281325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0.324</w:t>
            </w:r>
          </w:p>
        </w:tc>
        <w:tc>
          <w:tcPr>
            <w:tcW w:w="0" w:type="auto"/>
            <w:vAlign w:val="center"/>
            <w:hideMark/>
          </w:tcPr>
          <w:p w14:paraId="46734A08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0.041</w:t>
            </w:r>
          </w:p>
        </w:tc>
        <w:tc>
          <w:tcPr>
            <w:tcW w:w="0" w:type="auto"/>
            <w:vAlign w:val="center"/>
            <w:hideMark/>
          </w:tcPr>
          <w:p w14:paraId="4FEBFBB5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1.75</w:t>
            </w:r>
          </w:p>
        </w:tc>
      </w:tr>
      <w:tr w:rsidR="00194513" w:rsidRPr="00194513" w14:paraId="1619639F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6C92ED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2E4D506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0.412</w:t>
            </w:r>
          </w:p>
        </w:tc>
        <w:tc>
          <w:tcPr>
            <w:tcW w:w="0" w:type="auto"/>
            <w:vAlign w:val="center"/>
            <w:hideMark/>
          </w:tcPr>
          <w:p w14:paraId="67129C7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0.003</w:t>
            </w:r>
          </w:p>
        </w:tc>
        <w:tc>
          <w:tcPr>
            <w:tcW w:w="0" w:type="auto"/>
            <w:vAlign w:val="center"/>
            <w:hideMark/>
          </w:tcPr>
          <w:p w14:paraId="500976A4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2.31</w:t>
            </w:r>
          </w:p>
        </w:tc>
      </w:tr>
      <w:tr w:rsidR="00194513" w:rsidRPr="00194513" w14:paraId="2CE9C5D8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0F8FC5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5B0B5D92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0.389</w:t>
            </w:r>
          </w:p>
        </w:tc>
        <w:tc>
          <w:tcPr>
            <w:tcW w:w="0" w:type="auto"/>
            <w:vAlign w:val="center"/>
            <w:hideMark/>
          </w:tcPr>
          <w:p w14:paraId="5E117E2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0.028</w:t>
            </w:r>
          </w:p>
        </w:tc>
        <w:tc>
          <w:tcPr>
            <w:tcW w:w="0" w:type="auto"/>
            <w:vAlign w:val="center"/>
            <w:hideMark/>
          </w:tcPr>
          <w:p w14:paraId="6022AA3D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2.15</w:t>
            </w:r>
          </w:p>
        </w:tc>
      </w:tr>
      <w:tr w:rsidR="00194513" w:rsidRPr="00194513" w14:paraId="29EB17B5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57C796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0590905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0.276</w:t>
            </w:r>
          </w:p>
        </w:tc>
        <w:tc>
          <w:tcPr>
            <w:tcW w:w="0" w:type="auto"/>
            <w:vAlign w:val="center"/>
            <w:hideMark/>
          </w:tcPr>
          <w:p w14:paraId="15FE6B6B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0.049</w:t>
            </w:r>
          </w:p>
        </w:tc>
        <w:tc>
          <w:tcPr>
            <w:tcW w:w="0" w:type="auto"/>
            <w:vAlign w:val="center"/>
            <w:hideMark/>
          </w:tcPr>
          <w:p w14:paraId="5C6BAD7A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1.92</w:t>
            </w:r>
          </w:p>
        </w:tc>
      </w:tr>
    </w:tbl>
    <w:p w14:paraId="3AF9544B" w14:textId="77777777" w:rsidR="00194513" w:rsidRPr="00194513" w:rsidRDefault="00194513" w:rsidP="0019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upward trends (p &lt; 0.05)</w:t>
      </w:r>
    </w:p>
    <w:p w14:paraId="0A239D69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3. 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87"/>
        <w:gridCol w:w="1187"/>
        <w:gridCol w:w="1162"/>
      </w:tblGrid>
      <w:tr w:rsidR="00194513" w:rsidRPr="00194513" w14:paraId="298CCA79" w14:textId="77777777" w:rsidTr="0019451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5A88A8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133961C3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1B682951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0605DA1A" w14:textId="77777777" w:rsidR="00194513" w:rsidRPr="00194513" w:rsidRDefault="00194513" w:rsidP="00194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% Change</w:t>
            </w:r>
          </w:p>
        </w:tc>
      </w:tr>
      <w:tr w:rsidR="00194513" w:rsidRPr="00194513" w14:paraId="5FBB900C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0522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539DA0D3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59.67</w:t>
            </w:r>
          </w:p>
        </w:tc>
        <w:tc>
          <w:tcPr>
            <w:tcW w:w="0" w:type="auto"/>
            <w:vAlign w:val="center"/>
            <w:hideMark/>
          </w:tcPr>
          <w:p w14:paraId="612FB0FE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68.21</w:t>
            </w:r>
          </w:p>
        </w:tc>
        <w:tc>
          <w:tcPr>
            <w:tcW w:w="0" w:type="auto"/>
            <w:vAlign w:val="center"/>
            <w:hideMark/>
          </w:tcPr>
          <w:p w14:paraId="7DA5E12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+14.31%</w:t>
            </w:r>
          </w:p>
        </w:tc>
      </w:tr>
      <w:tr w:rsidR="00194513" w:rsidRPr="00194513" w14:paraId="50EC7399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92185E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34BD993A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64.25</w:t>
            </w:r>
          </w:p>
        </w:tc>
        <w:tc>
          <w:tcPr>
            <w:tcW w:w="0" w:type="auto"/>
            <w:vAlign w:val="center"/>
            <w:hideMark/>
          </w:tcPr>
          <w:p w14:paraId="68AC200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77.17</w:t>
            </w:r>
          </w:p>
        </w:tc>
        <w:tc>
          <w:tcPr>
            <w:tcW w:w="0" w:type="auto"/>
            <w:vAlign w:val="center"/>
            <w:hideMark/>
          </w:tcPr>
          <w:p w14:paraId="2E56BF0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+20.11%</w:t>
            </w:r>
          </w:p>
        </w:tc>
      </w:tr>
      <w:tr w:rsidR="00194513" w:rsidRPr="00194513" w14:paraId="69870C5D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B838F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2C92C9A9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63.86</w:t>
            </w:r>
          </w:p>
        </w:tc>
        <w:tc>
          <w:tcPr>
            <w:tcW w:w="0" w:type="auto"/>
            <w:vAlign w:val="center"/>
            <w:hideMark/>
          </w:tcPr>
          <w:p w14:paraId="164F2187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76.75</w:t>
            </w:r>
          </w:p>
        </w:tc>
        <w:tc>
          <w:tcPr>
            <w:tcW w:w="0" w:type="auto"/>
            <w:vAlign w:val="center"/>
            <w:hideMark/>
          </w:tcPr>
          <w:p w14:paraId="74C5F64E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+20.18%</w:t>
            </w:r>
          </w:p>
        </w:tc>
      </w:tr>
      <w:tr w:rsidR="00194513" w:rsidRPr="00194513" w14:paraId="601990DD" w14:textId="77777777" w:rsidTr="0019451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F239B4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739C9A22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67.13</w:t>
            </w:r>
          </w:p>
        </w:tc>
        <w:tc>
          <w:tcPr>
            <w:tcW w:w="0" w:type="auto"/>
            <w:vAlign w:val="center"/>
            <w:hideMark/>
          </w:tcPr>
          <w:p w14:paraId="59D21258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78.95</w:t>
            </w:r>
          </w:p>
        </w:tc>
        <w:tc>
          <w:tcPr>
            <w:tcW w:w="0" w:type="auto"/>
            <w:vAlign w:val="center"/>
            <w:hideMark/>
          </w:tcPr>
          <w:p w14:paraId="6B16ADE1" w14:textId="77777777" w:rsidR="00194513" w:rsidRPr="00194513" w:rsidRDefault="00194513" w:rsidP="0019451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19451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+17.61%</w:t>
            </w:r>
          </w:p>
        </w:tc>
      </w:tr>
    </w:tbl>
    <w:p w14:paraId="4FD75F80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Key Findings</w:t>
      </w:r>
    </w:p>
    <w:p w14:paraId="14779CF3" w14:textId="77777777" w:rsidR="00194513" w:rsidRPr="00194513" w:rsidRDefault="00194513" w:rsidP="001945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4BCCDBE3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Highest mean search volume: Winter (73.04)</w:t>
      </w:r>
    </w:p>
    <w:p w14:paraId="0D1C637E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mean search volume: Summer (63.94)</w:t>
      </w:r>
    </w:p>
    <w:p w14:paraId="15218BF4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Greatest variability: Winter (SD = 14.87)</w:t>
      </w:r>
    </w:p>
    <w:p w14:paraId="4302C570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stable: Summer (SD = 9.96)</w:t>
      </w:r>
    </w:p>
    <w:p w14:paraId="5C5D438F" w14:textId="77777777" w:rsidR="00194513" w:rsidRPr="00194513" w:rsidRDefault="00194513" w:rsidP="001945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0F5B80B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Strongest upward trend: Monsoon (τ = 0.412)</w:t>
      </w:r>
    </w:p>
    <w:p w14:paraId="6DA23178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significant increase rate: Monsoon (Sen's slope = 2.31)</w:t>
      </w:r>
    </w:p>
    <w:p w14:paraId="0250C0A2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show significant positive trends</w:t>
      </w:r>
    </w:p>
    <w:p w14:paraId="6EFAC56A" w14:textId="77777777" w:rsidR="00194513" w:rsidRPr="00194513" w:rsidRDefault="00194513" w:rsidP="001945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2574670D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Largest increase: Post-monsoon (+20.18%)</w:t>
      </w:r>
    </w:p>
    <w:p w14:paraId="7DA22BB8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Most consistent: Summer (+14.31%)</w:t>
      </w:r>
    </w:p>
    <w:p w14:paraId="5174356B" w14:textId="77777777" w:rsidR="00194513" w:rsidRPr="00194513" w:rsidRDefault="00194513" w:rsidP="0019451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Overall trend: Substantial growth across all seasons</w:t>
      </w:r>
    </w:p>
    <w:p w14:paraId="72322235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Statistical Insights</w:t>
      </w:r>
    </w:p>
    <w:p w14:paraId="08575161" w14:textId="77777777" w:rsidR="00194513" w:rsidRPr="00194513" w:rsidRDefault="00194513" w:rsidP="00194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Characteristics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8D9AF1D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highest search intensity but also highest variability</w:t>
      </w:r>
    </w:p>
    <w:p w14:paraId="721F99D7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Summer shows most consistent pattern with lowest standard deviation</w:t>
      </w:r>
    </w:p>
    <w:p w14:paraId="415DB0AF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shows strongest trend progression</w:t>
      </w:r>
    </w:p>
    <w:p w14:paraId="425012D9" w14:textId="77777777" w:rsidR="00194513" w:rsidRPr="00194513" w:rsidRDefault="00194513" w:rsidP="00194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Pattern Evolution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14EFF08B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Clear year-over-year growth across all seasons</w:t>
      </w:r>
    </w:p>
    <w:p w14:paraId="53EBB293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Strongest growth in post-monsoon and monsoon periods</w:t>
      </w:r>
    </w:p>
    <w:p w14:paraId="142EA671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peaks becoming more pronounced in 2024-25</w:t>
      </w:r>
    </w:p>
    <w:p w14:paraId="5CB40C40" w14:textId="77777777" w:rsidR="00194513" w:rsidRPr="00194513" w:rsidRDefault="00194513" w:rsidP="00194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Observations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246CCDE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Highest single peak: Winter 2024 (100)</w:t>
      </w:r>
    </w:p>
    <w:p w14:paraId="712E1D6A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Lowest point: Monsoon 2024 (35) - possible anomaly</w:t>
      </w:r>
    </w:p>
    <w:p w14:paraId="112B5144" w14:textId="77777777" w:rsidR="00194513" w:rsidRPr="00194513" w:rsidRDefault="00194513" w:rsidP="00194513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Consistent upward progression in all seasonal medians</w:t>
      </w:r>
    </w:p>
    <w:p w14:paraId="45D95B85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Limitations</w:t>
      </w:r>
    </w:p>
    <w:p w14:paraId="3E98D189" w14:textId="77777777" w:rsidR="00194513" w:rsidRPr="00194513" w:rsidRDefault="00194513" w:rsidP="001945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07AB54E8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</w:t>
      </w:r>
    </w:p>
    <w:p w14:paraId="52E4FD7B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COVID-19 recovery effects</w:t>
      </w:r>
    </w:p>
    <w:p w14:paraId="35DD302D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Seasonal transition periods may affect classification</w:t>
      </w:r>
    </w:p>
    <w:p w14:paraId="018DF5AF" w14:textId="77777777" w:rsidR="00194513" w:rsidRPr="00194513" w:rsidRDefault="00194513" w:rsidP="001945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</w:t>
      </w: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: </w:t>
      </w:r>
    </w:p>
    <w:p w14:paraId="3E16EB0E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Relative nature of Google Trends data</w:t>
      </w:r>
    </w:p>
    <w:p w14:paraId="10443F92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regional variations within India</w:t>
      </w:r>
    </w:p>
    <w:p w14:paraId="25478DEC" w14:textId="77777777" w:rsidR="00194513" w:rsidRPr="00194513" w:rsidRDefault="00194513" w:rsidP="0019451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External factors affecting search </w:t>
      </w:r>
      <w:proofErr w:type="spellStart"/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behavior</w:t>
      </w:r>
      <w:proofErr w:type="spellEnd"/>
    </w:p>
    <w:p w14:paraId="451C4DF5" w14:textId="77777777" w:rsidR="00194513" w:rsidRPr="00194513" w:rsidRDefault="00194513" w:rsidP="001945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/>
          <w14:ligatures w14:val="none"/>
        </w:rPr>
        <w:t>Conclusions</w:t>
      </w:r>
    </w:p>
    <w:p w14:paraId="69E784D2" w14:textId="77777777" w:rsidR="00194513" w:rsidRPr="00194513" w:rsidRDefault="00194513" w:rsidP="0019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The statistical analysis reveals significant seasonal patterns in AKI-related searches with distinct characteristics:</w:t>
      </w:r>
    </w:p>
    <w:p w14:paraId="71DF5DCD" w14:textId="77777777" w:rsidR="00194513" w:rsidRPr="00194513" w:rsidRDefault="00194513" w:rsidP="00194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Winter shows highest overall search volume but most variability</w:t>
      </w:r>
    </w:p>
    <w:p w14:paraId="211E88CC" w14:textId="77777777" w:rsidR="00194513" w:rsidRPr="00194513" w:rsidRDefault="00194513" w:rsidP="00194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Monsoon season shows strongest upward trend</w:t>
      </w:r>
    </w:p>
    <w:p w14:paraId="2B72AF63" w14:textId="77777777" w:rsidR="00194513" w:rsidRPr="00194513" w:rsidRDefault="00194513" w:rsidP="00194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All seasons demonstrate significant positive trends</w:t>
      </w:r>
    </w:p>
    <w:p w14:paraId="69BF220F" w14:textId="77777777" w:rsidR="00194513" w:rsidRPr="00194513" w:rsidRDefault="00194513" w:rsidP="00194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Year-over-year comparison shows substantial growth across all seasons</w:t>
      </w:r>
    </w:p>
    <w:p w14:paraId="648A8305" w14:textId="77777777" w:rsidR="00194513" w:rsidRPr="00194513" w:rsidRDefault="00194513" w:rsidP="00194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19451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lastRenderedPageBreak/>
        <w:t>These patterns suggest increasing public health awareness of AKI across all seasons, with particular emphasis during winter and monsoon periods.</w:t>
      </w:r>
    </w:p>
    <w:p w14:paraId="60EF8C89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012C4"/>
    <w:multiLevelType w:val="multilevel"/>
    <w:tmpl w:val="41164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1662E5"/>
    <w:multiLevelType w:val="multilevel"/>
    <w:tmpl w:val="8CE4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6F54FE"/>
    <w:multiLevelType w:val="multilevel"/>
    <w:tmpl w:val="CA607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D46D2B"/>
    <w:multiLevelType w:val="multilevel"/>
    <w:tmpl w:val="BF166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CA2E29"/>
    <w:multiLevelType w:val="multilevel"/>
    <w:tmpl w:val="0C1A8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93"/>
    <w:rsid w:val="00194513"/>
    <w:rsid w:val="00983F2E"/>
    <w:rsid w:val="009C5FC1"/>
    <w:rsid w:val="00E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A4086-2242-4530-92E7-BBC176E7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2025-02-14T15:02:00Z</dcterms:created>
  <dcterms:modified xsi:type="dcterms:W3CDTF">2025-02-14T15:02:00Z</dcterms:modified>
</cp:coreProperties>
</file>