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7A3F0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Statistical Analysis of BiPAP Machine Search Trends in India (2023-2025)</w:t>
      </w:r>
    </w:p>
    <w:p w14:paraId="1CA8D561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Data Organization by Seasons</w:t>
      </w:r>
    </w:p>
    <w:p w14:paraId="140E9DA4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Summary Statistics by Season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9"/>
        <w:gridCol w:w="647"/>
        <w:gridCol w:w="847"/>
        <w:gridCol w:w="600"/>
        <w:gridCol w:w="487"/>
        <w:gridCol w:w="542"/>
      </w:tblGrid>
      <w:tr w:rsidR="00DA12C5" w:rsidRPr="00DA12C5" w14:paraId="613EE97E" w14:textId="77777777" w:rsidTr="00DA12C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FC26749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300112AB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Mean</w:t>
            </w:r>
          </w:p>
        </w:tc>
        <w:tc>
          <w:tcPr>
            <w:tcW w:w="0" w:type="auto"/>
            <w:vAlign w:val="center"/>
            <w:hideMark/>
          </w:tcPr>
          <w:p w14:paraId="3435F7F9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Median</w:t>
            </w:r>
          </w:p>
        </w:tc>
        <w:tc>
          <w:tcPr>
            <w:tcW w:w="0" w:type="auto"/>
            <w:vAlign w:val="center"/>
            <w:hideMark/>
          </w:tcPr>
          <w:p w14:paraId="1576DABC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SD</w:t>
            </w:r>
          </w:p>
        </w:tc>
        <w:tc>
          <w:tcPr>
            <w:tcW w:w="0" w:type="auto"/>
            <w:vAlign w:val="center"/>
            <w:hideMark/>
          </w:tcPr>
          <w:p w14:paraId="0BB21885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Min</w:t>
            </w:r>
          </w:p>
        </w:tc>
        <w:tc>
          <w:tcPr>
            <w:tcW w:w="0" w:type="auto"/>
            <w:vAlign w:val="center"/>
            <w:hideMark/>
          </w:tcPr>
          <w:p w14:paraId="4A635EF6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Max</w:t>
            </w:r>
          </w:p>
        </w:tc>
      </w:tr>
      <w:tr w:rsidR="00DA12C5" w:rsidRPr="00DA12C5" w14:paraId="67E67524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9076B7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 (Mar-May)</w:t>
            </w:r>
          </w:p>
        </w:tc>
        <w:tc>
          <w:tcPr>
            <w:tcW w:w="0" w:type="auto"/>
            <w:vAlign w:val="center"/>
            <w:hideMark/>
          </w:tcPr>
          <w:p w14:paraId="5227328E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69.83</w:t>
            </w:r>
          </w:p>
        </w:tc>
        <w:tc>
          <w:tcPr>
            <w:tcW w:w="0" w:type="auto"/>
            <w:vAlign w:val="center"/>
            <w:hideMark/>
          </w:tcPr>
          <w:p w14:paraId="44CB56E4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73.00</w:t>
            </w:r>
          </w:p>
        </w:tc>
        <w:tc>
          <w:tcPr>
            <w:tcW w:w="0" w:type="auto"/>
            <w:vAlign w:val="center"/>
            <w:hideMark/>
          </w:tcPr>
          <w:p w14:paraId="47D1327C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11.84</w:t>
            </w:r>
          </w:p>
        </w:tc>
        <w:tc>
          <w:tcPr>
            <w:tcW w:w="0" w:type="auto"/>
            <w:vAlign w:val="center"/>
            <w:hideMark/>
          </w:tcPr>
          <w:p w14:paraId="3F8A87BA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14:paraId="4085CBC1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86</w:t>
            </w:r>
          </w:p>
        </w:tc>
      </w:tr>
      <w:tr w:rsidR="00DA12C5" w:rsidRPr="00DA12C5" w14:paraId="32F4DACC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28D19B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 (Jun-Sep)</w:t>
            </w:r>
          </w:p>
        </w:tc>
        <w:tc>
          <w:tcPr>
            <w:tcW w:w="0" w:type="auto"/>
            <w:vAlign w:val="center"/>
            <w:hideMark/>
          </w:tcPr>
          <w:p w14:paraId="2BFDCD86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67.85</w:t>
            </w:r>
          </w:p>
        </w:tc>
        <w:tc>
          <w:tcPr>
            <w:tcW w:w="0" w:type="auto"/>
            <w:vAlign w:val="center"/>
            <w:hideMark/>
          </w:tcPr>
          <w:p w14:paraId="42C25995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67.00</w:t>
            </w:r>
          </w:p>
        </w:tc>
        <w:tc>
          <w:tcPr>
            <w:tcW w:w="0" w:type="auto"/>
            <w:vAlign w:val="center"/>
            <w:hideMark/>
          </w:tcPr>
          <w:p w14:paraId="34F3830B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7.52</w:t>
            </w:r>
          </w:p>
        </w:tc>
        <w:tc>
          <w:tcPr>
            <w:tcW w:w="0" w:type="auto"/>
            <w:vAlign w:val="center"/>
            <w:hideMark/>
          </w:tcPr>
          <w:p w14:paraId="7CF715A2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14:paraId="2E05E37C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82</w:t>
            </w:r>
          </w:p>
        </w:tc>
      </w:tr>
      <w:tr w:rsidR="00DA12C5" w:rsidRPr="00DA12C5" w14:paraId="0908F4C8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7A9A46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 (Oct-Nov)</w:t>
            </w:r>
          </w:p>
        </w:tc>
        <w:tc>
          <w:tcPr>
            <w:tcW w:w="0" w:type="auto"/>
            <w:vAlign w:val="center"/>
            <w:hideMark/>
          </w:tcPr>
          <w:p w14:paraId="587D6B49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73.08</w:t>
            </w:r>
          </w:p>
        </w:tc>
        <w:tc>
          <w:tcPr>
            <w:tcW w:w="0" w:type="auto"/>
            <w:vAlign w:val="center"/>
            <w:hideMark/>
          </w:tcPr>
          <w:p w14:paraId="5E89B319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73.50</w:t>
            </w:r>
          </w:p>
        </w:tc>
        <w:tc>
          <w:tcPr>
            <w:tcW w:w="0" w:type="auto"/>
            <w:vAlign w:val="center"/>
            <w:hideMark/>
          </w:tcPr>
          <w:p w14:paraId="63A8AF48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5.71</w:t>
            </w:r>
          </w:p>
        </w:tc>
        <w:tc>
          <w:tcPr>
            <w:tcW w:w="0" w:type="auto"/>
            <w:vAlign w:val="center"/>
            <w:hideMark/>
          </w:tcPr>
          <w:p w14:paraId="595937E5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14:paraId="4EC224C2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81</w:t>
            </w:r>
          </w:p>
        </w:tc>
      </w:tr>
      <w:tr w:rsidR="00DA12C5" w:rsidRPr="00DA12C5" w14:paraId="58D82CE4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A34904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 (Dec-Feb)</w:t>
            </w:r>
          </w:p>
        </w:tc>
        <w:tc>
          <w:tcPr>
            <w:tcW w:w="0" w:type="auto"/>
            <w:vAlign w:val="center"/>
            <w:hideMark/>
          </w:tcPr>
          <w:p w14:paraId="0E34E650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86.52</w:t>
            </w:r>
          </w:p>
        </w:tc>
        <w:tc>
          <w:tcPr>
            <w:tcW w:w="0" w:type="auto"/>
            <w:vAlign w:val="center"/>
            <w:hideMark/>
          </w:tcPr>
          <w:p w14:paraId="1E7445F5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89.00</w:t>
            </w:r>
          </w:p>
        </w:tc>
        <w:tc>
          <w:tcPr>
            <w:tcW w:w="0" w:type="auto"/>
            <w:vAlign w:val="center"/>
            <w:hideMark/>
          </w:tcPr>
          <w:p w14:paraId="6DAC9900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8.93</w:t>
            </w:r>
          </w:p>
        </w:tc>
        <w:tc>
          <w:tcPr>
            <w:tcW w:w="0" w:type="auto"/>
            <w:vAlign w:val="center"/>
            <w:hideMark/>
          </w:tcPr>
          <w:p w14:paraId="11767C67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14:paraId="098F485F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100</w:t>
            </w:r>
          </w:p>
        </w:tc>
      </w:tr>
    </w:tbl>
    <w:p w14:paraId="783F127F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Tests</w:t>
      </w:r>
    </w:p>
    <w:p w14:paraId="26B59304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1. Kruskal-Wallis Test</w:t>
      </w:r>
    </w:p>
    <w:p w14:paraId="1ED5C41E" w14:textId="77777777" w:rsidR="00DA12C5" w:rsidRPr="00DA12C5" w:rsidRDefault="00DA12C5" w:rsidP="00DA12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H-statistic = 15.842</w:t>
      </w:r>
    </w:p>
    <w:p w14:paraId="09D16734" w14:textId="77777777" w:rsidR="00DA12C5" w:rsidRPr="00DA12C5" w:rsidRDefault="00DA12C5" w:rsidP="00DA12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p-value = 0.001</w:t>
      </w:r>
    </w:p>
    <w:p w14:paraId="4170E120" w14:textId="77777777" w:rsidR="00DA12C5" w:rsidRPr="00DA12C5" w:rsidRDefault="00DA12C5" w:rsidP="00DA12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Result: Highly significant differences exist between seasons (p &lt; 0.01)</w:t>
      </w:r>
    </w:p>
    <w:p w14:paraId="22795B0C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2. Seasonal Mann-Kendall Test Results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680"/>
        <w:gridCol w:w="821"/>
        <w:gridCol w:w="1229"/>
      </w:tblGrid>
      <w:tr w:rsidR="00DA12C5" w:rsidRPr="00DA12C5" w14:paraId="1061A170" w14:textId="77777777" w:rsidTr="00DA12C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4A6ADB5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2962C422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Tau</w:t>
            </w:r>
          </w:p>
        </w:tc>
        <w:tc>
          <w:tcPr>
            <w:tcW w:w="0" w:type="auto"/>
            <w:vAlign w:val="center"/>
            <w:hideMark/>
          </w:tcPr>
          <w:p w14:paraId="4D0B1BDA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3E384952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Sen's Slope</w:t>
            </w:r>
          </w:p>
        </w:tc>
      </w:tr>
      <w:tr w:rsidR="00DA12C5" w:rsidRPr="00DA12C5" w14:paraId="17B0370A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7B0694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66B81AC7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-0.198</w:t>
            </w:r>
          </w:p>
        </w:tc>
        <w:tc>
          <w:tcPr>
            <w:tcW w:w="0" w:type="auto"/>
            <w:vAlign w:val="center"/>
            <w:hideMark/>
          </w:tcPr>
          <w:p w14:paraId="3FE83B48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0.047</w:t>
            </w:r>
          </w:p>
        </w:tc>
        <w:tc>
          <w:tcPr>
            <w:tcW w:w="0" w:type="auto"/>
            <w:vAlign w:val="center"/>
            <w:hideMark/>
          </w:tcPr>
          <w:p w14:paraId="4B36FDB7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-1.12</w:t>
            </w:r>
          </w:p>
        </w:tc>
      </w:tr>
      <w:tr w:rsidR="00DA12C5" w:rsidRPr="00DA12C5" w14:paraId="4B18E748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3C4124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489BD8FF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-0.256</w:t>
            </w:r>
          </w:p>
        </w:tc>
        <w:tc>
          <w:tcPr>
            <w:tcW w:w="0" w:type="auto"/>
            <w:vAlign w:val="center"/>
            <w:hideMark/>
          </w:tcPr>
          <w:p w14:paraId="1DE07D17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0.038</w:t>
            </w:r>
          </w:p>
        </w:tc>
        <w:tc>
          <w:tcPr>
            <w:tcW w:w="0" w:type="auto"/>
            <w:vAlign w:val="center"/>
            <w:hideMark/>
          </w:tcPr>
          <w:p w14:paraId="482B95A6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-1.45</w:t>
            </w:r>
          </w:p>
        </w:tc>
      </w:tr>
      <w:tr w:rsidR="00DA12C5" w:rsidRPr="00DA12C5" w14:paraId="4D2A591A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6D972A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284CF037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0.167</w:t>
            </w:r>
          </w:p>
        </w:tc>
        <w:tc>
          <w:tcPr>
            <w:tcW w:w="0" w:type="auto"/>
            <w:vAlign w:val="center"/>
            <w:hideMark/>
          </w:tcPr>
          <w:p w14:paraId="2AA82C2C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0.284</w:t>
            </w:r>
          </w:p>
        </w:tc>
        <w:tc>
          <w:tcPr>
            <w:tcW w:w="0" w:type="auto"/>
            <w:vAlign w:val="center"/>
            <w:hideMark/>
          </w:tcPr>
          <w:p w14:paraId="10B364AF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0.89</w:t>
            </w:r>
          </w:p>
        </w:tc>
      </w:tr>
      <w:tr w:rsidR="00DA12C5" w:rsidRPr="00DA12C5" w14:paraId="7DDC72C9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A917E1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2E05FFFC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-0.145</w:t>
            </w:r>
          </w:p>
        </w:tc>
        <w:tc>
          <w:tcPr>
            <w:tcW w:w="0" w:type="auto"/>
            <w:vAlign w:val="center"/>
            <w:hideMark/>
          </w:tcPr>
          <w:p w14:paraId="373A3A18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0.312</w:t>
            </w:r>
          </w:p>
        </w:tc>
        <w:tc>
          <w:tcPr>
            <w:tcW w:w="0" w:type="auto"/>
            <w:vAlign w:val="center"/>
            <w:hideMark/>
          </w:tcPr>
          <w:p w14:paraId="4FD37280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-0.76</w:t>
            </w:r>
          </w:p>
        </w:tc>
      </w:tr>
    </w:tbl>
    <w:p w14:paraId="0D2C8481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Summer and Monsoon show significant downward trends (p &lt; 0.05)</w:t>
      </w:r>
    </w:p>
    <w:p w14:paraId="7FE40986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3. Year-over-Year Seasonal Comparison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1187"/>
        <w:gridCol w:w="1187"/>
        <w:gridCol w:w="1162"/>
      </w:tblGrid>
      <w:tr w:rsidR="00DA12C5" w:rsidRPr="00DA12C5" w14:paraId="17C5157D" w14:textId="77777777" w:rsidTr="00DA12C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A4E5084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5973B516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2023 Mean</w:t>
            </w:r>
          </w:p>
        </w:tc>
        <w:tc>
          <w:tcPr>
            <w:tcW w:w="0" w:type="auto"/>
            <w:vAlign w:val="center"/>
            <w:hideMark/>
          </w:tcPr>
          <w:p w14:paraId="46F704BA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2024 Mean</w:t>
            </w:r>
          </w:p>
        </w:tc>
        <w:tc>
          <w:tcPr>
            <w:tcW w:w="0" w:type="auto"/>
            <w:vAlign w:val="center"/>
            <w:hideMark/>
          </w:tcPr>
          <w:p w14:paraId="0D7D3774" w14:textId="77777777" w:rsidR="00DA12C5" w:rsidRPr="00DA12C5" w:rsidRDefault="00DA12C5" w:rsidP="00DA1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% Change</w:t>
            </w:r>
          </w:p>
        </w:tc>
      </w:tr>
      <w:tr w:rsidR="00DA12C5" w:rsidRPr="00DA12C5" w14:paraId="3EEB0FD9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D626A9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789621D2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69.60</w:t>
            </w:r>
          </w:p>
        </w:tc>
        <w:tc>
          <w:tcPr>
            <w:tcW w:w="0" w:type="auto"/>
            <w:vAlign w:val="center"/>
            <w:hideMark/>
          </w:tcPr>
          <w:p w14:paraId="329C5C04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70.06</w:t>
            </w:r>
          </w:p>
        </w:tc>
        <w:tc>
          <w:tcPr>
            <w:tcW w:w="0" w:type="auto"/>
            <w:vAlign w:val="center"/>
            <w:hideMark/>
          </w:tcPr>
          <w:p w14:paraId="3382E07E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+0.66%</w:t>
            </w:r>
          </w:p>
        </w:tc>
      </w:tr>
      <w:tr w:rsidR="00DA12C5" w:rsidRPr="00DA12C5" w14:paraId="004AC90C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CBDC03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59C4334F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69.75</w:t>
            </w:r>
          </w:p>
        </w:tc>
        <w:tc>
          <w:tcPr>
            <w:tcW w:w="0" w:type="auto"/>
            <w:vAlign w:val="center"/>
            <w:hideMark/>
          </w:tcPr>
          <w:p w14:paraId="56F13DD5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65.95</w:t>
            </w:r>
          </w:p>
        </w:tc>
        <w:tc>
          <w:tcPr>
            <w:tcW w:w="0" w:type="auto"/>
            <w:vAlign w:val="center"/>
            <w:hideMark/>
          </w:tcPr>
          <w:p w14:paraId="7FDDEFF0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-5.45%</w:t>
            </w:r>
          </w:p>
        </w:tc>
      </w:tr>
      <w:tr w:rsidR="00DA12C5" w:rsidRPr="00DA12C5" w14:paraId="27753197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0F7267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7BA4B73A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72.25</w:t>
            </w:r>
          </w:p>
        </w:tc>
        <w:tc>
          <w:tcPr>
            <w:tcW w:w="0" w:type="auto"/>
            <w:vAlign w:val="center"/>
            <w:hideMark/>
          </w:tcPr>
          <w:p w14:paraId="7916242D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73.92</w:t>
            </w:r>
          </w:p>
        </w:tc>
        <w:tc>
          <w:tcPr>
            <w:tcW w:w="0" w:type="auto"/>
            <w:vAlign w:val="center"/>
            <w:hideMark/>
          </w:tcPr>
          <w:p w14:paraId="6176D924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+2.31%</w:t>
            </w:r>
          </w:p>
        </w:tc>
      </w:tr>
      <w:tr w:rsidR="00DA12C5" w:rsidRPr="00DA12C5" w14:paraId="12497884" w14:textId="77777777" w:rsidTr="00DA12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FC3CD4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48B67C17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89.17</w:t>
            </w:r>
          </w:p>
        </w:tc>
        <w:tc>
          <w:tcPr>
            <w:tcW w:w="0" w:type="auto"/>
            <w:vAlign w:val="center"/>
            <w:hideMark/>
          </w:tcPr>
          <w:p w14:paraId="1BC3477D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83.88</w:t>
            </w:r>
          </w:p>
        </w:tc>
        <w:tc>
          <w:tcPr>
            <w:tcW w:w="0" w:type="auto"/>
            <w:vAlign w:val="center"/>
            <w:hideMark/>
          </w:tcPr>
          <w:p w14:paraId="2D9A44AD" w14:textId="77777777" w:rsidR="00DA12C5" w:rsidRPr="00DA12C5" w:rsidRDefault="00DA12C5" w:rsidP="00DA12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DA12C5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-5.93%</w:t>
            </w:r>
          </w:p>
        </w:tc>
      </w:tr>
    </w:tbl>
    <w:p w14:paraId="27A1275D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Key Findings</w:t>
      </w:r>
    </w:p>
    <w:p w14:paraId="6C6FD23B" w14:textId="77777777" w:rsidR="00DA12C5" w:rsidRPr="00DA12C5" w:rsidRDefault="00DA12C5" w:rsidP="00DA12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Patterns</w:t>
      </w: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18E10B29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Highest mean search volume: Winter (86.52)</w:t>
      </w:r>
    </w:p>
    <w:p w14:paraId="0C75E2C3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mean search volume: Monsoon (67.85)</w:t>
      </w:r>
    </w:p>
    <w:p w14:paraId="21891587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Greatest variability: Summer (SD = 11.84)</w:t>
      </w:r>
    </w:p>
    <w:p w14:paraId="230BA8D9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stable: Post-monsoon (SD = 5.71)</w:t>
      </w:r>
    </w:p>
    <w:p w14:paraId="11594747" w14:textId="77777777" w:rsidR="00DA12C5" w:rsidRPr="00DA12C5" w:rsidRDefault="00DA12C5" w:rsidP="00DA12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Trend Analysis</w:t>
      </w: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29103C58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lastRenderedPageBreak/>
        <w:t>Strongest downward trend: Monsoon (τ = -0.256)</w:t>
      </w:r>
    </w:p>
    <w:p w14:paraId="6EE7D5BB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significant decrease rate: Monsoon (Sen's slope = -1.45)</w:t>
      </w:r>
    </w:p>
    <w:p w14:paraId="4EFF5800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Post-monsoon and Winter show no significant trends</w:t>
      </w:r>
    </w:p>
    <w:p w14:paraId="34DFD596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Summer and Monsoon show significant declining trends</w:t>
      </w:r>
    </w:p>
    <w:p w14:paraId="0A11B051" w14:textId="77777777" w:rsidR="00DA12C5" w:rsidRPr="00DA12C5" w:rsidRDefault="00DA12C5" w:rsidP="00DA12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Changes</w:t>
      </w: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63A5B837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Largest decrease: Winter (-5.93%)</w:t>
      </w:r>
    </w:p>
    <w:p w14:paraId="6798F6F0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stable: Summer (+0.66%)</w:t>
      </w:r>
    </w:p>
    <w:p w14:paraId="724630AC" w14:textId="77777777" w:rsidR="00DA12C5" w:rsidRPr="00DA12C5" w:rsidRDefault="00DA12C5" w:rsidP="00DA12C5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Overall trend: Mixed with tendency toward decline</w:t>
      </w:r>
    </w:p>
    <w:p w14:paraId="09C62E60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Insights</w:t>
      </w:r>
    </w:p>
    <w:p w14:paraId="12EDBDF8" w14:textId="77777777" w:rsidR="00DA12C5" w:rsidRPr="00DA12C5" w:rsidRDefault="00DA12C5" w:rsidP="00DA12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Characteristics</w:t>
      </w: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459D8333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shows distinctly higher search intensity</w:t>
      </w:r>
    </w:p>
    <w:p w14:paraId="46BF0688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Post-monsoon shows most consistent pattern</w:t>
      </w:r>
    </w:p>
    <w:p w14:paraId="296A626E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Summer shows highest variability</w:t>
      </w:r>
    </w:p>
    <w:p w14:paraId="714ED353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Monsoon period shows consistent lower interest</w:t>
      </w:r>
    </w:p>
    <w:p w14:paraId="780E0E49" w14:textId="77777777" w:rsidR="00DA12C5" w:rsidRPr="00DA12C5" w:rsidRDefault="00DA12C5" w:rsidP="00DA12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Pattern Evolution</w:t>
      </w: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4E46FF87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General decline in search intensity from 2023 to 2024</w:t>
      </w:r>
    </w:p>
    <w:p w14:paraId="14C5C55F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peaks becoming less pronounced</w:t>
      </w:r>
    </w:p>
    <w:p w14:paraId="02319380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More volatile patterns in summer months</w:t>
      </w:r>
    </w:p>
    <w:p w14:paraId="42F43BA3" w14:textId="77777777" w:rsidR="00DA12C5" w:rsidRPr="00DA12C5" w:rsidRDefault="00DA12C5" w:rsidP="00DA12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Significant Observations</w:t>
      </w: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2EA0C784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Highest single peak: Winter 2024 (100)</w:t>
      </w:r>
    </w:p>
    <w:p w14:paraId="6912E1A0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point: Summer 2024 (44)</w:t>
      </w:r>
    </w:p>
    <w:p w14:paraId="1466ACB1" w14:textId="77777777" w:rsidR="00DA12C5" w:rsidRPr="00DA12C5" w:rsidRDefault="00DA12C5" w:rsidP="00DA12C5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Notable decline in winter peak intensity</w:t>
      </w:r>
    </w:p>
    <w:p w14:paraId="41FBB58D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Limitations</w:t>
      </w:r>
    </w:p>
    <w:p w14:paraId="7070C55A" w14:textId="77777777" w:rsidR="00DA12C5" w:rsidRPr="00DA12C5" w:rsidRDefault="00DA12C5" w:rsidP="00DA12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Time Series Constraints</w:t>
      </w: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314FF373" w14:textId="77777777" w:rsidR="00DA12C5" w:rsidRPr="00DA12C5" w:rsidRDefault="00DA12C5" w:rsidP="00DA12C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Limited to two-year period</w:t>
      </w:r>
    </w:p>
    <w:p w14:paraId="633B5007" w14:textId="77777777" w:rsidR="00DA12C5" w:rsidRPr="00DA12C5" w:rsidRDefault="00DA12C5" w:rsidP="00DA12C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COVID-19 recovery effects</w:t>
      </w:r>
    </w:p>
    <w:p w14:paraId="757A00CB" w14:textId="77777777" w:rsidR="00DA12C5" w:rsidRPr="00DA12C5" w:rsidRDefault="00DA12C5" w:rsidP="00DA12C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Seasonal transition periods may affect classification</w:t>
      </w:r>
    </w:p>
    <w:p w14:paraId="647D6D4C" w14:textId="77777777" w:rsidR="00DA12C5" w:rsidRPr="00DA12C5" w:rsidRDefault="00DA12C5" w:rsidP="00DA12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Search Volume Considerations</w:t>
      </w: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3AD6D8B2" w14:textId="77777777" w:rsidR="00DA12C5" w:rsidRPr="00DA12C5" w:rsidRDefault="00DA12C5" w:rsidP="00DA12C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Relative nature of Google Trends data</w:t>
      </w:r>
    </w:p>
    <w:p w14:paraId="5F440791" w14:textId="77777777" w:rsidR="00DA12C5" w:rsidRPr="00DA12C5" w:rsidRDefault="00DA12C5" w:rsidP="00DA12C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regional variations within India</w:t>
      </w:r>
    </w:p>
    <w:p w14:paraId="4FE33CE3" w14:textId="77777777" w:rsidR="00DA12C5" w:rsidRPr="00DA12C5" w:rsidRDefault="00DA12C5" w:rsidP="00DA12C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External factors affecting search behavior</w:t>
      </w:r>
    </w:p>
    <w:p w14:paraId="5BA3A9EE" w14:textId="77777777" w:rsidR="00DA12C5" w:rsidRPr="00DA12C5" w:rsidRDefault="00DA12C5" w:rsidP="00DA12C5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Medical equipment specificity may influence search patterns</w:t>
      </w:r>
    </w:p>
    <w:p w14:paraId="30BAE4A8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Conclusions</w:t>
      </w:r>
    </w:p>
    <w:p w14:paraId="0CE2C8AB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The statistical analysis reveals distinct seasonal patterns in BiPAP machine-related searches:</w:t>
      </w:r>
    </w:p>
    <w:p w14:paraId="7338EE1B" w14:textId="77777777" w:rsidR="00DA12C5" w:rsidRPr="00DA12C5" w:rsidRDefault="00DA12C5" w:rsidP="00DA12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shows significantly higher search volume despite recent decline</w:t>
      </w:r>
    </w:p>
    <w:p w14:paraId="6A138588" w14:textId="77777777" w:rsidR="00DA12C5" w:rsidRPr="00DA12C5" w:rsidRDefault="00DA12C5" w:rsidP="00DA12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Summer and Monsoon seasons show significant declining trends</w:t>
      </w:r>
    </w:p>
    <w:p w14:paraId="09F698D6" w14:textId="77777777" w:rsidR="00DA12C5" w:rsidRPr="00DA12C5" w:rsidRDefault="00DA12C5" w:rsidP="00DA12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Post-monsoon period shows most stable search patterns</w:t>
      </w:r>
    </w:p>
    <w:p w14:paraId="545208D5" w14:textId="77777777" w:rsidR="00DA12C5" w:rsidRPr="00DA12C5" w:rsidRDefault="00DA12C5" w:rsidP="00DA12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Overall pattern suggests decreasing interest, unlike AKI and ARDS trends</w:t>
      </w:r>
    </w:p>
    <w:p w14:paraId="6A29AAF8" w14:textId="77777777" w:rsidR="00DA12C5" w:rsidRPr="00DA12C5" w:rsidRDefault="00DA12C5" w:rsidP="00DA1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These patterns suggest changing public interest in BiPAP machines, possibly reflecting:</w:t>
      </w:r>
    </w:p>
    <w:p w14:paraId="5B90D2E5" w14:textId="77777777" w:rsidR="00DA12C5" w:rsidRPr="00DA12C5" w:rsidRDefault="00DA12C5" w:rsidP="00DA12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Reduced COVID-19 related demand</w:t>
      </w:r>
    </w:p>
    <w:p w14:paraId="5DF77D1F" w14:textId="77777777" w:rsidR="00DA12C5" w:rsidRPr="00DA12C5" w:rsidRDefault="00DA12C5" w:rsidP="00DA12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Seasonal respiratory disease patterns</w:t>
      </w:r>
    </w:p>
    <w:p w14:paraId="7A87F79C" w14:textId="77777777" w:rsidR="00DA12C5" w:rsidRPr="00DA12C5" w:rsidRDefault="00DA12C5" w:rsidP="00DA12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DA12C5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lastRenderedPageBreak/>
        <w:t>Changes in healthcare delivery systems</w:t>
      </w:r>
    </w:p>
    <w:p w14:paraId="743E7E8F" w14:textId="77777777" w:rsidR="009C5FC1" w:rsidRDefault="009C5FC1">
      <w:bookmarkStart w:id="0" w:name="_GoBack"/>
      <w:bookmarkEnd w:id="0"/>
    </w:p>
    <w:sectPr w:rsidR="009C5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50EE4"/>
    <w:multiLevelType w:val="multilevel"/>
    <w:tmpl w:val="C166F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51D83"/>
    <w:multiLevelType w:val="multilevel"/>
    <w:tmpl w:val="A5568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D6779B"/>
    <w:multiLevelType w:val="multilevel"/>
    <w:tmpl w:val="AC76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7712AD"/>
    <w:multiLevelType w:val="multilevel"/>
    <w:tmpl w:val="5A18C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5F5C76"/>
    <w:multiLevelType w:val="multilevel"/>
    <w:tmpl w:val="B7FCA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004796"/>
    <w:multiLevelType w:val="multilevel"/>
    <w:tmpl w:val="29B69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D66"/>
    <w:rsid w:val="00897D66"/>
    <w:rsid w:val="00983F2E"/>
    <w:rsid w:val="009C5FC1"/>
    <w:rsid w:val="00DA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B7F461-CA0B-44E2-89FC-861353C8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8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sindhu hospitals</dc:creator>
  <cp:keywords/>
  <dc:description/>
  <cp:lastModifiedBy>sindhu hospitals</cp:lastModifiedBy>
  <cp:revision>2</cp:revision>
  <dcterms:created xsi:type="dcterms:W3CDTF">2025-02-14T15:09:00Z</dcterms:created>
  <dcterms:modified xsi:type="dcterms:W3CDTF">2025-02-14T15:09:00Z</dcterms:modified>
</cp:coreProperties>
</file>