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4D496" w14:textId="77777777" w:rsidR="00773D72" w:rsidRPr="009772F6" w:rsidRDefault="00773D72" w:rsidP="00773D72">
      <w:pPr>
        <w:pStyle w:val="Caption"/>
        <w:keepNext/>
        <w:spacing w:line="240" w:lineRule="auto"/>
        <w:jc w:val="center"/>
        <w:rPr>
          <w:sz w:val="22"/>
          <w:szCs w:val="22"/>
        </w:rPr>
      </w:pPr>
      <w:bookmarkStart w:id="0" w:name="_Ref178020206"/>
      <w:r w:rsidRPr="00AA0496">
        <w:rPr>
          <w:sz w:val="22"/>
          <w:szCs w:val="22"/>
        </w:rPr>
        <w:t xml:space="preserve">Table </w:t>
      </w:r>
      <w:r w:rsidRPr="00AA0496">
        <w:rPr>
          <w:sz w:val="22"/>
          <w:szCs w:val="22"/>
        </w:rPr>
        <w:fldChar w:fldCharType="begin"/>
      </w:r>
      <w:r w:rsidRPr="00AA0496">
        <w:rPr>
          <w:sz w:val="22"/>
          <w:szCs w:val="22"/>
        </w:rPr>
        <w:instrText xml:space="preserve"> SEQ Table \* ARABIC </w:instrText>
      </w:r>
      <w:r w:rsidRPr="00AA0496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1</w:t>
      </w:r>
      <w:r w:rsidRPr="00AA0496">
        <w:rPr>
          <w:sz w:val="22"/>
          <w:szCs w:val="22"/>
        </w:rPr>
        <w:fldChar w:fldCharType="end"/>
      </w:r>
      <w:bookmarkEnd w:id="0"/>
      <w:r w:rsidRPr="00AA0496">
        <w:rPr>
          <w:sz w:val="22"/>
          <w:szCs w:val="22"/>
        </w:rPr>
        <w:t xml:space="preserve"> </w:t>
      </w:r>
      <w:r w:rsidRPr="009772F6">
        <w:rPr>
          <w:sz w:val="22"/>
          <w:szCs w:val="22"/>
        </w:rPr>
        <w:t xml:space="preserve">Methods for assessing daylight performance </w:t>
      </w:r>
      <w:sdt>
        <w:sdtPr>
          <w:rPr>
            <w:sz w:val="22"/>
            <w:szCs w:val="22"/>
          </w:rPr>
          <w:tag w:val="MENDELEY_CITATION_v3_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"/>
          <w:id w:val="975651050"/>
          <w:placeholder>
            <w:docPart w:val="37350C2736F7442CAB15AFD1CA575AAB"/>
          </w:placeholder>
        </w:sdtPr>
        <w:sdtContent>
          <w:r w:rsidRPr="009772F6">
            <w:rPr>
              <w:sz w:val="22"/>
              <w:szCs w:val="22"/>
            </w:rPr>
            <w:t>(</w:t>
          </w:r>
          <w:proofErr w:type="spellStart"/>
          <w:r w:rsidRPr="009772F6">
            <w:rPr>
              <w:sz w:val="22"/>
              <w:szCs w:val="22"/>
            </w:rPr>
            <w:t>Ünlütürk</w:t>
          </w:r>
          <w:proofErr w:type="spellEnd"/>
          <w:r w:rsidRPr="009772F6">
            <w:rPr>
              <w:sz w:val="22"/>
              <w:szCs w:val="22"/>
            </w:rPr>
            <w:t xml:space="preserve"> &amp; </w:t>
          </w:r>
          <w:proofErr w:type="spellStart"/>
          <w:r w:rsidRPr="009772F6">
            <w:rPr>
              <w:sz w:val="22"/>
              <w:szCs w:val="22"/>
            </w:rPr>
            <w:t>Kazanasmaz</w:t>
          </w:r>
          <w:proofErr w:type="spellEnd"/>
          <w:r w:rsidRPr="009772F6">
            <w:rPr>
              <w:sz w:val="22"/>
              <w:szCs w:val="22"/>
            </w:rPr>
            <w:t>, 2023)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73D72" w:rsidRPr="003C703B" w14:paraId="08A10BA5" w14:textId="77777777" w:rsidTr="004D5BD9">
        <w:trPr>
          <w:trHeight w:val="277"/>
        </w:trPr>
        <w:tc>
          <w:tcPr>
            <w:tcW w:w="4672" w:type="dxa"/>
          </w:tcPr>
          <w:p w14:paraId="1FEC33FE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</w:rPr>
            </w:pPr>
            <w:r w:rsidRPr="003C703B">
              <w:rPr>
                <w:rFonts w:asciiTheme="majorBidi" w:hAnsiTheme="majorBidi" w:cstheme="majorBidi"/>
                <w:b/>
                <w:bCs/>
              </w:rPr>
              <w:t>Static Metrics for Assessing Daylight</w:t>
            </w:r>
          </w:p>
        </w:tc>
        <w:tc>
          <w:tcPr>
            <w:tcW w:w="4673" w:type="dxa"/>
          </w:tcPr>
          <w:p w14:paraId="43936546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Fonts w:asciiTheme="majorBidi" w:hAnsiTheme="majorBidi" w:cstheme="majorBidi"/>
                <w:b/>
                <w:bCs/>
                <w:lang w:val="en-GB"/>
              </w:rPr>
              <w:t>Dynamic Metrics for Assessing Daylight</w:t>
            </w:r>
          </w:p>
        </w:tc>
      </w:tr>
      <w:tr w:rsidR="00773D72" w:rsidRPr="003C703B" w14:paraId="71116612" w14:textId="77777777" w:rsidTr="004D5BD9">
        <w:trPr>
          <w:trHeight w:val="277"/>
        </w:trPr>
        <w:tc>
          <w:tcPr>
            <w:tcW w:w="4672" w:type="dxa"/>
          </w:tcPr>
          <w:p w14:paraId="25486AEC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Daylight Factor (DF) </w:t>
            </w:r>
          </w:p>
        </w:tc>
        <w:tc>
          <w:tcPr>
            <w:tcW w:w="4673" w:type="dxa"/>
          </w:tcPr>
          <w:p w14:paraId="663A9921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Daylight Autonomy (DA)</w:t>
            </w:r>
          </w:p>
        </w:tc>
      </w:tr>
      <w:tr w:rsidR="00773D72" w:rsidRPr="003C703B" w14:paraId="44C3ADEF" w14:textId="77777777" w:rsidTr="004D5BD9">
        <w:trPr>
          <w:trHeight w:val="277"/>
        </w:trPr>
        <w:tc>
          <w:tcPr>
            <w:tcW w:w="4672" w:type="dxa"/>
          </w:tcPr>
          <w:p w14:paraId="4385ADA2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Average Daylight Factor (ADF) </w:t>
            </w:r>
          </w:p>
        </w:tc>
        <w:tc>
          <w:tcPr>
            <w:tcW w:w="4673" w:type="dxa"/>
          </w:tcPr>
          <w:p w14:paraId="7A630BAC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Continuous Daylight Autonomy (DAcon)</w:t>
            </w:r>
          </w:p>
        </w:tc>
      </w:tr>
      <w:tr w:rsidR="00773D72" w:rsidRPr="003C703B" w14:paraId="178F1B8B" w14:textId="77777777" w:rsidTr="004D5BD9">
        <w:trPr>
          <w:trHeight w:val="263"/>
        </w:trPr>
        <w:tc>
          <w:tcPr>
            <w:tcW w:w="4672" w:type="dxa"/>
          </w:tcPr>
          <w:p w14:paraId="21F48BC2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Illuminance at a Point (SPT) </w:t>
            </w:r>
          </w:p>
        </w:tc>
        <w:tc>
          <w:tcPr>
            <w:tcW w:w="4673" w:type="dxa"/>
          </w:tcPr>
          <w:p w14:paraId="3DA25477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Maximum Daylight Autonomy (</w:t>
            </w:r>
            <w:proofErr w:type="spellStart"/>
            <w:r w:rsidRPr="003C703B">
              <w:rPr>
                <w:rStyle w:val="fontstyle01"/>
                <w:rFonts w:asciiTheme="majorBidi" w:hAnsiTheme="majorBidi" w:cstheme="majorBidi"/>
              </w:rPr>
              <w:t>DAmax</w:t>
            </w:r>
            <w:proofErr w:type="spellEnd"/>
            <w:r w:rsidRPr="003C703B">
              <w:rPr>
                <w:rStyle w:val="fontstyle01"/>
                <w:rFonts w:asciiTheme="majorBidi" w:hAnsiTheme="majorBidi" w:cstheme="majorBidi"/>
              </w:rPr>
              <w:t>)</w:t>
            </w:r>
          </w:p>
        </w:tc>
      </w:tr>
      <w:tr w:rsidR="00773D72" w:rsidRPr="003C703B" w14:paraId="101AEB49" w14:textId="77777777" w:rsidTr="004D5BD9">
        <w:trPr>
          <w:trHeight w:val="277"/>
        </w:trPr>
        <w:tc>
          <w:tcPr>
            <w:tcW w:w="4672" w:type="dxa"/>
          </w:tcPr>
          <w:p w14:paraId="682073D1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Average Luminous Level Amount (Em) </w:t>
            </w:r>
          </w:p>
        </w:tc>
        <w:tc>
          <w:tcPr>
            <w:tcW w:w="4673" w:type="dxa"/>
          </w:tcPr>
          <w:p w14:paraId="40080E57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Useful Daylight Illuminance (UDI)</w:t>
            </w:r>
          </w:p>
        </w:tc>
      </w:tr>
      <w:tr w:rsidR="00773D72" w:rsidRPr="003C703B" w14:paraId="3B33F481" w14:textId="77777777" w:rsidTr="004D5BD9">
        <w:trPr>
          <w:trHeight w:val="277"/>
        </w:trPr>
        <w:tc>
          <w:tcPr>
            <w:tcW w:w="4672" w:type="dxa"/>
          </w:tcPr>
          <w:p w14:paraId="73C11487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Vertical Illuminance - Horizontal Illuminance Level </w:t>
            </w:r>
          </w:p>
        </w:tc>
        <w:tc>
          <w:tcPr>
            <w:tcW w:w="4673" w:type="dxa"/>
          </w:tcPr>
          <w:p w14:paraId="513D640C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Spatial Daylight Autonomy (</w:t>
            </w:r>
            <w:proofErr w:type="spellStart"/>
            <w:r w:rsidRPr="003C703B">
              <w:rPr>
                <w:rStyle w:val="fontstyle01"/>
                <w:rFonts w:asciiTheme="majorBidi" w:hAnsiTheme="majorBidi" w:cstheme="majorBidi"/>
              </w:rPr>
              <w:t>sDA</w:t>
            </w:r>
            <w:proofErr w:type="spellEnd"/>
            <w:r w:rsidRPr="003C703B">
              <w:rPr>
                <w:rStyle w:val="fontstyle01"/>
                <w:rFonts w:asciiTheme="majorBidi" w:hAnsiTheme="majorBidi" w:cstheme="majorBidi"/>
              </w:rPr>
              <w:t>)</w:t>
            </w:r>
          </w:p>
        </w:tc>
      </w:tr>
      <w:tr w:rsidR="00773D72" w:rsidRPr="003C703B" w14:paraId="3B0A2730" w14:textId="77777777" w:rsidTr="004D5BD9">
        <w:trPr>
          <w:trHeight w:val="277"/>
        </w:trPr>
        <w:tc>
          <w:tcPr>
            <w:tcW w:w="4672" w:type="dxa"/>
          </w:tcPr>
          <w:p w14:paraId="5337D207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 xml:space="preserve">Level Ratio (VH) </w:t>
            </w:r>
          </w:p>
        </w:tc>
        <w:tc>
          <w:tcPr>
            <w:tcW w:w="4673" w:type="dxa"/>
          </w:tcPr>
          <w:p w14:paraId="1F81363B" w14:textId="77777777" w:rsidR="00773D72" w:rsidRPr="003C703B" w:rsidRDefault="00773D72" w:rsidP="004D5BD9">
            <w:pPr>
              <w:pStyle w:val="Els-body-text"/>
              <w:spacing w:line="240" w:lineRule="auto"/>
              <w:ind w:firstLine="0"/>
              <w:rPr>
                <w:rFonts w:asciiTheme="majorBidi" w:hAnsiTheme="majorBidi" w:cstheme="majorBidi"/>
                <w:lang w:val="en-GB"/>
              </w:rPr>
            </w:pPr>
            <w:r w:rsidRPr="003C703B">
              <w:rPr>
                <w:rStyle w:val="fontstyle01"/>
                <w:rFonts w:asciiTheme="majorBidi" w:hAnsiTheme="majorBidi" w:cstheme="majorBidi"/>
              </w:rPr>
              <w:t>Annual Sunlight Intake (ASE)</w:t>
            </w:r>
          </w:p>
        </w:tc>
      </w:tr>
    </w:tbl>
    <w:p w14:paraId="2595D36C" w14:textId="551EFCCB" w:rsidR="00773D72" w:rsidRDefault="00773D72"/>
    <w:sectPr w:rsidR="00773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xNDY0Mjc0MjCxMDdU0lEKTi0uzszPAykwrAUAWU7MPiwAAAA="/>
  </w:docVars>
  <w:rsids>
    <w:rsidRoot w:val="00773D72"/>
    <w:rsid w:val="00773D72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93E215"/>
  <w15:chartTrackingRefBased/>
  <w15:docId w15:val="{A6305E5B-3CFC-4622-B8E2-06739B16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D72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D72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72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72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72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72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72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72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72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72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D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D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D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D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D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D72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73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72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73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D72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73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D72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73D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7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D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D72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773D72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773D72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773D72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773D72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350C2736F7442CAB15AFD1CA575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17F80-2601-43AB-8B90-85BBDC945EE5}"/>
      </w:docPartPr>
      <w:docPartBody>
        <w:p w:rsidR="007C61A0" w:rsidRDefault="007C61A0" w:rsidP="007C61A0">
          <w:pPr>
            <w:pStyle w:val="37350C2736F7442CAB15AFD1CA575AAB"/>
          </w:pPr>
          <w:r w:rsidRPr="00B27C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A0"/>
    <w:rsid w:val="007C61A0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1A0"/>
  </w:style>
  <w:style w:type="paragraph" w:customStyle="1" w:styleId="37350C2736F7442CAB15AFD1CA575AAB">
    <w:name w:val="37350C2736F7442CAB15AFD1CA575AAB"/>
    <w:rsid w:val="007C6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501</Characters>
  <Application>Microsoft Office Word</Application>
  <DocSecurity>0</DocSecurity>
  <Lines>10</Lines>
  <Paragraphs>3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2025-02-07T14:45:00Z</dcterms:created>
  <dcterms:modified xsi:type="dcterms:W3CDTF">2025-02-07T14:46:00Z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6592e022-fa89-45e9-914e-8126d23279ec</vt:lpwstr>
  </property>
</Properties>
</file>