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419CA" w14:textId="5D9B6498" w:rsidR="00644779" w:rsidRPr="00644779" w:rsidRDefault="00644779" w:rsidP="00644779">
      <w:pPr>
        <w:ind w:right="1893"/>
        <w:jc w:val="both"/>
        <w:rPr>
          <w:b/>
        </w:rPr>
      </w:pPr>
      <w:r w:rsidRPr="00644779">
        <w:rPr>
          <w:b/>
          <w:color w:val="000000"/>
        </w:rPr>
        <w:t>Supplementary Table 4</w:t>
      </w:r>
      <w:sdt>
        <w:sdtPr>
          <w:tag w:val="goog_rdk_0"/>
          <w:id w:val="37085949"/>
        </w:sdtPr>
        <w:sdtContent>
          <w:r w:rsidRPr="00644779">
            <w:rPr>
              <w:b/>
              <w:color w:val="000000"/>
            </w:rPr>
            <w:t>.</w:t>
          </w:r>
        </w:sdtContent>
      </w:sdt>
      <w:r w:rsidRPr="00644779">
        <w:rPr>
          <w:color w:val="000000"/>
        </w:rPr>
        <w:t xml:space="preserve"> PERMANOVA results</w:t>
      </w:r>
      <w:r w:rsidRPr="00644779">
        <w:t xml:space="preserve"> </w:t>
      </w:r>
      <w:r w:rsidRPr="00644779">
        <w:rPr>
          <w:color w:val="000000"/>
        </w:rPr>
        <w:t xml:space="preserve">of the comparisons between the </w:t>
      </w:r>
      <w:r w:rsidR="00625927">
        <w:rPr>
          <w:color w:val="000000"/>
        </w:rPr>
        <w:t>IT</w:t>
      </w:r>
      <w:r w:rsidRPr="00644779">
        <w:rPr>
          <w:color w:val="000000"/>
        </w:rPr>
        <w:t xml:space="preserve"> and </w:t>
      </w:r>
      <w:r w:rsidR="00625927">
        <w:rPr>
          <w:color w:val="000000"/>
        </w:rPr>
        <w:t>CZ</w:t>
      </w:r>
      <w:r w:rsidRPr="00644779">
        <w:rPr>
          <w:color w:val="000000"/>
        </w:rPr>
        <w:t xml:space="preserve"> </w:t>
      </w:r>
      <w:r w:rsidR="00625927">
        <w:rPr>
          <w:color w:val="000000"/>
        </w:rPr>
        <w:t>cohorts.</w:t>
      </w:r>
      <w:r w:rsidRPr="00644779">
        <w:rPr>
          <w:color w:val="000000"/>
        </w:rPr>
        <w:t xml:space="preserve"> </w:t>
      </w:r>
    </w:p>
    <w:tbl>
      <w:tblPr>
        <w:tblStyle w:val="a1"/>
        <w:tblW w:w="7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79"/>
        <w:gridCol w:w="1879"/>
        <w:gridCol w:w="1879"/>
        <w:gridCol w:w="1879"/>
      </w:tblGrid>
      <w:tr w:rsidR="00F036BC" w14:paraId="1382966E" w14:textId="77777777">
        <w:tc>
          <w:tcPr>
            <w:tcW w:w="1879" w:type="dxa"/>
          </w:tcPr>
          <w:p w14:paraId="3CEEE12F" w14:textId="77777777" w:rsidR="00F036BC" w:rsidRDefault="00F036BC"/>
        </w:tc>
        <w:tc>
          <w:tcPr>
            <w:tcW w:w="1879" w:type="dxa"/>
          </w:tcPr>
          <w:p w14:paraId="33419686" w14:textId="77777777" w:rsidR="00F036BC" w:rsidRDefault="00644779">
            <w:pPr>
              <w:jc w:val="center"/>
            </w:pPr>
            <w:r>
              <w:t>microbiome</w:t>
            </w:r>
          </w:p>
        </w:tc>
        <w:tc>
          <w:tcPr>
            <w:tcW w:w="1879" w:type="dxa"/>
          </w:tcPr>
          <w:p w14:paraId="76387356" w14:textId="77777777" w:rsidR="00F036BC" w:rsidRDefault="00644779">
            <w:pPr>
              <w:jc w:val="center"/>
            </w:pPr>
            <w:r>
              <w:t>serum metabolome</w:t>
            </w:r>
          </w:p>
        </w:tc>
        <w:tc>
          <w:tcPr>
            <w:tcW w:w="1879" w:type="dxa"/>
          </w:tcPr>
          <w:p w14:paraId="6EAD9038" w14:textId="77777777" w:rsidR="00F036BC" w:rsidRDefault="00644779">
            <w:pPr>
              <w:jc w:val="center"/>
            </w:pPr>
            <w:r>
              <w:t>serum lipidome</w:t>
            </w:r>
          </w:p>
        </w:tc>
      </w:tr>
      <w:tr w:rsidR="00F036BC" w14:paraId="032A918B" w14:textId="77777777">
        <w:tc>
          <w:tcPr>
            <w:tcW w:w="1879" w:type="dxa"/>
          </w:tcPr>
          <w:p w14:paraId="13D1A499" w14:textId="77777777" w:rsidR="00F036BC" w:rsidRDefault="00644779">
            <w:r>
              <w:t>VG_CZ vs OM_CZ</w:t>
            </w:r>
          </w:p>
        </w:tc>
        <w:tc>
          <w:tcPr>
            <w:tcW w:w="1879" w:type="dxa"/>
          </w:tcPr>
          <w:p w14:paraId="6CA4429E" w14:textId="77777777" w:rsidR="00F036BC" w:rsidRDefault="00644779">
            <w:pPr>
              <w:jc w:val="center"/>
            </w:pPr>
            <w:r>
              <w:t xml:space="preserve">     ˂ 0.001</w:t>
            </w:r>
          </w:p>
        </w:tc>
        <w:tc>
          <w:tcPr>
            <w:tcW w:w="1879" w:type="dxa"/>
          </w:tcPr>
          <w:p w14:paraId="749C9AB6" w14:textId="77777777" w:rsidR="00F036BC" w:rsidRDefault="00644779">
            <w:pPr>
              <w:jc w:val="center"/>
            </w:pPr>
            <w:r>
              <w:t xml:space="preserve">     ˂ 0.001</w:t>
            </w:r>
          </w:p>
        </w:tc>
        <w:tc>
          <w:tcPr>
            <w:tcW w:w="1879" w:type="dxa"/>
          </w:tcPr>
          <w:p w14:paraId="36E826F0" w14:textId="77777777" w:rsidR="00F036BC" w:rsidRDefault="00644779">
            <w:pPr>
              <w:jc w:val="center"/>
            </w:pPr>
            <w:r>
              <w:t xml:space="preserve">     ˂ 0.001</w:t>
            </w:r>
          </w:p>
        </w:tc>
      </w:tr>
      <w:tr w:rsidR="00F036BC" w14:paraId="4CE643C2" w14:textId="77777777">
        <w:tc>
          <w:tcPr>
            <w:tcW w:w="1879" w:type="dxa"/>
          </w:tcPr>
          <w:p w14:paraId="131E387F" w14:textId="77777777" w:rsidR="00F036BC" w:rsidRDefault="00644779">
            <w:r>
              <w:t>VG_CZ vs OM_IT</w:t>
            </w:r>
          </w:p>
        </w:tc>
        <w:tc>
          <w:tcPr>
            <w:tcW w:w="1879" w:type="dxa"/>
          </w:tcPr>
          <w:p w14:paraId="096A200E" w14:textId="77777777" w:rsidR="00F036BC" w:rsidRDefault="00644779">
            <w:pPr>
              <w:jc w:val="center"/>
            </w:pPr>
            <w:r>
              <w:t xml:space="preserve">     ˂ 0.001</w:t>
            </w:r>
          </w:p>
        </w:tc>
        <w:tc>
          <w:tcPr>
            <w:tcW w:w="1879" w:type="dxa"/>
          </w:tcPr>
          <w:p w14:paraId="475C813E" w14:textId="77777777" w:rsidR="00F036BC" w:rsidRDefault="00644779">
            <w:pPr>
              <w:jc w:val="center"/>
            </w:pPr>
            <w:r>
              <w:t xml:space="preserve">     ˂ 0.001</w:t>
            </w:r>
          </w:p>
        </w:tc>
        <w:tc>
          <w:tcPr>
            <w:tcW w:w="1879" w:type="dxa"/>
          </w:tcPr>
          <w:p w14:paraId="42D6FE4A" w14:textId="77777777" w:rsidR="00F036BC" w:rsidRDefault="00644779">
            <w:pPr>
              <w:jc w:val="center"/>
            </w:pPr>
            <w:r>
              <w:t xml:space="preserve">     ˂ 0.001</w:t>
            </w:r>
          </w:p>
        </w:tc>
      </w:tr>
      <w:tr w:rsidR="00F036BC" w14:paraId="7EEBF3FE" w14:textId="77777777">
        <w:tc>
          <w:tcPr>
            <w:tcW w:w="1879" w:type="dxa"/>
          </w:tcPr>
          <w:p w14:paraId="38C25260" w14:textId="77777777" w:rsidR="00F036BC" w:rsidRDefault="00644779">
            <w:r>
              <w:t>VG_CZ vs VG_IT</w:t>
            </w:r>
          </w:p>
        </w:tc>
        <w:tc>
          <w:tcPr>
            <w:tcW w:w="1879" w:type="dxa"/>
          </w:tcPr>
          <w:p w14:paraId="11DF121B" w14:textId="77777777" w:rsidR="00F036BC" w:rsidRDefault="00644779">
            <w:pPr>
              <w:jc w:val="center"/>
            </w:pPr>
            <w:r>
              <w:t xml:space="preserve">     ˂ 0.001</w:t>
            </w:r>
          </w:p>
        </w:tc>
        <w:tc>
          <w:tcPr>
            <w:tcW w:w="1879" w:type="dxa"/>
          </w:tcPr>
          <w:p w14:paraId="35C6587F" w14:textId="77777777" w:rsidR="00F036BC" w:rsidRDefault="00644779">
            <w:pPr>
              <w:jc w:val="center"/>
            </w:pPr>
            <w:r>
              <w:t xml:space="preserve">     ˂ 0.001</w:t>
            </w:r>
          </w:p>
        </w:tc>
        <w:tc>
          <w:tcPr>
            <w:tcW w:w="1879" w:type="dxa"/>
          </w:tcPr>
          <w:p w14:paraId="153DCCF1" w14:textId="77777777" w:rsidR="00F036BC" w:rsidRDefault="00644779">
            <w:pPr>
              <w:jc w:val="center"/>
            </w:pPr>
            <w:r>
              <w:t xml:space="preserve">     ˂ 0.001</w:t>
            </w:r>
          </w:p>
        </w:tc>
      </w:tr>
      <w:tr w:rsidR="00F036BC" w14:paraId="520C26FC" w14:textId="77777777">
        <w:tc>
          <w:tcPr>
            <w:tcW w:w="1879" w:type="dxa"/>
          </w:tcPr>
          <w:p w14:paraId="3CFC4B30" w14:textId="77777777" w:rsidR="00F036BC" w:rsidRDefault="00644779">
            <w:r>
              <w:t>OM_CZ vs OM_IT</w:t>
            </w:r>
          </w:p>
        </w:tc>
        <w:tc>
          <w:tcPr>
            <w:tcW w:w="1879" w:type="dxa"/>
          </w:tcPr>
          <w:p w14:paraId="35DD4A47" w14:textId="77777777" w:rsidR="00F036BC" w:rsidRDefault="00644779">
            <w:pPr>
              <w:jc w:val="center"/>
            </w:pPr>
            <w:r>
              <w:t xml:space="preserve">     ˂ 0.001</w:t>
            </w:r>
          </w:p>
        </w:tc>
        <w:tc>
          <w:tcPr>
            <w:tcW w:w="1879" w:type="dxa"/>
          </w:tcPr>
          <w:p w14:paraId="05775778" w14:textId="77777777" w:rsidR="00F036BC" w:rsidRDefault="00644779">
            <w:pPr>
              <w:jc w:val="center"/>
            </w:pPr>
            <w:r>
              <w:t xml:space="preserve">     ˂ 0.001</w:t>
            </w:r>
          </w:p>
        </w:tc>
        <w:tc>
          <w:tcPr>
            <w:tcW w:w="1879" w:type="dxa"/>
          </w:tcPr>
          <w:p w14:paraId="4E63499F" w14:textId="77777777" w:rsidR="00F036BC" w:rsidRDefault="00644779">
            <w:pPr>
              <w:jc w:val="center"/>
            </w:pPr>
            <w:r>
              <w:t xml:space="preserve">     ˂ 0.001</w:t>
            </w:r>
          </w:p>
        </w:tc>
      </w:tr>
      <w:tr w:rsidR="00F036BC" w14:paraId="70916313" w14:textId="77777777">
        <w:tc>
          <w:tcPr>
            <w:tcW w:w="1879" w:type="dxa"/>
          </w:tcPr>
          <w:p w14:paraId="374083AA" w14:textId="77777777" w:rsidR="00F036BC" w:rsidRDefault="00644779">
            <w:r>
              <w:t>OM_CZ vs VG_IT</w:t>
            </w:r>
          </w:p>
        </w:tc>
        <w:tc>
          <w:tcPr>
            <w:tcW w:w="1879" w:type="dxa"/>
          </w:tcPr>
          <w:p w14:paraId="4107DCBC" w14:textId="77777777" w:rsidR="00F036BC" w:rsidRDefault="00644779">
            <w:pPr>
              <w:jc w:val="center"/>
            </w:pPr>
            <w:r>
              <w:t xml:space="preserve">     ˂ 0.001</w:t>
            </w:r>
          </w:p>
        </w:tc>
        <w:tc>
          <w:tcPr>
            <w:tcW w:w="1879" w:type="dxa"/>
          </w:tcPr>
          <w:p w14:paraId="65ABF92D" w14:textId="77777777" w:rsidR="00F036BC" w:rsidRDefault="00644779">
            <w:pPr>
              <w:jc w:val="center"/>
            </w:pPr>
            <w:r>
              <w:t xml:space="preserve">     ˂ 0.001</w:t>
            </w:r>
          </w:p>
        </w:tc>
        <w:tc>
          <w:tcPr>
            <w:tcW w:w="1879" w:type="dxa"/>
          </w:tcPr>
          <w:p w14:paraId="11832E3C" w14:textId="77777777" w:rsidR="00F036BC" w:rsidRDefault="00644779">
            <w:pPr>
              <w:jc w:val="center"/>
            </w:pPr>
            <w:r>
              <w:t xml:space="preserve">     ˂ 0.001</w:t>
            </w:r>
          </w:p>
        </w:tc>
      </w:tr>
      <w:tr w:rsidR="00F036BC" w14:paraId="039DF675" w14:textId="77777777">
        <w:tc>
          <w:tcPr>
            <w:tcW w:w="1879" w:type="dxa"/>
          </w:tcPr>
          <w:p w14:paraId="1492C159" w14:textId="77777777" w:rsidR="00F036BC" w:rsidRDefault="00644779">
            <w:r>
              <w:t>OM_IT vs VG_IT</w:t>
            </w:r>
          </w:p>
        </w:tc>
        <w:tc>
          <w:tcPr>
            <w:tcW w:w="1879" w:type="dxa"/>
          </w:tcPr>
          <w:p w14:paraId="5D10271B" w14:textId="77777777" w:rsidR="00F036BC" w:rsidRDefault="00644779">
            <w:pPr>
              <w:jc w:val="center"/>
            </w:pPr>
            <w:r>
              <w:t>0.015</w:t>
            </w:r>
          </w:p>
        </w:tc>
        <w:tc>
          <w:tcPr>
            <w:tcW w:w="1879" w:type="dxa"/>
          </w:tcPr>
          <w:p w14:paraId="4FB9245A" w14:textId="77777777" w:rsidR="00F036BC" w:rsidRDefault="00644779">
            <w:pPr>
              <w:jc w:val="center"/>
            </w:pPr>
            <w:r>
              <w:t xml:space="preserve">     ˂ 0.001</w:t>
            </w:r>
          </w:p>
        </w:tc>
        <w:tc>
          <w:tcPr>
            <w:tcW w:w="1879" w:type="dxa"/>
          </w:tcPr>
          <w:p w14:paraId="0CB47FF8" w14:textId="77777777" w:rsidR="00F036BC" w:rsidRDefault="00644779">
            <w:pPr>
              <w:jc w:val="center"/>
            </w:pPr>
            <w:r>
              <w:t xml:space="preserve">     ˂ 0.001</w:t>
            </w:r>
          </w:p>
        </w:tc>
      </w:tr>
    </w:tbl>
    <w:p w14:paraId="290586C3" w14:textId="77777777" w:rsidR="00644779" w:rsidRDefault="00644779"/>
    <w:p w14:paraId="731AF244" w14:textId="04D2E0C5" w:rsidR="00F036BC" w:rsidRDefault="00644779">
      <w:r>
        <w:t>The data represents p-values after correction for multiple comparisons.</w:t>
      </w:r>
    </w:p>
    <w:p w14:paraId="6BCD0313" w14:textId="274E0DB1" w:rsidR="00F036BC" w:rsidRDefault="00F036BC">
      <w:pPr>
        <w:rPr>
          <w:b/>
        </w:rPr>
      </w:pPr>
    </w:p>
    <w:p w14:paraId="786FFD0A" w14:textId="7B4B5C3E" w:rsidR="00644779" w:rsidRDefault="00644779">
      <w:pPr>
        <w:rPr>
          <w:b/>
        </w:rPr>
      </w:pPr>
    </w:p>
    <w:sectPr w:rsidR="00644779">
      <w:pgSz w:w="12240" w:h="15840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6BC"/>
    <w:rsid w:val="005F0ED9"/>
    <w:rsid w:val="00625927"/>
    <w:rsid w:val="00644779"/>
    <w:rsid w:val="00E50718"/>
    <w:rsid w:val="00F0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F4BC0"/>
  <w15:docId w15:val="{3312FD9F-FA90-4A85-AEF5-58D81B2FB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CC6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8RhYL4VUJ7FgH4njVQjCtWqKOA==">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RNDr. Monika Cahová, Ph.D.</dc:creator>
  <cp:lastModifiedBy>Giulio Ferrero</cp:lastModifiedBy>
  <cp:revision>4</cp:revision>
  <dcterms:created xsi:type="dcterms:W3CDTF">2024-10-08T18:12:00Z</dcterms:created>
  <dcterms:modified xsi:type="dcterms:W3CDTF">2025-02-03T14:34:00Z</dcterms:modified>
</cp:coreProperties>
</file>