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3022C" w14:textId="209A8E8E" w:rsidR="007971DB" w:rsidRPr="00D13677" w:rsidRDefault="007971DB" w:rsidP="007971DB">
      <w:pPr>
        <w:jc w:val="center"/>
      </w:pPr>
      <w:r>
        <w:t xml:space="preserve">Daily stream flow from </w:t>
      </w:r>
      <w:r w:rsidR="00B410B2">
        <w:t xml:space="preserve">Rhode River </w:t>
      </w:r>
      <w:proofErr w:type="spellStart"/>
      <w:r w:rsidR="00B410B2">
        <w:t>subwatersheds</w:t>
      </w:r>
      <w:proofErr w:type="spellEnd"/>
      <w:r>
        <w:t>,</w:t>
      </w:r>
      <w:r w:rsidR="005B1C6F" w:rsidRPr="005B1C6F">
        <w:t xml:space="preserve"> </w:t>
      </w:r>
      <w:r w:rsidR="005B1C6F">
        <w:t xml:space="preserve">Maryland, USA, </w:t>
      </w:r>
      <w:r>
        <w:t>1974-2023</w:t>
      </w:r>
    </w:p>
    <w:p w14:paraId="1F76B1AC" w14:textId="77777777" w:rsidR="00185B6B" w:rsidRDefault="00185B6B" w:rsidP="00185B6B">
      <w:pPr>
        <w:jc w:val="center"/>
        <w:rPr>
          <w:b/>
          <w:bCs/>
        </w:rPr>
      </w:pPr>
    </w:p>
    <w:p w14:paraId="0BD6ADD5" w14:textId="66A9E9AE" w:rsidR="0009772F" w:rsidRPr="00185B6B" w:rsidRDefault="00185B6B" w:rsidP="00185B6B">
      <w:pPr>
        <w:jc w:val="center"/>
      </w:pPr>
      <w:r w:rsidRPr="00185B6B">
        <w:t>Methods Details</w:t>
      </w:r>
    </w:p>
    <w:p w14:paraId="45D76BF1" w14:textId="77777777" w:rsidR="0009772F" w:rsidRPr="004422E8" w:rsidRDefault="0009772F" w:rsidP="0009772F">
      <w:r w:rsidRPr="00185B6B">
        <w:tab/>
      </w:r>
      <w:r w:rsidRPr="00185B6B">
        <w:tab/>
      </w:r>
      <w:r w:rsidRPr="00185B6B">
        <w:tab/>
      </w:r>
      <w:r w:rsidRPr="00185B6B">
        <w:tab/>
      </w:r>
      <w:r w:rsidRPr="00185B6B">
        <w:tab/>
      </w:r>
      <w:r w:rsidRPr="004422E8">
        <w:tab/>
      </w:r>
      <w:r w:rsidRPr="004422E8">
        <w:tab/>
      </w:r>
      <w:r w:rsidRPr="004422E8">
        <w:tab/>
      </w:r>
    </w:p>
    <w:p w14:paraId="38CF8615" w14:textId="77777777" w:rsidR="00924251" w:rsidRPr="004422E8" w:rsidRDefault="00924251" w:rsidP="0009772F">
      <w:pPr>
        <w:rPr>
          <w:b/>
          <w:bCs/>
        </w:rPr>
      </w:pPr>
      <w:r w:rsidRPr="004422E8">
        <w:rPr>
          <w:b/>
          <w:bCs/>
        </w:rPr>
        <w:t>Site Information</w:t>
      </w:r>
    </w:p>
    <w:p w14:paraId="0C57AD52" w14:textId="77777777" w:rsidR="00924251" w:rsidRPr="004422E8" w:rsidRDefault="00924251" w:rsidP="00924251"/>
    <w:p w14:paraId="470E1664" w14:textId="62018976" w:rsidR="00924251" w:rsidRPr="004422E8" w:rsidRDefault="00924251" w:rsidP="00924251">
      <w:r w:rsidRPr="004422E8">
        <w:t xml:space="preserve">Discharge </w:t>
      </w:r>
      <w:r w:rsidR="00E75EFE" w:rsidRPr="004422E8">
        <w:t xml:space="preserve">has been measured since 1974 at five </w:t>
      </w:r>
      <w:r w:rsidR="00B7596C" w:rsidRPr="004422E8">
        <w:t>watersheds at the Smithsonian Environmental Research Center (Table 1).</w:t>
      </w:r>
    </w:p>
    <w:p w14:paraId="49E88901" w14:textId="77777777" w:rsidR="00B7596C" w:rsidRPr="004422E8" w:rsidRDefault="00B7596C" w:rsidP="00924251"/>
    <w:p w14:paraId="34C3F868" w14:textId="21CAD8DC" w:rsidR="00AE16E7" w:rsidRPr="004422E8" w:rsidRDefault="00924251" w:rsidP="00924251">
      <w:r w:rsidRPr="004422E8">
        <w:t xml:space="preserve">Table 1. Watershed </w:t>
      </w:r>
      <w:r w:rsidR="00AE16E7" w:rsidRPr="004422E8">
        <w:t>locations and drainage areas.</w:t>
      </w:r>
      <w:r w:rsidRPr="004422E8">
        <w:tab/>
      </w:r>
      <w:r w:rsidRPr="004422E8">
        <w:tab/>
      </w:r>
      <w:r w:rsidRPr="004422E8">
        <w:tab/>
      </w:r>
      <w:r w:rsidRPr="004422E8">
        <w:tab/>
      </w:r>
      <w:r w:rsidRPr="004422E8">
        <w:tab/>
      </w:r>
      <w:r w:rsidRPr="004422E8">
        <w:tab/>
      </w:r>
      <w:r w:rsidRPr="004422E8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1533"/>
      </w:tblGrid>
      <w:tr w:rsidR="00AE16E7" w:rsidRPr="004422E8" w14:paraId="73F10428" w14:textId="77777777" w:rsidTr="00FE6D36">
        <w:tc>
          <w:tcPr>
            <w:tcW w:w="2337" w:type="dxa"/>
          </w:tcPr>
          <w:p w14:paraId="64C2F70C" w14:textId="41E69828" w:rsidR="00AE16E7" w:rsidRPr="004422E8" w:rsidRDefault="00481610" w:rsidP="00924251">
            <w:r w:rsidRPr="004422E8">
              <w:t>Weir Number</w:t>
            </w:r>
          </w:p>
        </w:tc>
        <w:tc>
          <w:tcPr>
            <w:tcW w:w="2337" w:type="dxa"/>
          </w:tcPr>
          <w:p w14:paraId="268C6B04" w14:textId="652D3896" w:rsidR="00AE16E7" w:rsidRPr="004422E8" w:rsidRDefault="00481610" w:rsidP="00924251">
            <w:r w:rsidRPr="004422E8">
              <w:t>Latitude</w:t>
            </w:r>
          </w:p>
        </w:tc>
        <w:tc>
          <w:tcPr>
            <w:tcW w:w="2338" w:type="dxa"/>
          </w:tcPr>
          <w:p w14:paraId="73F24241" w14:textId="1CC9E41B" w:rsidR="00AE16E7" w:rsidRPr="004422E8" w:rsidRDefault="00481610" w:rsidP="00924251">
            <w:r w:rsidRPr="004422E8">
              <w:t>Longitude</w:t>
            </w:r>
          </w:p>
        </w:tc>
        <w:tc>
          <w:tcPr>
            <w:tcW w:w="1533" w:type="dxa"/>
          </w:tcPr>
          <w:p w14:paraId="2FE4B498" w14:textId="5FFB6A5A" w:rsidR="00AE16E7" w:rsidRPr="004422E8" w:rsidRDefault="00481610" w:rsidP="00924251">
            <w:r w:rsidRPr="004422E8">
              <w:t>Drainage area (ha)</w:t>
            </w:r>
          </w:p>
        </w:tc>
      </w:tr>
      <w:tr w:rsidR="004422E8" w:rsidRPr="004422E8" w14:paraId="165C0C98" w14:textId="77777777" w:rsidTr="00FE6D36">
        <w:tc>
          <w:tcPr>
            <w:tcW w:w="2337" w:type="dxa"/>
          </w:tcPr>
          <w:p w14:paraId="003963AD" w14:textId="0BA9AF05" w:rsidR="004422E8" w:rsidRPr="004422E8" w:rsidRDefault="004422E8" w:rsidP="004422E8">
            <w:r w:rsidRPr="004422E8">
              <w:t>W101</w:t>
            </w:r>
          </w:p>
        </w:tc>
        <w:tc>
          <w:tcPr>
            <w:tcW w:w="2337" w:type="dxa"/>
            <w:vAlign w:val="bottom"/>
          </w:tcPr>
          <w:p w14:paraId="34B1A21D" w14:textId="1DA6E538" w:rsidR="004422E8" w:rsidRPr="004422E8" w:rsidRDefault="004422E8" w:rsidP="004422E8">
            <w:pPr>
              <w:rPr>
                <w:highlight w:val="yellow"/>
              </w:rPr>
            </w:pPr>
            <w:r w:rsidRPr="004422E8">
              <w:rPr>
                <w:color w:val="000000"/>
              </w:rPr>
              <w:t>-76.55766000</w:t>
            </w:r>
          </w:p>
        </w:tc>
        <w:tc>
          <w:tcPr>
            <w:tcW w:w="2338" w:type="dxa"/>
            <w:vAlign w:val="bottom"/>
          </w:tcPr>
          <w:p w14:paraId="1DA50A35" w14:textId="26B44A05" w:rsidR="004422E8" w:rsidRPr="004422E8" w:rsidRDefault="004422E8" w:rsidP="004422E8">
            <w:pPr>
              <w:rPr>
                <w:highlight w:val="yellow"/>
              </w:rPr>
            </w:pPr>
            <w:r w:rsidRPr="004422E8">
              <w:rPr>
                <w:color w:val="000000"/>
              </w:rPr>
              <w:t>38.89061000</w:t>
            </w:r>
          </w:p>
        </w:tc>
        <w:tc>
          <w:tcPr>
            <w:tcW w:w="1533" w:type="dxa"/>
          </w:tcPr>
          <w:p w14:paraId="5F8542AF" w14:textId="0C6930D4" w:rsidR="004422E8" w:rsidRPr="004422E8" w:rsidRDefault="004422E8" w:rsidP="004422E8">
            <w:r w:rsidRPr="004422E8">
              <w:t>226</w:t>
            </w:r>
          </w:p>
        </w:tc>
      </w:tr>
      <w:tr w:rsidR="004422E8" w:rsidRPr="004422E8" w14:paraId="1615582B" w14:textId="77777777" w:rsidTr="00FE6D36">
        <w:tc>
          <w:tcPr>
            <w:tcW w:w="2337" w:type="dxa"/>
          </w:tcPr>
          <w:p w14:paraId="645BCE9A" w14:textId="272E2CB6" w:rsidR="004422E8" w:rsidRPr="004422E8" w:rsidRDefault="004422E8" w:rsidP="004422E8">
            <w:r w:rsidRPr="004422E8">
              <w:t>W102</w:t>
            </w:r>
          </w:p>
        </w:tc>
        <w:tc>
          <w:tcPr>
            <w:tcW w:w="2337" w:type="dxa"/>
            <w:vAlign w:val="bottom"/>
          </w:tcPr>
          <w:p w14:paraId="3111CA4E" w14:textId="6D886FE4" w:rsidR="004422E8" w:rsidRPr="004422E8" w:rsidRDefault="004422E8" w:rsidP="004422E8">
            <w:pPr>
              <w:rPr>
                <w:highlight w:val="yellow"/>
              </w:rPr>
            </w:pPr>
            <w:r w:rsidRPr="004422E8">
              <w:rPr>
                <w:color w:val="000000"/>
              </w:rPr>
              <w:t>-76.56444000</w:t>
            </w:r>
          </w:p>
        </w:tc>
        <w:tc>
          <w:tcPr>
            <w:tcW w:w="2338" w:type="dxa"/>
            <w:vAlign w:val="bottom"/>
          </w:tcPr>
          <w:p w14:paraId="128ADC71" w14:textId="26396202" w:rsidR="004422E8" w:rsidRPr="004422E8" w:rsidRDefault="004422E8" w:rsidP="004422E8">
            <w:pPr>
              <w:rPr>
                <w:highlight w:val="yellow"/>
              </w:rPr>
            </w:pPr>
            <w:r w:rsidRPr="004422E8">
              <w:rPr>
                <w:color w:val="000000"/>
              </w:rPr>
              <w:t>38.88806000</w:t>
            </w:r>
          </w:p>
        </w:tc>
        <w:tc>
          <w:tcPr>
            <w:tcW w:w="1533" w:type="dxa"/>
          </w:tcPr>
          <w:p w14:paraId="7437A72D" w14:textId="3E728303" w:rsidR="004422E8" w:rsidRPr="004422E8" w:rsidRDefault="004422E8" w:rsidP="004422E8">
            <w:r w:rsidRPr="004422E8">
              <w:t>192</w:t>
            </w:r>
          </w:p>
        </w:tc>
      </w:tr>
      <w:tr w:rsidR="004422E8" w:rsidRPr="004422E8" w14:paraId="7D7C6D9C" w14:textId="77777777" w:rsidTr="00FE6D36">
        <w:tc>
          <w:tcPr>
            <w:tcW w:w="2337" w:type="dxa"/>
          </w:tcPr>
          <w:p w14:paraId="4BE435F9" w14:textId="3AF38AD5" w:rsidR="004422E8" w:rsidRPr="004422E8" w:rsidRDefault="004422E8" w:rsidP="004422E8">
            <w:r w:rsidRPr="004422E8">
              <w:t>W103</w:t>
            </w:r>
          </w:p>
        </w:tc>
        <w:tc>
          <w:tcPr>
            <w:tcW w:w="2337" w:type="dxa"/>
            <w:vAlign w:val="bottom"/>
          </w:tcPr>
          <w:p w14:paraId="0CF76ED2" w14:textId="0271BB06" w:rsidR="004422E8" w:rsidRPr="004422E8" w:rsidRDefault="004422E8" w:rsidP="004422E8">
            <w:pPr>
              <w:rPr>
                <w:highlight w:val="yellow"/>
              </w:rPr>
            </w:pPr>
            <w:r w:rsidRPr="004422E8">
              <w:rPr>
                <w:color w:val="000000"/>
              </w:rPr>
              <w:t>-76.56913000</w:t>
            </w:r>
          </w:p>
        </w:tc>
        <w:tc>
          <w:tcPr>
            <w:tcW w:w="2338" w:type="dxa"/>
            <w:vAlign w:val="bottom"/>
          </w:tcPr>
          <w:p w14:paraId="0B632E35" w14:textId="602095EB" w:rsidR="004422E8" w:rsidRPr="004422E8" w:rsidRDefault="004422E8" w:rsidP="004422E8">
            <w:pPr>
              <w:rPr>
                <w:highlight w:val="yellow"/>
              </w:rPr>
            </w:pPr>
            <w:r w:rsidRPr="004422E8">
              <w:rPr>
                <w:color w:val="000000"/>
              </w:rPr>
              <w:t>38.88936000</w:t>
            </w:r>
          </w:p>
        </w:tc>
        <w:tc>
          <w:tcPr>
            <w:tcW w:w="1533" w:type="dxa"/>
          </w:tcPr>
          <w:p w14:paraId="76F05867" w14:textId="45AA4DB5" w:rsidR="004422E8" w:rsidRPr="004422E8" w:rsidRDefault="004422E8" w:rsidP="004422E8">
            <w:r w:rsidRPr="004422E8">
              <w:t>253</w:t>
            </w:r>
          </w:p>
        </w:tc>
      </w:tr>
      <w:tr w:rsidR="004422E8" w:rsidRPr="004422E8" w14:paraId="5C94B74A" w14:textId="77777777" w:rsidTr="00FE6D36">
        <w:tc>
          <w:tcPr>
            <w:tcW w:w="2337" w:type="dxa"/>
          </w:tcPr>
          <w:p w14:paraId="2986062A" w14:textId="4E386692" w:rsidR="004422E8" w:rsidRPr="004422E8" w:rsidRDefault="004422E8" w:rsidP="004422E8">
            <w:r w:rsidRPr="004422E8">
              <w:t>W109</w:t>
            </w:r>
          </w:p>
        </w:tc>
        <w:tc>
          <w:tcPr>
            <w:tcW w:w="2337" w:type="dxa"/>
            <w:vAlign w:val="bottom"/>
          </w:tcPr>
          <w:p w14:paraId="15A742EA" w14:textId="5D242FD0" w:rsidR="004422E8" w:rsidRPr="004422E8" w:rsidRDefault="004422E8" w:rsidP="004422E8">
            <w:pPr>
              <w:rPr>
                <w:highlight w:val="yellow"/>
              </w:rPr>
            </w:pPr>
            <w:r w:rsidRPr="004422E8">
              <w:rPr>
                <w:color w:val="000000"/>
              </w:rPr>
              <w:t>-76.55371389</w:t>
            </w:r>
          </w:p>
        </w:tc>
        <w:tc>
          <w:tcPr>
            <w:tcW w:w="2338" w:type="dxa"/>
            <w:vAlign w:val="bottom"/>
          </w:tcPr>
          <w:p w14:paraId="4CBED3B0" w14:textId="504B2E6E" w:rsidR="004422E8" w:rsidRPr="004422E8" w:rsidRDefault="004422E8" w:rsidP="004422E8">
            <w:pPr>
              <w:rPr>
                <w:highlight w:val="yellow"/>
              </w:rPr>
            </w:pPr>
            <w:r w:rsidRPr="004422E8">
              <w:rPr>
                <w:color w:val="000000"/>
              </w:rPr>
              <w:t>38.86896667</w:t>
            </w:r>
          </w:p>
        </w:tc>
        <w:tc>
          <w:tcPr>
            <w:tcW w:w="1533" w:type="dxa"/>
          </w:tcPr>
          <w:p w14:paraId="4FCBE81E" w14:textId="47731DD2" w:rsidR="004422E8" w:rsidRPr="004422E8" w:rsidRDefault="004422E8" w:rsidP="004422E8">
            <w:r w:rsidRPr="004422E8">
              <w:t>16.3</w:t>
            </w:r>
          </w:p>
        </w:tc>
      </w:tr>
      <w:tr w:rsidR="004422E8" w:rsidRPr="004422E8" w14:paraId="16B23AD2" w14:textId="77777777" w:rsidTr="00FE6D36">
        <w:tc>
          <w:tcPr>
            <w:tcW w:w="2337" w:type="dxa"/>
          </w:tcPr>
          <w:p w14:paraId="50487D67" w14:textId="51510776" w:rsidR="004422E8" w:rsidRPr="004422E8" w:rsidRDefault="004422E8" w:rsidP="004422E8">
            <w:r w:rsidRPr="004422E8">
              <w:t>W110</w:t>
            </w:r>
          </w:p>
        </w:tc>
        <w:tc>
          <w:tcPr>
            <w:tcW w:w="2337" w:type="dxa"/>
            <w:vAlign w:val="bottom"/>
          </w:tcPr>
          <w:p w14:paraId="07FFCB5D" w14:textId="6F411311" w:rsidR="004422E8" w:rsidRPr="004422E8" w:rsidRDefault="004422E8" w:rsidP="004422E8">
            <w:pPr>
              <w:rPr>
                <w:highlight w:val="yellow"/>
              </w:rPr>
            </w:pPr>
            <w:r w:rsidRPr="004422E8">
              <w:rPr>
                <w:color w:val="000000"/>
              </w:rPr>
              <w:t>-76.55362000</w:t>
            </w:r>
          </w:p>
        </w:tc>
        <w:tc>
          <w:tcPr>
            <w:tcW w:w="2338" w:type="dxa"/>
            <w:vAlign w:val="bottom"/>
          </w:tcPr>
          <w:p w14:paraId="7B295452" w14:textId="2E855C9A" w:rsidR="004422E8" w:rsidRPr="004422E8" w:rsidRDefault="004422E8" w:rsidP="004422E8">
            <w:pPr>
              <w:rPr>
                <w:highlight w:val="yellow"/>
              </w:rPr>
            </w:pPr>
            <w:r w:rsidRPr="004422E8">
              <w:rPr>
                <w:color w:val="000000"/>
              </w:rPr>
              <w:t>38.88398000</w:t>
            </w:r>
          </w:p>
        </w:tc>
        <w:tc>
          <w:tcPr>
            <w:tcW w:w="1533" w:type="dxa"/>
          </w:tcPr>
          <w:p w14:paraId="7B94CE10" w14:textId="62ED70E7" w:rsidR="004422E8" w:rsidRPr="004422E8" w:rsidRDefault="004422E8" w:rsidP="004422E8">
            <w:r w:rsidRPr="004422E8">
              <w:t>6.3</w:t>
            </w:r>
          </w:p>
        </w:tc>
      </w:tr>
    </w:tbl>
    <w:p w14:paraId="4D8B907B" w14:textId="3F2D2D7A" w:rsidR="0009772F" w:rsidRPr="004422E8" w:rsidRDefault="00924251" w:rsidP="0009772F">
      <w:r w:rsidRPr="004422E8">
        <w:tab/>
      </w:r>
      <w:r w:rsidR="0009772F" w:rsidRPr="004422E8">
        <w:tab/>
      </w:r>
      <w:r w:rsidR="0009772F" w:rsidRPr="004422E8">
        <w:tab/>
      </w:r>
      <w:r w:rsidR="0009772F" w:rsidRPr="004422E8">
        <w:tab/>
      </w:r>
    </w:p>
    <w:p w14:paraId="062B5D4C" w14:textId="77777777" w:rsidR="006C1973" w:rsidRPr="004422E8" w:rsidRDefault="0009772F" w:rsidP="0009772F">
      <w:r w:rsidRPr="004422E8">
        <w:tab/>
      </w:r>
      <w:r w:rsidRPr="004422E8">
        <w:tab/>
      </w:r>
    </w:p>
    <w:p w14:paraId="47C6BCF2" w14:textId="2B395546" w:rsidR="006C1973" w:rsidRPr="004422E8" w:rsidRDefault="006C1973" w:rsidP="0009772F">
      <w:pPr>
        <w:rPr>
          <w:b/>
          <w:bCs/>
        </w:rPr>
      </w:pPr>
      <w:r w:rsidRPr="004422E8">
        <w:rPr>
          <w:b/>
          <w:bCs/>
        </w:rPr>
        <w:t>Field measurements</w:t>
      </w:r>
    </w:p>
    <w:p w14:paraId="1D0E0F55" w14:textId="729D581B" w:rsidR="006C1973" w:rsidRPr="004422E8" w:rsidRDefault="006C1973" w:rsidP="0009772F">
      <w:r w:rsidRPr="004422E8">
        <w:rPr>
          <w:rStyle w:val="fontstyle01"/>
          <w:rFonts w:ascii="Times New Roman" w:hAnsi="Times New Roman"/>
        </w:rPr>
        <w:t xml:space="preserve">Watershed discharges are measured with sharp crested V-notch weirs, whose foundations were in contact with the Marlboro Clay aquiclude. All weirs were 120 notches and have an associated instrument building and a stilling well. Depths were measured to the nearest 0.3 mm with floats and counterweights and were recorded every 5-15 minutes. From 1974-1996, </w:t>
      </w:r>
      <w:proofErr w:type="gramStart"/>
      <w:r w:rsidRPr="004422E8">
        <w:rPr>
          <w:rStyle w:val="fontstyle01"/>
          <w:rFonts w:ascii="Times New Roman" w:hAnsi="Times New Roman"/>
        </w:rPr>
        <w:t>stage</w:t>
      </w:r>
      <w:proofErr w:type="gramEnd"/>
      <w:r w:rsidRPr="004422E8">
        <w:rPr>
          <w:rStyle w:val="fontstyle01"/>
          <w:rFonts w:ascii="Times New Roman" w:hAnsi="Times New Roman"/>
        </w:rPr>
        <w:t xml:space="preserve"> was recorded on strip tape, and since 1996 stage has been recorded on Campbell Scientific CR-10 dataloggers. </w:t>
      </w:r>
      <w:r w:rsidR="009F3B75">
        <w:rPr>
          <w:rStyle w:val="fontstyle01"/>
          <w:rFonts w:ascii="Times New Roman" w:hAnsi="Times New Roman"/>
        </w:rPr>
        <w:t xml:space="preserve">Details are provided in </w:t>
      </w:r>
      <w:r w:rsidR="009F3B75" w:rsidRPr="009F3B75">
        <w:t>(Correll et al. 1999)</w:t>
      </w:r>
      <w:r w:rsidR="00722E0E">
        <w:rPr>
          <w:rStyle w:val="fontstyle01"/>
          <w:rFonts w:ascii="Times New Roman" w:hAnsi="Times New Roman"/>
        </w:rPr>
        <w:t>.</w:t>
      </w:r>
    </w:p>
    <w:p w14:paraId="7E32A63B" w14:textId="6AF1BD11" w:rsidR="0009772F" w:rsidRPr="004422E8" w:rsidRDefault="0009772F" w:rsidP="0009772F">
      <w:r w:rsidRPr="004422E8">
        <w:tab/>
      </w:r>
      <w:r w:rsidRPr="004422E8">
        <w:tab/>
      </w:r>
      <w:r w:rsidRPr="004422E8">
        <w:tab/>
      </w:r>
    </w:p>
    <w:p w14:paraId="7EFD6207" w14:textId="66B99D53" w:rsidR="0009772F" w:rsidRPr="004422E8" w:rsidRDefault="006C1973" w:rsidP="006C1973">
      <w:pPr>
        <w:rPr>
          <w:b/>
          <w:bCs/>
        </w:rPr>
      </w:pPr>
      <w:r w:rsidRPr="004422E8">
        <w:rPr>
          <w:b/>
          <w:bCs/>
        </w:rPr>
        <w:t>Data processing</w:t>
      </w:r>
    </w:p>
    <w:p w14:paraId="38938293" w14:textId="0EA83058" w:rsidR="0009772F" w:rsidRPr="004422E8" w:rsidRDefault="008468A9" w:rsidP="006C1973">
      <w:r>
        <w:t xml:space="preserve">Discharge was calculated using </w:t>
      </w:r>
      <w:r w:rsidR="00B1364B">
        <w:t xml:space="preserve">site-specific stage-discharge rating equations. </w:t>
      </w:r>
      <w:r w:rsidR="006C1973" w:rsidRPr="004422E8">
        <w:t>To calculate daily flows, discharges were first c</w:t>
      </w:r>
      <w:r w:rsidR="0009772F" w:rsidRPr="004422E8">
        <w:t>onverted to a regular 5-minute time series</w:t>
      </w:r>
      <w:r w:rsidR="006C1973" w:rsidRPr="004422E8">
        <w:t xml:space="preserve"> and</w:t>
      </w:r>
      <w:r w:rsidR="0009772F" w:rsidRPr="004422E8">
        <w:t xml:space="preserve"> summarized to daily flows</w:t>
      </w:r>
      <w:r w:rsidR="001B0FDC" w:rsidRPr="004422E8">
        <w:t>, which were normalized by watershed area (Table 1)</w:t>
      </w:r>
      <w:r w:rsidR="0009772F" w:rsidRPr="004422E8">
        <w:t xml:space="preserve">. </w:t>
      </w:r>
      <w:r w:rsidR="006C1973" w:rsidRPr="004422E8">
        <w:t xml:space="preserve">Hydrographs were visually compared among watersheds. Field notes and hydrographs were used to manually identify and remove problematic data. These could </w:t>
      </w:r>
      <w:proofErr w:type="gramStart"/>
      <w:r w:rsidR="006C1973" w:rsidRPr="004422E8">
        <w:t>include:</w:t>
      </w:r>
      <w:proofErr w:type="gramEnd"/>
      <w:r w:rsidR="006C1973" w:rsidRPr="004422E8">
        <w:t xml:space="preserve"> hung floats following high flows, debris in the v-notch, major leaks, freezing, and other issues noted in field books. Data gaps were filled using regressions of daily flow among watersheds. </w:t>
      </w:r>
    </w:p>
    <w:p w14:paraId="4DFD7186" w14:textId="77777777" w:rsidR="0009772F" w:rsidRDefault="0009772F" w:rsidP="0009772F"/>
    <w:p w14:paraId="6FA5AA0A" w14:textId="77777777" w:rsidR="00722E0E" w:rsidRDefault="00722E0E" w:rsidP="0009772F"/>
    <w:p w14:paraId="61DCF790" w14:textId="278AD7D2" w:rsidR="00722E0E" w:rsidRPr="00722E0E" w:rsidRDefault="00722E0E" w:rsidP="0009772F">
      <w:pPr>
        <w:rPr>
          <w:b/>
          <w:bCs/>
        </w:rPr>
      </w:pPr>
      <w:r w:rsidRPr="00722E0E">
        <w:rPr>
          <w:b/>
          <w:bCs/>
        </w:rPr>
        <w:t>References</w:t>
      </w:r>
    </w:p>
    <w:p w14:paraId="0CB047F8" w14:textId="6520B065" w:rsidR="00722E0E" w:rsidRPr="004422E8" w:rsidRDefault="00722E0E" w:rsidP="008F30CB">
      <w:pPr>
        <w:pStyle w:val="Bibliography"/>
      </w:pPr>
      <w:r w:rsidRPr="00722E0E">
        <w:t xml:space="preserve">Correll, D. L., T. E. Jordan, and D. E. Weller. 1999. Effects of Interannual Variation of Precipitation on Stream Discharge from Rhode River Subwatersheds1. JAWRA Journal of the American Water Resources Association </w:t>
      </w:r>
      <w:r w:rsidRPr="00722E0E">
        <w:rPr>
          <w:b/>
          <w:bCs/>
        </w:rPr>
        <w:t>35</w:t>
      </w:r>
      <w:r w:rsidRPr="00722E0E">
        <w:t>: 73–82. doi:10.1111/j.1752-</w:t>
      </w:r>
      <w:proofErr w:type="gramStart"/>
      <w:r w:rsidRPr="00722E0E">
        <w:t>1688.1999.tb</w:t>
      </w:r>
      <w:proofErr w:type="gramEnd"/>
      <w:r w:rsidRPr="00722E0E">
        <w:t>05453.x</w:t>
      </w:r>
    </w:p>
    <w:sectPr w:rsidR="00722E0E" w:rsidRPr="00442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12395"/>
    <w:multiLevelType w:val="hybridMultilevel"/>
    <w:tmpl w:val="B46E58FA"/>
    <w:lvl w:ilvl="0" w:tplc="6F462A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945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850"/>
    <w:rsid w:val="00074000"/>
    <w:rsid w:val="0009772F"/>
    <w:rsid w:val="00167C58"/>
    <w:rsid w:val="00185B6B"/>
    <w:rsid w:val="001B0FDC"/>
    <w:rsid w:val="004422E8"/>
    <w:rsid w:val="00461246"/>
    <w:rsid w:val="00481610"/>
    <w:rsid w:val="004905AE"/>
    <w:rsid w:val="004920DA"/>
    <w:rsid w:val="004D2850"/>
    <w:rsid w:val="005913C6"/>
    <w:rsid w:val="005B1C6F"/>
    <w:rsid w:val="006C1973"/>
    <w:rsid w:val="00722E0E"/>
    <w:rsid w:val="00761701"/>
    <w:rsid w:val="007971DB"/>
    <w:rsid w:val="00800EF7"/>
    <w:rsid w:val="00836AB6"/>
    <w:rsid w:val="00841DF0"/>
    <w:rsid w:val="008468A9"/>
    <w:rsid w:val="0085666E"/>
    <w:rsid w:val="0089320B"/>
    <w:rsid w:val="008C63CE"/>
    <w:rsid w:val="008F30CB"/>
    <w:rsid w:val="00924251"/>
    <w:rsid w:val="00940190"/>
    <w:rsid w:val="0099351E"/>
    <w:rsid w:val="009F3B75"/>
    <w:rsid w:val="00AE16E7"/>
    <w:rsid w:val="00AE55D6"/>
    <w:rsid w:val="00B1364B"/>
    <w:rsid w:val="00B410B2"/>
    <w:rsid w:val="00B7596C"/>
    <w:rsid w:val="00CA3607"/>
    <w:rsid w:val="00DE05C5"/>
    <w:rsid w:val="00E343B5"/>
    <w:rsid w:val="00E75EFE"/>
    <w:rsid w:val="00FE6D36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962DA"/>
  <w15:chartTrackingRefBased/>
  <w15:docId w15:val="{6E80B240-7350-428A-938D-979DE026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72F"/>
    <w:pPr>
      <w:ind w:left="720"/>
      <w:contextualSpacing/>
    </w:pPr>
  </w:style>
  <w:style w:type="character" w:customStyle="1" w:styleId="fontstyle01">
    <w:name w:val="fontstyle01"/>
    <w:basedOn w:val="DefaultParagraphFont"/>
    <w:rsid w:val="006C1973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AE1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722E0E"/>
    <w:pPr>
      <w:spacing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2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Hale, Rebecca</dc:creator>
  <cp:keywords/>
  <dc:description/>
  <cp:lastModifiedBy>Hale, Rebecca</cp:lastModifiedBy>
  <cp:revision>27</cp:revision>
  <dcterms:created xsi:type="dcterms:W3CDTF">2024-12-17T16:22:00Z</dcterms:created>
  <dcterms:modified xsi:type="dcterms:W3CDTF">2025-01-24T13:32:00Z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zotero-version="6.0.36"&gt;&lt;session id="qlMH7a0t"/&gt;&lt;style id="http://www.zotero.org/styles/limnology-and-oceanography" hasBibliography="1" bibliographyStyleHasBeenSet="1"/&gt;&lt;prefs&gt;&lt;pref name="fieldType" value="Field"/&gt;&lt;/prefs&gt;&lt;/data&gt;</vt:lpwstr>
  </property>
</Properties>
</file>