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61CA" w:rsidRPr="001C56DF" w:rsidRDefault="001C56DF">
      <w:pPr>
        <w:rPr>
          <w:rFonts w:ascii="Calibri" w:hAnsi="Calibri" w:cs="Calibri"/>
        </w:rPr>
      </w:pPr>
      <w:bookmarkStart w:id="0" w:name="_GoBack"/>
      <w:bookmarkEnd w:id="0"/>
      <w:r w:rsidRPr="001C56DF">
        <w:rPr>
          <w:rFonts w:ascii="Calibri" w:hAnsi="Calibri" w:cs="Calibri"/>
          <w:b/>
        </w:rPr>
        <w:t>Supplementary material D</w:t>
      </w:r>
      <w:r w:rsidR="0062377F">
        <w:rPr>
          <w:rFonts w:ascii="Calibri" w:hAnsi="Calibri" w:cs="Calibri"/>
          <w:b/>
        </w:rPr>
        <w:t>. Comparison by school type</w:t>
      </w:r>
    </w:p>
    <w:p w:rsidR="008D61CA" w:rsidRDefault="008B1692">
      <w:r>
        <w:rPr>
          <w:noProof/>
        </w:rPr>
        <w:drawing>
          <wp:inline distT="0" distB="0" distL="0" distR="0">
            <wp:extent cx="5400040" cy="40513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400040" cy="4051300"/>
                    </a:xfrm>
                    <a:prstGeom prst="rect">
                      <a:avLst/>
                    </a:prstGeom>
                    <a:ln/>
                  </pic:spPr>
                </pic:pic>
              </a:graphicData>
            </a:graphic>
          </wp:inline>
        </w:drawing>
      </w:r>
    </w:p>
    <w:p w:rsidR="008D61CA" w:rsidRPr="001C56DF" w:rsidRDefault="0041383F">
      <w:pPr>
        <w:rPr>
          <w:rFonts w:ascii="Calibri" w:hAnsi="Calibri" w:cs="Calibri"/>
          <w:b/>
        </w:rPr>
      </w:pPr>
      <w:r w:rsidRPr="001C56DF">
        <w:rPr>
          <w:rFonts w:ascii="Calibri" w:hAnsi="Calibri" w:cs="Calibri"/>
          <w:b/>
        </w:rPr>
        <w:t>Supplementary material</w:t>
      </w:r>
      <w:r w:rsidR="008B1692" w:rsidRPr="001C56DF">
        <w:rPr>
          <w:rFonts w:ascii="Calibri" w:hAnsi="Calibri" w:cs="Calibri"/>
          <w:b/>
        </w:rPr>
        <w:t xml:space="preserve"> D1. Average score by each age group and each school type</w:t>
      </w:r>
    </w:p>
    <w:p w:rsidR="008D61CA" w:rsidRPr="001C56DF" w:rsidRDefault="008B1692">
      <w:pPr>
        <w:rPr>
          <w:rFonts w:ascii="Calibri" w:hAnsi="Calibri" w:cs="Calibri"/>
        </w:rPr>
      </w:pPr>
      <w:r w:rsidRPr="001C56DF">
        <w:rPr>
          <w:rFonts w:ascii="Calibri" w:hAnsi="Calibri" w:cs="Calibri"/>
        </w:rPr>
        <w:t xml:space="preserve">Note: MS = children who go to the mainstream school. SS = children who go to special schools for the hearing impaired. No statistically significant difference observed between the school types and in the interaction term of school type and the age groups according to two-way ANOVA test at p = 0.05 level. </w:t>
      </w:r>
    </w:p>
    <w:p w:rsidR="008D61CA" w:rsidRDefault="008D61CA"/>
    <w:p w:rsidR="008D61CA" w:rsidRDefault="008B1692">
      <w:r>
        <w:rPr>
          <w:noProof/>
        </w:rPr>
        <w:lastRenderedPageBreak/>
        <w:drawing>
          <wp:inline distT="0" distB="0" distL="0" distR="0">
            <wp:extent cx="5400040" cy="675132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5400040" cy="6751320"/>
                    </a:xfrm>
                    <a:prstGeom prst="rect">
                      <a:avLst/>
                    </a:prstGeom>
                    <a:ln/>
                  </pic:spPr>
                </pic:pic>
              </a:graphicData>
            </a:graphic>
          </wp:inline>
        </w:drawing>
      </w:r>
    </w:p>
    <w:p w:rsidR="008D61CA" w:rsidRPr="001C56DF" w:rsidRDefault="0041383F">
      <w:pPr>
        <w:rPr>
          <w:rFonts w:ascii="Calibri" w:hAnsi="Calibri" w:cs="Calibri"/>
          <w:b/>
        </w:rPr>
      </w:pPr>
      <w:r w:rsidRPr="001C56DF">
        <w:rPr>
          <w:rFonts w:ascii="Calibri" w:hAnsi="Calibri" w:cs="Calibri"/>
          <w:b/>
        </w:rPr>
        <w:t>Supplementary material</w:t>
      </w:r>
      <w:r w:rsidR="008B1692" w:rsidRPr="001C56DF">
        <w:rPr>
          <w:rFonts w:ascii="Calibri" w:hAnsi="Calibri" w:cs="Calibri"/>
          <w:b/>
        </w:rPr>
        <w:t xml:space="preserve"> D2-1. Average score of each subitems by each school type among G2 children.</w:t>
      </w:r>
    </w:p>
    <w:p w:rsidR="008D61CA" w:rsidRDefault="008B1692">
      <w:r>
        <w:rPr>
          <w:noProof/>
        </w:rPr>
        <w:lastRenderedPageBreak/>
        <w:drawing>
          <wp:inline distT="0" distB="0" distL="0" distR="0">
            <wp:extent cx="5400040" cy="675132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400040" cy="6751320"/>
                    </a:xfrm>
                    <a:prstGeom prst="rect">
                      <a:avLst/>
                    </a:prstGeom>
                    <a:ln/>
                  </pic:spPr>
                </pic:pic>
              </a:graphicData>
            </a:graphic>
          </wp:inline>
        </w:drawing>
      </w:r>
    </w:p>
    <w:p w:rsidR="008D61CA" w:rsidRPr="001C56DF" w:rsidRDefault="0041383F">
      <w:pPr>
        <w:rPr>
          <w:rFonts w:asciiTheme="majorHAnsi" w:hAnsiTheme="majorHAnsi" w:cstheme="majorHAnsi"/>
          <w:b/>
        </w:rPr>
      </w:pPr>
      <w:r w:rsidRPr="001C56DF">
        <w:rPr>
          <w:rFonts w:asciiTheme="majorHAnsi" w:hAnsiTheme="majorHAnsi" w:cstheme="majorHAnsi"/>
          <w:b/>
        </w:rPr>
        <w:t>Supplementary material</w:t>
      </w:r>
      <w:r w:rsidR="008B1692" w:rsidRPr="001C56DF">
        <w:rPr>
          <w:rFonts w:asciiTheme="majorHAnsi" w:hAnsiTheme="majorHAnsi" w:cstheme="majorHAnsi"/>
          <w:b/>
        </w:rPr>
        <w:t xml:space="preserve"> D2-2. Average score of each subitems by each school type among G3 children.</w:t>
      </w:r>
    </w:p>
    <w:p w:rsidR="008D61CA" w:rsidRPr="001C56DF" w:rsidRDefault="008B1692">
      <w:pPr>
        <w:rPr>
          <w:rFonts w:asciiTheme="majorHAnsi" w:hAnsiTheme="majorHAnsi" w:cstheme="majorHAnsi"/>
        </w:rPr>
      </w:pPr>
      <w:r w:rsidRPr="001C56DF">
        <w:rPr>
          <w:rFonts w:asciiTheme="majorHAnsi" w:hAnsiTheme="majorHAnsi" w:cstheme="majorHAnsi"/>
        </w:rPr>
        <w:t xml:space="preserve">Note: MS = children who go to mainstream school. SS = children who go to special schools for the hearing impaired. See Figure 2 for the abbreviation of each item. No statistically significant difference observed among school types and the interaction terms between the school type and the age groups according to two-way ANOVA test at p = 0.05 level, except for the interaction term </w:t>
      </w:r>
      <w:r w:rsidRPr="001C56DF">
        <w:rPr>
          <w:rFonts w:asciiTheme="majorHAnsi" w:hAnsiTheme="majorHAnsi" w:cstheme="majorHAnsi"/>
          <w:i/>
        </w:rPr>
        <w:t>school*group</w:t>
      </w:r>
      <w:r w:rsidRPr="001C56DF">
        <w:rPr>
          <w:rFonts w:asciiTheme="majorHAnsi" w:hAnsiTheme="majorHAnsi" w:cstheme="majorHAnsi"/>
        </w:rPr>
        <w:t xml:space="preserve"> for C3 item. </w:t>
      </w:r>
    </w:p>
    <w:sectPr w:rsidR="008D61CA" w:rsidRPr="001C56DF">
      <w:pgSz w:w="11906" w:h="16838"/>
      <w:pgMar w:top="1985"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3F72" w:rsidRDefault="00BE3F72" w:rsidP="0041383F">
      <w:pPr>
        <w:spacing w:after="0" w:line="240" w:lineRule="auto"/>
      </w:pPr>
      <w:r>
        <w:separator/>
      </w:r>
    </w:p>
  </w:endnote>
  <w:endnote w:type="continuationSeparator" w:id="0">
    <w:p w:rsidR="00BE3F72" w:rsidRDefault="00BE3F72" w:rsidP="00413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3F72" w:rsidRDefault="00BE3F72" w:rsidP="0041383F">
      <w:pPr>
        <w:spacing w:after="0" w:line="240" w:lineRule="auto"/>
      </w:pPr>
      <w:r>
        <w:separator/>
      </w:r>
    </w:p>
  </w:footnote>
  <w:footnote w:type="continuationSeparator" w:id="0">
    <w:p w:rsidR="00BE3F72" w:rsidRDefault="00BE3F72" w:rsidP="004138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1CA"/>
    <w:rsid w:val="001C56DF"/>
    <w:rsid w:val="0041383F"/>
    <w:rsid w:val="0062377F"/>
    <w:rsid w:val="008B1692"/>
    <w:rsid w:val="008D61CA"/>
    <w:rsid w:val="00BE3F72"/>
    <w:rsid w:val="00CA13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BD59717-9B91-4A74-A97B-1645517EA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游明朝" w:hAnsi="游明朝" w:cs="游明朝"/>
        <w:sz w:val="22"/>
        <w:szCs w:val="22"/>
        <w:lang w:val="en-US" w:eastAsia="ja-JP" w:bidi="ar-SA"/>
      </w:rPr>
    </w:rPrDefault>
    <w:pPrDefault>
      <w:pPr>
        <w:widowControl w:val="0"/>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280" w:after="80"/>
      <w:outlineLvl w:val="0"/>
    </w:pPr>
    <w:rPr>
      <w:rFonts w:ascii="游ゴシック Light" w:eastAsia="游ゴシック Light" w:hAnsi="游ゴシック Light" w:cs="游ゴシック Light"/>
      <w:color w:val="000000"/>
      <w:sz w:val="32"/>
      <w:szCs w:val="32"/>
    </w:rPr>
  </w:style>
  <w:style w:type="paragraph" w:styleId="2">
    <w:name w:val="heading 2"/>
    <w:basedOn w:val="a"/>
    <w:next w:val="a"/>
    <w:uiPriority w:val="9"/>
    <w:semiHidden/>
    <w:unhideWhenUsed/>
    <w:qFormat/>
    <w:pPr>
      <w:keepNext/>
      <w:keepLines/>
      <w:spacing w:before="160" w:after="80"/>
      <w:outlineLvl w:val="1"/>
    </w:pPr>
    <w:rPr>
      <w:rFonts w:ascii="游ゴシック Light" w:eastAsia="游ゴシック Light" w:hAnsi="游ゴシック Light" w:cs="游ゴシック Light"/>
      <w:color w:val="000000"/>
      <w:sz w:val="28"/>
      <w:szCs w:val="28"/>
    </w:rPr>
  </w:style>
  <w:style w:type="paragraph" w:styleId="3">
    <w:name w:val="heading 3"/>
    <w:basedOn w:val="a"/>
    <w:next w:val="a"/>
    <w:uiPriority w:val="9"/>
    <w:semiHidden/>
    <w:unhideWhenUsed/>
    <w:qFormat/>
    <w:pPr>
      <w:keepNext/>
      <w:keepLines/>
      <w:spacing w:before="160" w:after="80"/>
      <w:outlineLvl w:val="2"/>
    </w:pPr>
    <w:rPr>
      <w:rFonts w:ascii="游ゴシック Light" w:eastAsia="游ゴシック Light" w:hAnsi="游ゴシック Light" w:cs="游ゴシック Light"/>
      <w:color w:val="000000"/>
      <w:sz w:val="24"/>
      <w:szCs w:val="24"/>
    </w:rPr>
  </w:style>
  <w:style w:type="paragraph" w:styleId="4">
    <w:name w:val="heading 4"/>
    <w:basedOn w:val="a"/>
    <w:next w:val="a"/>
    <w:uiPriority w:val="9"/>
    <w:semiHidden/>
    <w:unhideWhenUsed/>
    <w:qFormat/>
    <w:pPr>
      <w:keepNext/>
      <w:keepLines/>
      <w:spacing w:before="80" w:after="40"/>
      <w:outlineLvl w:val="3"/>
    </w:pPr>
    <w:rPr>
      <w:rFonts w:ascii="游ゴシック Light" w:eastAsia="游ゴシック Light" w:hAnsi="游ゴシック Light" w:cs="游ゴシック Light"/>
      <w:color w:val="000000"/>
    </w:rPr>
  </w:style>
  <w:style w:type="paragraph" w:styleId="5">
    <w:name w:val="heading 5"/>
    <w:basedOn w:val="a"/>
    <w:next w:val="a"/>
    <w:uiPriority w:val="9"/>
    <w:semiHidden/>
    <w:unhideWhenUsed/>
    <w:qFormat/>
    <w:pPr>
      <w:keepNext/>
      <w:keepLines/>
      <w:spacing w:before="80" w:after="40"/>
      <w:ind w:left="100"/>
      <w:outlineLvl w:val="4"/>
    </w:pPr>
    <w:rPr>
      <w:rFonts w:ascii="游ゴシック Light" w:eastAsia="游ゴシック Light" w:hAnsi="游ゴシック Light" w:cs="游ゴシック Light"/>
      <w:color w:val="000000"/>
    </w:rPr>
  </w:style>
  <w:style w:type="paragraph" w:styleId="6">
    <w:name w:val="heading 6"/>
    <w:basedOn w:val="a"/>
    <w:next w:val="a"/>
    <w:uiPriority w:val="9"/>
    <w:semiHidden/>
    <w:unhideWhenUsed/>
    <w:qFormat/>
    <w:pPr>
      <w:keepNext/>
      <w:keepLines/>
      <w:spacing w:before="80" w:after="40"/>
      <w:ind w:left="200"/>
      <w:outlineLvl w:val="5"/>
    </w:pPr>
    <w:rPr>
      <w:rFonts w:ascii="游ゴシック Light" w:eastAsia="游ゴシック Light" w:hAnsi="游ゴシック Light" w:cs="游ゴシック Light"/>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spacing w:after="80" w:line="240" w:lineRule="auto"/>
      <w:jc w:val="center"/>
    </w:pPr>
    <w:rPr>
      <w:rFonts w:ascii="游ゴシック Light" w:eastAsia="游ゴシック Light" w:hAnsi="游ゴシック Light" w:cs="游ゴシック Light"/>
      <w:sz w:val="56"/>
      <w:szCs w:val="56"/>
    </w:rPr>
  </w:style>
  <w:style w:type="paragraph" w:styleId="a4">
    <w:name w:val="Subtitle"/>
    <w:basedOn w:val="a"/>
    <w:next w:val="a"/>
    <w:uiPriority w:val="11"/>
    <w:qFormat/>
    <w:pPr>
      <w:jc w:val="center"/>
    </w:pPr>
    <w:rPr>
      <w:rFonts w:ascii="游ゴシック Light" w:eastAsia="游ゴシック Light" w:hAnsi="游ゴシック Light" w:cs="游ゴシック Light"/>
      <w:color w:val="595959"/>
      <w:sz w:val="28"/>
      <w:szCs w:val="28"/>
    </w:rPr>
  </w:style>
  <w:style w:type="paragraph" w:styleId="a5">
    <w:name w:val="header"/>
    <w:basedOn w:val="a"/>
    <w:link w:val="a6"/>
    <w:uiPriority w:val="99"/>
    <w:unhideWhenUsed/>
    <w:rsid w:val="0041383F"/>
    <w:pPr>
      <w:tabs>
        <w:tab w:val="center" w:pos="4252"/>
        <w:tab w:val="right" w:pos="8504"/>
      </w:tabs>
      <w:snapToGrid w:val="0"/>
    </w:pPr>
  </w:style>
  <w:style w:type="character" w:customStyle="1" w:styleId="a6">
    <w:name w:val="ヘッダー (文字)"/>
    <w:basedOn w:val="a0"/>
    <w:link w:val="a5"/>
    <w:uiPriority w:val="99"/>
    <w:rsid w:val="0041383F"/>
  </w:style>
  <w:style w:type="paragraph" w:styleId="a7">
    <w:name w:val="footer"/>
    <w:basedOn w:val="a"/>
    <w:link w:val="a8"/>
    <w:uiPriority w:val="99"/>
    <w:unhideWhenUsed/>
    <w:rsid w:val="0041383F"/>
    <w:pPr>
      <w:tabs>
        <w:tab w:val="center" w:pos="4252"/>
        <w:tab w:val="right" w:pos="8504"/>
      </w:tabs>
      <w:snapToGrid w:val="0"/>
    </w:pPr>
  </w:style>
  <w:style w:type="character" w:customStyle="1" w:styleId="a8">
    <w:name w:val="フッター (文字)"/>
    <w:basedOn w:val="a0"/>
    <w:link w:val="a7"/>
    <w:uiPriority w:val="99"/>
    <w:rsid w:val="00413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157</Words>
  <Characters>897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anko</dc:creator>
  <cp:lastModifiedBy>杏湖 白井</cp:lastModifiedBy>
  <cp:revision>2</cp:revision>
  <dcterms:created xsi:type="dcterms:W3CDTF">2024-12-19T07:16:00Z</dcterms:created>
  <dcterms:modified xsi:type="dcterms:W3CDTF">2024-12-19T07:16:00Z</dcterms:modified>
</cp:coreProperties>
</file>