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FE7BE" w14:textId="5A5EE8A8" w:rsidR="00C148E7" w:rsidRPr="009C40DB" w:rsidRDefault="00544808">
      <w:pPr>
        <w:rPr>
          <w:rFonts w:ascii="Calibri" w:hAnsi="Calibri" w:cs="Calibri"/>
          <w:b/>
          <w:bCs/>
          <w:szCs w:val="22"/>
        </w:rPr>
      </w:pPr>
      <w:bookmarkStart w:id="0" w:name="_GoBack"/>
      <w:bookmarkEnd w:id="0"/>
      <w:r w:rsidRPr="00544808">
        <w:rPr>
          <w:rFonts w:ascii="Calibri" w:hAnsi="Calibri" w:cs="Calibri"/>
          <w:b/>
          <w:bCs/>
          <w:szCs w:val="22"/>
        </w:rPr>
        <w:t>Supplementary material</w:t>
      </w:r>
      <w:r w:rsidR="00C148E7"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>
        <w:rPr>
          <w:rFonts w:ascii="Calibri" w:hAnsi="Calibri" w:cs="Calibri" w:hint="eastAsia"/>
          <w:b/>
          <w:bCs/>
          <w:szCs w:val="22"/>
        </w:rPr>
        <w:t>B</w:t>
      </w:r>
      <w:r w:rsidR="00C148E7" w:rsidRPr="009C40DB">
        <w:rPr>
          <w:rFonts w:ascii="Calibri" w:hAnsi="Calibri" w:cs="Calibri"/>
          <w:b/>
          <w:bCs/>
          <w:szCs w:val="22"/>
        </w:rPr>
        <w:t>. Simulation of power of our study</w:t>
      </w:r>
    </w:p>
    <w:p w14:paraId="0A6A2BEF" w14:textId="15A9EB36" w:rsidR="0032679F" w:rsidRPr="009C40DB" w:rsidRDefault="00C148E7">
      <w:pPr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szCs w:val="22"/>
        </w:rPr>
        <w:t xml:space="preserve">The </w:t>
      </w:r>
      <w:r w:rsidR="007C1E63" w:rsidRPr="009C40DB">
        <w:rPr>
          <w:rFonts w:ascii="Calibri" w:hAnsi="Calibri" w:cs="Calibri"/>
          <w:szCs w:val="22"/>
        </w:rPr>
        <w:t>test statistics’ size depends on the effect size</w:t>
      </w:r>
      <w:r w:rsidRPr="009C40DB">
        <w:rPr>
          <w:rFonts w:ascii="Calibri" w:hAnsi="Calibri" w:cs="Calibri"/>
          <w:szCs w:val="22"/>
        </w:rPr>
        <w:t xml:space="preserve"> and the number of observations. Generally speaking, </w:t>
      </w:r>
      <w:r w:rsidR="009C40DB" w:rsidRPr="009C40DB">
        <w:rPr>
          <w:rFonts w:ascii="Calibri" w:hAnsi="Calibri" w:cs="Calibri"/>
          <w:szCs w:val="22"/>
        </w:rPr>
        <w:t xml:space="preserve">with more observations, </w:t>
      </w:r>
      <w:r w:rsidR="007C1E63" w:rsidRPr="009C40DB">
        <w:rPr>
          <w:rFonts w:ascii="Calibri" w:hAnsi="Calibri" w:cs="Calibri"/>
          <w:szCs w:val="22"/>
        </w:rPr>
        <w:t xml:space="preserve">a small effect is more detectable </w:t>
      </w:r>
      <w:r w:rsidR="009C40DB" w:rsidRPr="009C40DB">
        <w:rPr>
          <w:rFonts w:ascii="Calibri" w:hAnsi="Calibri" w:cs="Calibri"/>
          <w:szCs w:val="22"/>
        </w:rPr>
        <w:t>through the statistical test</w:t>
      </w:r>
      <w:r w:rsidRPr="009C40DB">
        <w:rPr>
          <w:rFonts w:ascii="Calibri" w:hAnsi="Calibri" w:cs="Calibri"/>
          <w:szCs w:val="22"/>
        </w:rPr>
        <w:t>. Because our sample size is relatively small, it is possible that the statistically significant difference</w:t>
      </w:r>
      <w:r w:rsidR="007C1E63" w:rsidRPr="009C40DB">
        <w:rPr>
          <w:rFonts w:ascii="Calibri" w:hAnsi="Calibri" w:cs="Calibri"/>
          <w:szCs w:val="22"/>
        </w:rPr>
        <w:t xml:space="preserve"> in scores</w:t>
      </w:r>
      <w:r w:rsidRPr="009C40DB">
        <w:rPr>
          <w:rFonts w:ascii="Calibri" w:hAnsi="Calibri" w:cs="Calibri"/>
          <w:szCs w:val="22"/>
        </w:rPr>
        <w:t xml:space="preserve"> between children with CIs and children with normal hearing w</w:t>
      </w:r>
      <w:r w:rsidR="007C1E63" w:rsidRPr="009C40DB">
        <w:rPr>
          <w:rFonts w:ascii="Calibri" w:hAnsi="Calibri" w:cs="Calibri"/>
          <w:szCs w:val="22"/>
        </w:rPr>
        <w:t>as</w:t>
      </w:r>
      <w:r w:rsidRPr="009C40DB">
        <w:rPr>
          <w:rFonts w:ascii="Calibri" w:hAnsi="Calibri" w:cs="Calibri"/>
          <w:szCs w:val="22"/>
        </w:rPr>
        <w:t xml:space="preserve"> not detected</w:t>
      </w:r>
      <w:r w:rsidR="009C40DB" w:rsidRPr="009C40DB">
        <w:rPr>
          <w:rFonts w:ascii="Calibri" w:hAnsi="Calibri" w:cs="Calibri"/>
          <w:szCs w:val="22"/>
        </w:rPr>
        <w:t xml:space="preserve"> by our statistical test</w:t>
      </w:r>
      <w:r w:rsidRPr="009C40DB">
        <w:rPr>
          <w:rFonts w:ascii="Calibri" w:hAnsi="Calibri" w:cs="Calibri"/>
          <w:szCs w:val="22"/>
        </w:rPr>
        <w:t xml:space="preserve">. To assess the power of the test (i.e., the probability of correctly rejecting the null hypothesis), we run two </w:t>
      </w:r>
      <w:r w:rsidR="0032679F" w:rsidRPr="009C40DB">
        <w:rPr>
          <w:rFonts w:ascii="Calibri" w:hAnsi="Calibri" w:cs="Calibri"/>
          <w:szCs w:val="22"/>
        </w:rPr>
        <w:t>simulations</w:t>
      </w:r>
      <w:r w:rsidRPr="009C40DB">
        <w:rPr>
          <w:rFonts w:ascii="Calibri" w:hAnsi="Calibri" w:cs="Calibri"/>
          <w:szCs w:val="22"/>
        </w:rPr>
        <w:t xml:space="preserve"> by replicating our method described in the Data Analysis section. </w:t>
      </w:r>
      <w:r w:rsidR="00544808" w:rsidRPr="00544808">
        <w:rPr>
          <w:rFonts w:ascii="Calibri" w:hAnsi="Calibri" w:cs="Calibri"/>
          <w:b/>
          <w:bCs/>
          <w:szCs w:val="22"/>
        </w:rPr>
        <w:t>Supplementary material</w:t>
      </w:r>
      <w:r w:rsidR="00785530"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 w:rsidRPr="009C40DB">
        <w:rPr>
          <w:rFonts w:ascii="Calibri" w:hAnsi="Calibri" w:cs="Calibri"/>
          <w:b/>
          <w:bCs/>
          <w:szCs w:val="22"/>
        </w:rPr>
        <w:t>B</w:t>
      </w:r>
      <w:r w:rsidR="00785530" w:rsidRPr="009C40DB">
        <w:rPr>
          <w:rFonts w:ascii="Calibri" w:hAnsi="Calibri" w:cs="Calibri"/>
          <w:b/>
          <w:bCs/>
          <w:szCs w:val="22"/>
        </w:rPr>
        <w:t>1</w:t>
      </w:r>
      <w:r w:rsidR="00785530" w:rsidRPr="009C40DB">
        <w:rPr>
          <w:rFonts w:ascii="Calibri" w:hAnsi="Calibri" w:cs="Calibri"/>
          <w:szCs w:val="22"/>
        </w:rPr>
        <w:t xml:space="preserve"> shows </w:t>
      </w:r>
      <w:r w:rsidR="007C1E63" w:rsidRPr="009C40DB">
        <w:rPr>
          <w:rFonts w:ascii="Calibri" w:hAnsi="Calibri" w:cs="Calibri"/>
          <w:szCs w:val="22"/>
        </w:rPr>
        <w:t xml:space="preserve">the relationship between the power and the </w:t>
      </w:r>
      <w:r w:rsidR="00785530" w:rsidRPr="009C40DB">
        <w:rPr>
          <w:rFonts w:ascii="Calibri" w:hAnsi="Calibri" w:cs="Calibri"/>
          <w:szCs w:val="22"/>
        </w:rPr>
        <w:t xml:space="preserve">average </w:t>
      </w:r>
      <w:r w:rsidR="007C1E63" w:rsidRPr="009C40DB">
        <w:rPr>
          <w:rFonts w:ascii="Calibri" w:hAnsi="Calibri" w:cs="Calibri"/>
          <w:szCs w:val="22"/>
        </w:rPr>
        <w:t xml:space="preserve">score </w:t>
      </w:r>
      <w:r w:rsidR="00785530" w:rsidRPr="009C40DB">
        <w:rPr>
          <w:rFonts w:ascii="Calibri" w:hAnsi="Calibri" w:cs="Calibri"/>
          <w:szCs w:val="22"/>
        </w:rPr>
        <w:t>difference between the children with CIs and the reference score</w:t>
      </w:r>
      <w:r w:rsidR="007C1E63" w:rsidRPr="009C40DB">
        <w:rPr>
          <w:rFonts w:ascii="Calibri" w:hAnsi="Calibri" w:cs="Calibri"/>
          <w:szCs w:val="22"/>
        </w:rPr>
        <w:t>, conditioned</w:t>
      </w:r>
      <w:r w:rsidR="00785530" w:rsidRPr="009C40DB">
        <w:rPr>
          <w:rFonts w:ascii="Calibri" w:hAnsi="Calibri" w:cs="Calibri"/>
          <w:szCs w:val="22"/>
        </w:rPr>
        <w:t xml:space="preserve"> if the standard deviation of the population score of children with CIs is one. By refereeing the power of 0.8, which is the conventional reference point, </w:t>
      </w:r>
      <w:r w:rsidR="007C1E63" w:rsidRPr="009C40DB">
        <w:rPr>
          <w:rFonts w:ascii="Calibri" w:hAnsi="Calibri" w:cs="Calibri"/>
          <w:szCs w:val="22"/>
        </w:rPr>
        <w:t xml:space="preserve">it is evident that a </w:t>
      </w:r>
      <w:r w:rsidR="00785530" w:rsidRPr="009C40DB">
        <w:rPr>
          <w:rFonts w:ascii="Calibri" w:hAnsi="Calibri" w:cs="Calibri"/>
          <w:szCs w:val="22"/>
        </w:rPr>
        <w:t xml:space="preserve">more than 0.8 average score </w:t>
      </w:r>
      <w:r w:rsidR="007C1E63" w:rsidRPr="009C40DB">
        <w:rPr>
          <w:rFonts w:ascii="Calibri" w:hAnsi="Calibri" w:cs="Calibri"/>
          <w:szCs w:val="22"/>
        </w:rPr>
        <w:t xml:space="preserve">difference </w:t>
      </w:r>
      <w:r w:rsidR="00785530" w:rsidRPr="009C40DB">
        <w:rPr>
          <w:rFonts w:ascii="Calibri" w:hAnsi="Calibri" w:cs="Calibri"/>
          <w:szCs w:val="22"/>
        </w:rPr>
        <w:t xml:space="preserve">is statistically detectable for any of our age groups. </w:t>
      </w:r>
    </w:p>
    <w:p w14:paraId="7BBE52EF" w14:textId="6693F1CE" w:rsidR="0032679F" w:rsidRPr="009C40DB" w:rsidRDefault="00544808">
      <w:pPr>
        <w:rPr>
          <w:rFonts w:ascii="Calibri" w:hAnsi="Calibri" w:cs="Calibri"/>
          <w:b/>
          <w:bCs/>
          <w:szCs w:val="22"/>
        </w:rPr>
      </w:pPr>
      <w:r w:rsidRPr="00544808">
        <w:rPr>
          <w:rFonts w:ascii="Calibri" w:hAnsi="Calibri" w:cs="Calibri"/>
          <w:b/>
          <w:bCs/>
          <w:szCs w:val="22"/>
        </w:rPr>
        <w:t>Supplementary material</w:t>
      </w:r>
      <w:r w:rsidR="0032679F"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 w:rsidRPr="009C40DB">
        <w:rPr>
          <w:rFonts w:ascii="Calibri" w:hAnsi="Calibri" w:cs="Calibri"/>
          <w:b/>
          <w:bCs/>
          <w:szCs w:val="22"/>
        </w:rPr>
        <w:t>B</w:t>
      </w:r>
      <w:r w:rsidR="0032679F" w:rsidRPr="009C40DB">
        <w:rPr>
          <w:rFonts w:ascii="Calibri" w:hAnsi="Calibri" w:cs="Calibri"/>
          <w:b/>
          <w:bCs/>
          <w:szCs w:val="22"/>
        </w:rPr>
        <w:t>1. The simulation results regarding the power by the effect size in our study</w:t>
      </w:r>
    </w:p>
    <w:p w14:paraId="547F063A" w14:textId="1279DEFD" w:rsidR="0032679F" w:rsidRPr="009C40DB" w:rsidRDefault="0032679F">
      <w:pPr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noProof/>
          <w:szCs w:val="22"/>
        </w:rPr>
        <w:drawing>
          <wp:inline distT="0" distB="0" distL="0" distR="0" wp14:anchorId="686C464E" wp14:editId="3C1E552C">
            <wp:extent cx="5400040" cy="2029460"/>
            <wp:effectExtent l="0" t="0" r="0" b="8890"/>
            <wp:docPr id="367713343" name="図 1" descr="グラフ, 折れ線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713343" name="図 1" descr="グラフ, 折れ線グラフ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B2792" w14:textId="63DDD5D0" w:rsidR="0032679F" w:rsidRPr="009C40DB" w:rsidRDefault="0032679F" w:rsidP="0032679F">
      <w:pPr>
        <w:snapToGrid w:val="0"/>
        <w:spacing w:line="240" w:lineRule="auto"/>
        <w:ind w:left="839"/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szCs w:val="22"/>
        </w:rPr>
        <w:t>Note: the score in the population is assumed to be distributed with standard deviation of 1.</w:t>
      </w:r>
    </w:p>
    <w:p w14:paraId="201C8E5F" w14:textId="77777777" w:rsidR="0032679F" w:rsidRPr="009C40DB" w:rsidRDefault="0032679F" w:rsidP="0032679F">
      <w:pPr>
        <w:ind w:firstLine="840"/>
        <w:rPr>
          <w:rFonts w:ascii="Calibri" w:hAnsi="Calibri" w:cs="Calibri"/>
          <w:szCs w:val="22"/>
        </w:rPr>
      </w:pPr>
    </w:p>
    <w:p w14:paraId="52C96970" w14:textId="26429F9C" w:rsidR="00785530" w:rsidRPr="009C40DB" w:rsidRDefault="00785530">
      <w:pPr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szCs w:val="22"/>
        </w:rPr>
        <w:t xml:space="preserve">Nevertheless, the power </w:t>
      </w:r>
      <w:r w:rsidR="007C1E63" w:rsidRPr="009C40DB">
        <w:rPr>
          <w:rFonts w:ascii="Calibri" w:hAnsi="Calibri" w:cs="Calibri"/>
          <w:szCs w:val="22"/>
        </w:rPr>
        <w:t xml:space="preserve">also depends on the population’s size’s </w:t>
      </w:r>
      <w:r w:rsidRPr="009C40DB">
        <w:rPr>
          <w:rFonts w:ascii="Calibri" w:hAnsi="Calibri" w:cs="Calibri"/>
          <w:szCs w:val="22"/>
        </w:rPr>
        <w:t xml:space="preserve">standard deviation. If the population’s standard deviation is large, a large average difference is necessary to achieve the same statistical power (i.e., 0.8) (see </w:t>
      </w:r>
      <w:r w:rsidR="00544808" w:rsidRPr="00544808">
        <w:rPr>
          <w:rFonts w:ascii="Calibri" w:hAnsi="Calibri" w:cs="Calibri"/>
          <w:b/>
          <w:bCs/>
          <w:szCs w:val="22"/>
        </w:rPr>
        <w:t>Supplementary material</w:t>
      </w:r>
      <w:r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 w:rsidRPr="009C40DB">
        <w:rPr>
          <w:rFonts w:ascii="Calibri" w:hAnsi="Calibri" w:cs="Calibri"/>
          <w:b/>
          <w:bCs/>
          <w:szCs w:val="22"/>
        </w:rPr>
        <w:t>B</w:t>
      </w:r>
      <w:r w:rsidRPr="009C40DB">
        <w:rPr>
          <w:rFonts w:ascii="Calibri" w:hAnsi="Calibri" w:cs="Calibri"/>
          <w:b/>
          <w:bCs/>
          <w:szCs w:val="22"/>
        </w:rPr>
        <w:t>2</w:t>
      </w:r>
      <w:r w:rsidRPr="009C40DB">
        <w:rPr>
          <w:rFonts w:ascii="Calibri" w:hAnsi="Calibri" w:cs="Calibri"/>
          <w:szCs w:val="22"/>
        </w:rPr>
        <w:t xml:space="preserve">). </w:t>
      </w:r>
      <w:r w:rsidR="000969D0" w:rsidRPr="009C40DB">
        <w:rPr>
          <w:rFonts w:ascii="Calibri" w:hAnsi="Calibri" w:cs="Calibri"/>
          <w:szCs w:val="22"/>
        </w:rPr>
        <w:t>Notably, the descriptive statistics of our samples’ domain</w:t>
      </w:r>
      <w:r w:rsidR="007C1E63" w:rsidRPr="009C40DB">
        <w:rPr>
          <w:rFonts w:ascii="Calibri" w:hAnsi="Calibri" w:cs="Calibri"/>
          <w:szCs w:val="22"/>
        </w:rPr>
        <w:t>-</w:t>
      </w:r>
      <w:r w:rsidR="000969D0" w:rsidRPr="009C40DB">
        <w:rPr>
          <w:rFonts w:ascii="Calibri" w:hAnsi="Calibri" w:cs="Calibri"/>
          <w:szCs w:val="22"/>
        </w:rPr>
        <w:t>level score</w:t>
      </w:r>
      <w:r w:rsidR="007C1E63" w:rsidRPr="009C40DB">
        <w:rPr>
          <w:rFonts w:ascii="Calibri" w:hAnsi="Calibri" w:cs="Calibri"/>
          <w:szCs w:val="22"/>
        </w:rPr>
        <w:t>s</w:t>
      </w:r>
      <w:r w:rsidR="000969D0" w:rsidRPr="009C40DB">
        <w:rPr>
          <w:rFonts w:ascii="Calibri" w:hAnsi="Calibri" w:cs="Calibri"/>
          <w:szCs w:val="22"/>
        </w:rPr>
        <w:t xml:space="preserve"> is reported in </w:t>
      </w:r>
      <w:r w:rsidR="00544808" w:rsidRPr="00544808">
        <w:rPr>
          <w:rFonts w:ascii="Calibri" w:hAnsi="Calibri" w:cs="Calibri"/>
          <w:b/>
          <w:bCs/>
          <w:szCs w:val="22"/>
        </w:rPr>
        <w:t>Supplementary material</w:t>
      </w:r>
      <w:r w:rsidR="000969D0"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 w:rsidRPr="009C40DB">
        <w:rPr>
          <w:rFonts w:ascii="Calibri" w:hAnsi="Calibri" w:cs="Calibri"/>
          <w:b/>
          <w:bCs/>
          <w:szCs w:val="22"/>
        </w:rPr>
        <w:t>B</w:t>
      </w:r>
      <w:r w:rsidR="000969D0" w:rsidRPr="009C40DB">
        <w:rPr>
          <w:rFonts w:ascii="Calibri" w:hAnsi="Calibri" w:cs="Calibri"/>
          <w:b/>
          <w:bCs/>
          <w:szCs w:val="22"/>
        </w:rPr>
        <w:t>3</w:t>
      </w:r>
      <w:r w:rsidR="00642A30">
        <w:rPr>
          <w:rFonts w:ascii="Calibri" w:hAnsi="Calibri" w:cs="Calibri" w:hint="eastAsia"/>
          <w:szCs w:val="22"/>
        </w:rPr>
        <w:t xml:space="preserve">, which shows that the standard deviation G2 and G3 are below 1 for all the item except for the total score of G3. G1 shows higher standard deviation for many items than G2 and G3 but the </w:t>
      </w:r>
      <w:r w:rsidR="00642A30">
        <w:rPr>
          <w:rFonts w:ascii="Calibri" w:hAnsi="Calibri" w:cs="Calibri" w:hint="eastAsia"/>
          <w:szCs w:val="22"/>
        </w:rPr>
        <w:lastRenderedPageBreak/>
        <w:t xml:space="preserve">sample size of G1 is larger than G2 and G3. Therefore, even the moderately higher standard deviation of 1.25, the minimally required difference is 0.75. </w:t>
      </w:r>
    </w:p>
    <w:p w14:paraId="0085F71E" w14:textId="77777777" w:rsidR="000969D0" w:rsidRPr="009C40DB" w:rsidRDefault="000969D0">
      <w:pPr>
        <w:rPr>
          <w:rFonts w:ascii="Calibri" w:hAnsi="Calibri" w:cs="Calibri"/>
          <w:szCs w:val="22"/>
        </w:rPr>
      </w:pPr>
    </w:p>
    <w:p w14:paraId="6E266A49" w14:textId="3F2983EA" w:rsidR="000969D0" w:rsidRPr="009C40DB" w:rsidRDefault="00544808" w:rsidP="000969D0">
      <w:pPr>
        <w:snapToGrid w:val="0"/>
        <w:rPr>
          <w:rFonts w:ascii="Calibri" w:hAnsi="Calibri" w:cs="Calibri"/>
          <w:b/>
          <w:bCs/>
          <w:szCs w:val="22"/>
        </w:rPr>
      </w:pPr>
      <w:r w:rsidRPr="00544808">
        <w:rPr>
          <w:rFonts w:ascii="Calibri" w:hAnsi="Calibri" w:cs="Calibri"/>
          <w:b/>
          <w:bCs/>
          <w:szCs w:val="22"/>
        </w:rPr>
        <w:t>Supplementary material</w:t>
      </w:r>
      <w:r w:rsidR="000969D0"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 w:rsidRPr="009C40DB">
        <w:rPr>
          <w:rFonts w:ascii="Calibri" w:hAnsi="Calibri" w:cs="Calibri"/>
          <w:b/>
          <w:bCs/>
          <w:szCs w:val="22"/>
        </w:rPr>
        <w:t>B</w:t>
      </w:r>
      <w:r w:rsidR="000969D0" w:rsidRPr="009C40DB">
        <w:rPr>
          <w:rFonts w:ascii="Calibri" w:hAnsi="Calibri" w:cs="Calibri"/>
          <w:b/>
          <w:bCs/>
          <w:szCs w:val="22"/>
        </w:rPr>
        <w:t xml:space="preserve">2. The simulation about the relationship between the size of standard deviation and </w:t>
      </w:r>
      <w:r w:rsidR="007C1E63" w:rsidRPr="009C40DB">
        <w:rPr>
          <w:rFonts w:ascii="Calibri" w:hAnsi="Calibri" w:cs="Calibri"/>
          <w:b/>
          <w:bCs/>
          <w:szCs w:val="22"/>
        </w:rPr>
        <w:t xml:space="preserve">the </w:t>
      </w:r>
      <w:r w:rsidR="000969D0" w:rsidRPr="009C40DB">
        <w:rPr>
          <w:rFonts w:ascii="Calibri" w:hAnsi="Calibri" w:cs="Calibri"/>
          <w:b/>
          <w:bCs/>
          <w:szCs w:val="22"/>
        </w:rPr>
        <w:t>required size of average difference given the power of 0.8</w:t>
      </w:r>
    </w:p>
    <w:p w14:paraId="5BDEE237" w14:textId="5034027D" w:rsidR="00785530" w:rsidRPr="009C40DB" w:rsidRDefault="000969D0">
      <w:pPr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noProof/>
          <w:szCs w:val="22"/>
        </w:rPr>
        <w:drawing>
          <wp:inline distT="0" distB="0" distL="0" distR="0" wp14:anchorId="4F92D326" wp14:editId="598748B1">
            <wp:extent cx="5400040" cy="2029460"/>
            <wp:effectExtent l="0" t="0" r="0" b="8890"/>
            <wp:docPr id="727685462" name="図 3" descr="グラフ, 折れ線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685462" name="図 3" descr="グラフ, 折れ線グラフ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996AB" w14:textId="5A8A9762" w:rsidR="000969D0" w:rsidRPr="009C40DB" w:rsidRDefault="00544808">
      <w:pPr>
        <w:rPr>
          <w:rFonts w:ascii="Calibri" w:hAnsi="Calibri" w:cs="Calibri"/>
          <w:b/>
          <w:bCs/>
          <w:szCs w:val="22"/>
        </w:rPr>
      </w:pPr>
      <w:r w:rsidRPr="00544808">
        <w:rPr>
          <w:rFonts w:ascii="Calibri" w:hAnsi="Calibri" w:cs="Calibri"/>
          <w:b/>
          <w:bCs/>
          <w:szCs w:val="22"/>
        </w:rPr>
        <w:t>Supplementary material</w:t>
      </w:r>
      <w:r w:rsidR="000969D0" w:rsidRPr="009C40DB">
        <w:rPr>
          <w:rFonts w:ascii="Calibri" w:hAnsi="Calibri" w:cs="Calibri"/>
          <w:b/>
          <w:bCs/>
          <w:szCs w:val="22"/>
        </w:rPr>
        <w:t xml:space="preserve"> </w:t>
      </w:r>
      <w:r w:rsidR="009C40DB" w:rsidRPr="009C40DB">
        <w:rPr>
          <w:rFonts w:ascii="Calibri" w:hAnsi="Calibri" w:cs="Calibri"/>
          <w:b/>
          <w:bCs/>
          <w:szCs w:val="22"/>
        </w:rPr>
        <w:t>B</w:t>
      </w:r>
      <w:r w:rsidR="000969D0" w:rsidRPr="009C40DB">
        <w:rPr>
          <w:rFonts w:ascii="Calibri" w:hAnsi="Calibri" w:cs="Calibri"/>
          <w:b/>
          <w:bCs/>
          <w:szCs w:val="22"/>
        </w:rPr>
        <w:t>3. Descriptive statistics of domain level scores by each age group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969D0" w:rsidRPr="009C40DB" w14:paraId="1A0FFB09" w14:textId="77777777" w:rsidTr="000969D0">
        <w:tc>
          <w:tcPr>
            <w:tcW w:w="2123" w:type="dxa"/>
            <w:tcBorders>
              <w:left w:val="nil"/>
              <w:right w:val="nil"/>
            </w:tcBorders>
          </w:tcPr>
          <w:p w14:paraId="74895600" w14:textId="77777777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123" w:type="dxa"/>
            <w:tcBorders>
              <w:left w:val="nil"/>
              <w:right w:val="nil"/>
            </w:tcBorders>
          </w:tcPr>
          <w:p w14:paraId="53B53D9A" w14:textId="43DC3B0D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G1</w:t>
            </w:r>
          </w:p>
        </w:tc>
        <w:tc>
          <w:tcPr>
            <w:tcW w:w="2124" w:type="dxa"/>
            <w:tcBorders>
              <w:left w:val="nil"/>
              <w:right w:val="nil"/>
            </w:tcBorders>
          </w:tcPr>
          <w:p w14:paraId="6B0923AB" w14:textId="04BCE694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G2</w:t>
            </w:r>
          </w:p>
        </w:tc>
        <w:tc>
          <w:tcPr>
            <w:tcW w:w="2124" w:type="dxa"/>
            <w:tcBorders>
              <w:left w:val="nil"/>
              <w:right w:val="nil"/>
            </w:tcBorders>
          </w:tcPr>
          <w:p w14:paraId="58AA5872" w14:textId="69FC0993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G3</w:t>
            </w:r>
          </w:p>
        </w:tc>
      </w:tr>
      <w:tr w:rsidR="000969D0" w:rsidRPr="009C40DB" w14:paraId="3DA3D804" w14:textId="77777777" w:rsidTr="000969D0">
        <w:tc>
          <w:tcPr>
            <w:tcW w:w="2123" w:type="dxa"/>
            <w:tcBorders>
              <w:left w:val="nil"/>
              <w:bottom w:val="nil"/>
              <w:right w:val="nil"/>
            </w:tcBorders>
          </w:tcPr>
          <w:p w14:paraId="306325CB" w14:textId="51A2D497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A</w:t>
            </w:r>
          </w:p>
        </w:tc>
        <w:tc>
          <w:tcPr>
            <w:tcW w:w="2123" w:type="dxa"/>
            <w:tcBorders>
              <w:left w:val="nil"/>
              <w:bottom w:val="nil"/>
              <w:right w:val="nil"/>
            </w:tcBorders>
          </w:tcPr>
          <w:p w14:paraId="6806CDC0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-0.96</w:t>
            </w:r>
          </w:p>
          <w:p w14:paraId="66ADA32D" w14:textId="41435B0C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(1.75)</w:t>
            </w:r>
          </w:p>
        </w:tc>
        <w:tc>
          <w:tcPr>
            <w:tcW w:w="2124" w:type="dxa"/>
            <w:tcBorders>
              <w:left w:val="nil"/>
              <w:bottom w:val="nil"/>
              <w:right w:val="nil"/>
            </w:tcBorders>
          </w:tcPr>
          <w:p w14:paraId="78923D67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0.07</w:t>
            </w:r>
          </w:p>
          <w:p w14:paraId="2E59EBA9" w14:textId="52C232A6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(0.92)</w:t>
            </w:r>
          </w:p>
        </w:tc>
        <w:tc>
          <w:tcPr>
            <w:tcW w:w="2124" w:type="dxa"/>
            <w:tcBorders>
              <w:left w:val="nil"/>
              <w:bottom w:val="nil"/>
              <w:right w:val="nil"/>
            </w:tcBorders>
          </w:tcPr>
          <w:p w14:paraId="3A447FEA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-0.37</w:t>
            </w:r>
          </w:p>
          <w:p w14:paraId="4AB284F7" w14:textId="4E6F0986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(0.86)</w:t>
            </w:r>
          </w:p>
        </w:tc>
      </w:tr>
      <w:tr w:rsidR="000969D0" w:rsidRPr="009C40DB" w14:paraId="12DB3C8F" w14:textId="77777777" w:rsidTr="000969D0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39788092" w14:textId="7FAEFE94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B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29120B6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-0.70</w:t>
            </w:r>
          </w:p>
          <w:p w14:paraId="5EE9242C" w14:textId="3B4B6F05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(0.90)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29B0A7C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0.28</w:t>
            </w:r>
          </w:p>
          <w:p w14:paraId="311DA299" w14:textId="369D34D2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(0.95)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7666CFC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-0.61</w:t>
            </w:r>
          </w:p>
          <w:p w14:paraId="58F38FA9" w14:textId="72A583DF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(1.06)</w:t>
            </w:r>
          </w:p>
        </w:tc>
      </w:tr>
      <w:tr w:rsidR="000969D0" w:rsidRPr="009C40DB" w14:paraId="47B250FF" w14:textId="77777777" w:rsidTr="000969D0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4ACC6295" w14:textId="1EDA146A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C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4EE6C787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-0.78</w:t>
            </w:r>
          </w:p>
          <w:p w14:paraId="1DEED2D6" w14:textId="62CF4BAE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(1.22)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54F76F95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-0.10</w:t>
            </w:r>
          </w:p>
          <w:p w14:paraId="6E1B1403" w14:textId="6F649D79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(0.89)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40364E6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-0.75</w:t>
            </w:r>
          </w:p>
          <w:p w14:paraId="1FDBA0BE" w14:textId="37A587A6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(1.12)</w:t>
            </w:r>
          </w:p>
        </w:tc>
      </w:tr>
      <w:tr w:rsidR="000969D0" w:rsidRPr="009C40DB" w14:paraId="1F6B07B5" w14:textId="77777777" w:rsidTr="000969D0"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1C18A04" w14:textId="681370E2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D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F6C94F8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-0.72</w:t>
            </w:r>
          </w:p>
          <w:p w14:paraId="18D87B4B" w14:textId="490947B8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(1.26)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24557D74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-0.08</w:t>
            </w:r>
          </w:p>
          <w:p w14:paraId="43FEBCCB" w14:textId="4E32AE88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(1.07)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8BDBD75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-0.48</w:t>
            </w:r>
          </w:p>
          <w:p w14:paraId="1E9D9BB4" w14:textId="06B479E3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(1.43)</w:t>
            </w:r>
          </w:p>
        </w:tc>
      </w:tr>
      <w:tr w:rsidR="000969D0" w:rsidRPr="009C40DB" w14:paraId="3C1941DD" w14:textId="77777777" w:rsidTr="000969D0">
        <w:tc>
          <w:tcPr>
            <w:tcW w:w="2123" w:type="dxa"/>
            <w:tcBorders>
              <w:top w:val="nil"/>
              <w:left w:val="nil"/>
              <w:right w:val="nil"/>
            </w:tcBorders>
          </w:tcPr>
          <w:p w14:paraId="630E9954" w14:textId="07F40147" w:rsidR="000969D0" w:rsidRPr="009C40DB" w:rsidRDefault="000969D0" w:rsidP="000969D0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Total</w:t>
            </w:r>
          </w:p>
        </w:tc>
        <w:tc>
          <w:tcPr>
            <w:tcW w:w="2123" w:type="dxa"/>
            <w:tcBorders>
              <w:top w:val="nil"/>
              <w:left w:val="nil"/>
              <w:right w:val="nil"/>
            </w:tcBorders>
          </w:tcPr>
          <w:p w14:paraId="32E844E3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-0.92</w:t>
            </w:r>
          </w:p>
          <w:p w14:paraId="421D1278" w14:textId="7DA3B546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(1.38)</w:t>
            </w:r>
          </w:p>
        </w:tc>
        <w:tc>
          <w:tcPr>
            <w:tcW w:w="2124" w:type="dxa"/>
            <w:tcBorders>
              <w:top w:val="nil"/>
              <w:left w:val="nil"/>
              <w:right w:val="nil"/>
            </w:tcBorders>
          </w:tcPr>
          <w:p w14:paraId="7D7F51EC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0.01</w:t>
            </w:r>
          </w:p>
          <w:p w14:paraId="705A4F19" w14:textId="5E644150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(0.96)</w:t>
            </w:r>
          </w:p>
        </w:tc>
        <w:tc>
          <w:tcPr>
            <w:tcW w:w="2124" w:type="dxa"/>
            <w:tcBorders>
              <w:top w:val="nil"/>
              <w:left w:val="nil"/>
              <w:right w:val="nil"/>
            </w:tcBorders>
          </w:tcPr>
          <w:p w14:paraId="441D2609" w14:textId="77777777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-0.64</w:t>
            </w:r>
          </w:p>
          <w:p w14:paraId="53995330" w14:textId="44866E83" w:rsidR="000969D0" w:rsidRPr="009C40DB" w:rsidRDefault="000969D0" w:rsidP="000969D0">
            <w:pPr>
              <w:snapToGrid w:val="0"/>
              <w:jc w:val="right"/>
              <w:rPr>
                <w:rFonts w:ascii="Calibri" w:hAnsi="Calibri" w:cs="Calibri"/>
                <w:szCs w:val="22"/>
              </w:rPr>
            </w:pPr>
            <w:r w:rsidRPr="009C40DB">
              <w:rPr>
                <w:rFonts w:ascii="Calibri" w:hAnsi="Calibri" w:cs="Calibri"/>
                <w:szCs w:val="22"/>
              </w:rPr>
              <w:t>(1.21)</w:t>
            </w:r>
          </w:p>
        </w:tc>
      </w:tr>
    </w:tbl>
    <w:p w14:paraId="7FA519B9" w14:textId="5A06D35E" w:rsidR="000969D0" w:rsidRPr="009C40DB" w:rsidRDefault="000969D0" w:rsidP="009C40DB">
      <w:pPr>
        <w:snapToGrid w:val="0"/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szCs w:val="22"/>
        </w:rPr>
        <w:t xml:space="preserve">Note: The number </w:t>
      </w:r>
      <w:r w:rsidR="007C1E63" w:rsidRPr="009C40DB">
        <w:rPr>
          <w:rFonts w:ascii="Calibri" w:hAnsi="Calibri" w:cs="Calibri"/>
          <w:szCs w:val="22"/>
        </w:rPr>
        <w:t>without and with parenthesis indicate the average score and</w:t>
      </w:r>
      <w:r w:rsidRPr="009C40DB">
        <w:rPr>
          <w:rFonts w:ascii="Calibri" w:hAnsi="Calibri" w:cs="Calibri"/>
          <w:szCs w:val="22"/>
        </w:rPr>
        <w:t xml:space="preserve"> standard deviation, respectively. </w:t>
      </w:r>
    </w:p>
    <w:p w14:paraId="1666D5AD" w14:textId="77777777" w:rsidR="009C40DB" w:rsidRPr="009C40DB" w:rsidRDefault="009C40DB">
      <w:pPr>
        <w:rPr>
          <w:rFonts w:ascii="Calibri" w:hAnsi="Calibri" w:cs="Calibri"/>
          <w:szCs w:val="22"/>
        </w:rPr>
      </w:pPr>
    </w:p>
    <w:p w14:paraId="28CD3C3F" w14:textId="3E030F18" w:rsidR="004A3282" w:rsidRPr="009C40DB" w:rsidRDefault="000969D0">
      <w:pPr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szCs w:val="22"/>
        </w:rPr>
        <w:t xml:space="preserve">The practical insights from these simulations and comparison with the descriptive statistics </w:t>
      </w:r>
      <w:r w:rsidR="007C1E63" w:rsidRPr="009C40DB">
        <w:rPr>
          <w:rFonts w:ascii="Calibri" w:hAnsi="Calibri" w:cs="Calibri"/>
          <w:szCs w:val="22"/>
        </w:rPr>
        <w:t>are</w:t>
      </w:r>
      <w:r w:rsidRPr="009C40DB">
        <w:rPr>
          <w:rFonts w:ascii="Calibri" w:hAnsi="Calibri" w:cs="Calibri"/>
          <w:szCs w:val="22"/>
        </w:rPr>
        <w:t xml:space="preserve"> twofold. First, </w:t>
      </w:r>
      <w:r w:rsidR="007C1E63" w:rsidRPr="009C40DB">
        <w:rPr>
          <w:rFonts w:ascii="Calibri" w:hAnsi="Calibri" w:cs="Calibri"/>
          <w:szCs w:val="22"/>
        </w:rPr>
        <w:t>suppose the average score of children with CIs score is less than -0.8 from the reference score (i.e., children with normal hearing). In that case</w:t>
      </w:r>
      <w:r w:rsidR="004A3282" w:rsidRPr="009C40DB">
        <w:rPr>
          <w:rFonts w:ascii="Calibri" w:hAnsi="Calibri" w:cs="Calibri"/>
          <w:szCs w:val="22"/>
        </w:rPr>
        <w:t xml:space="preserve">, we </w:t>
      </w:r>
      <w:r w:rsidR="007C1E63" w:rsidRPr="009C40DB">
        <w:rPr>
          <w:rFonts w:ascii="Calibri" w:hAnsi="Calibri" w:cs="Calibri"/>
          <w:szCs w:val="22"/>
        </w:rPr>
        <w:t xml:space="preserve">may </w:t>
      </w:r>
      <w:r w:rsidR="004A3282" w:rsidRPr="009C40DB">
        <w:rPr>
          <w:rFonts w:ascii="Calibri" w:hAnsi="Calibri" w:cs="Calibri"/>
          <w:szCs w:val="22"/>
        </w:rPr>
        <w:t xml:space="preserve">have detected its statistically significant difference through our data analysis. Conversely, if the difference </w:t>
      </w:r>
      <w:r w:rsidR="007C1E63" w:rsidRPr="009C40DB">
        <w:rPr>
          <w:rFonts w:ascii="Calibri" w:hAnsi="Calibri" w:cs="Calibri"/>
          <w:szCs w:val="22"/>
        </w:rPr>
        <w:t>were</w:t>
      </w:r>
      <w:r w:rsidR="004A3282" w:rsidRPr="009C40DB">
        <w:rPr>
          <w:rFonts w:ascii="Calibri" w:hAnsi="Calibri" w:cs="Calibri"/>
          <w:szCs w:val="22"/>
        </w:rPr>
        <w:t xml:space="preserve"> smaller than 0.8, it may have </w:t>
      </w:r>
      <w:r w:rsidR="007C1E63" w:rsidRPr="009C40DB">
        <w:rPr>
          <w:rFonts w:ascii="Calibri" w:hAnsi="Calibri" w:cs="Calibri"/>
          <w:szCs w:val="22"/>
        </w:rPr>
        <w:t xml:space="preserve">been </w:t>
      </w:r>
      <w:r w:rsidR="004A3282" w:rsidRPr="009C40DB">
        <w:rPr>
          <w:rFonts w:ascii="Calibri" w:hAnsi="Calibri" w:cs="Calibri"/>
          <w:szCs w:val="22"/>
        </w:rPr>
        <w:t xml:space="preserve">the case that we could have missed </w:t>
      </w:r>
      <w:r w:rsidR="007C1E63" w:rsidRPr="009C40DB">
        <w:rPr>
          <w:rFonts w:ascii="Calibri" w:hAnsi="Calibri" w:cs="Calibri"/>
          <w:szCs w:val="22"/>
        </w:rPr>
        <w:t>observing</w:t>
      </w:r>
      <w:r w:rsidR="004A3282" w:rsidRPr="009C40DB">
        <w:rPr>
          <w:rFonts w:ascii="Calibri" w:hAnsi="Calibri" w:cs="Calibri"/>
          <w:szCs w:val="22"/>
        </w:rPr>
        <w:t xml:space="preserve"> the statistical difference. Second, and relatedly, we have reported in the main text that G3 marked a lower score in (D) </w:t>
      </w:r>
      <w:r w:rsidR="004A3282" w:rsidRPr="009C40DB">
        <w:rPr>
          <w:rFonts w:ascii="Calibri" w:hAnsi="Calibri" w:cs="Calibri"/>
          <w:i/>
          <w:iCs/>
          <w:szCs w:val="22"/>
        </w:rPr>
        <w:t>communication skills</w:t>
      </w:r>
      <w:r w:rsidR="004A3282" w:rsidRPr="009C40DB">
        <w:rPr>
          <w:rFonts w:ascii="Calibri" w:hAnsi="Calibri" w:cs="Calibri"/>
          <w:szCs w:val="22"/>
        </w:rPr>
        <w:t xml:space="preserve"> and </w:t>
      </w:r>
      <w:r w:rsidR="007C1E63" w:rsidRPr="009C40DB">
        <w:rPr>
          <w:rFonts w:ascii="Calibri" w:hAnsi="Calibri" w:cs="Calibri"/>
          <w:i/>
          <w:iCs/>
          <w:szCs w:val="22"/>
        </w:rPr>
        <w:t>t</w:t>
      </w:r>
      <w:r w:rsidR="004A3282" w:rsidRPr="009C40DB">
        <w:rPr>
          <w:rFonts w:ascii="Calibri" w:hAnsi="Calibri" w:cs="Calibri"/>
          <w:i/>
          <w:iCs/>
          <w:szCs w:val="22"/>
        </w:rPr>
        <w:t>otal skill</w:t>
      </w:r>
      <w:r w:rsidR="004A3282" w:rsidRPr="009C40DB">
        <w:rPr>
          <w:rFonts w:ascii="Calibri" w:hAnsi="Calibri" w:cs="Calibri"/>
          <w:szCs w:val="22"/>
        </w:rPr>
        <w:t xml:space="preserve"> </w:t>
      </w:r>
      <w:r w:rsidR="007C1E63" w:rsidRPr="009C40DB">
        <w:rPr>
          <w:rFonts w:ascii="Calibri" w:hAnsi="Calibri" w:cs="Calibri"/>
          <w:szCs w:val="22"/>
        </w:rPr>
        <w:t xml:space="preserve">at the domain-level score, </w:t>
      </w:r>
      <w:r w:rsidR="004A3282" w:rsidRPr="009C40DB">
        <w:rPr>
          <w:rFonts w:ascii="Calibri" w:hAnsi="Calibri" w:cs="Calibri"/>
          <w:szCs w:val="22"/>
        </w:rPr>
        <w:t xml:space="preserve">but these were </w:t>
      </w:r>
      <w:r w:rsidR="004A3282" w:rsidRPr="009C40DB">
        <w:rPr>
          <w:rFonts w:ascii="Calibri" w:hAnsi="Calibri" w:cs="Calibri"/>
          <w:szCs w:val="22"/>
        </w:rPr>
        <w:lastRenderedPageBreak/>
        <w:t xml:space="preserve">statistically </w:t>
      </w:r>
      <w:r w:rsidR="007C1E63" w:rsidRPr="009C40DB">
        <w:rPr>
          <w:rFonts w:ascii="Calibri" w:hAnsi="Calibri" w:cs="Calibri"/>
          <w:szCs w:val="22"/>
        </w:rPr>
        <w:t>in</w:t>
      </w:r>
      <w:r w:rsidR="004A3282" w:rsidRPr="009C40DB">
        <w:rPr>
          <w:rFonts w:ascii="Calibri" w:hAnsi="Calibri" w:cs="Calibri"/>
          <w:szCs w:val="22"/>
        </w:rPr>
        <w:t xml:space="preserve">significant. This </w:t>
      </w:r>
      <w:r w:rsidR="007C1E63" w:rsidRPr="009C40DB">
        <w:rPr>
          <w:rFonts w:ascii="Calibri" w:hAnsi="Calibri" w:cs="Calibri"/>
          <w:szCs w:val="22"/>
        </w:rPr>
        <w:t>may</w:t>
      </w:r>
      <w:r w:rsidR="004A3282" w:rsidRPr="009C40DB">
        <w:rPr>
          <w:rFonts w:ascii="Calibri" w:hAnsi="Calibri" w:cs="Calibri"/>
          <w:szCs w:val="22"/>
        </w:rPr>
        <w:t xml:space="preserve"> be attributed to the smaller sample size of G3 and its larger standard deviation (i.e., 1.43 for communication skills and 1.21 for Total score). On the other hand, (A) </w:t>
      </w:r>
      <w:r w:rsidR="004A3282" w:rsidRPr="009C40DB">
        <w:rPr>
          <w:rFonts w:ascii="Calibri" w:hAnsi="Calibri" w:cs="Calibri"/>
          <w:i/>
          <w:iCs/>
          <w:szCs w:val="22"/>
        </w:rPr>
        <w:t>language skill</w:t>
      </w:r>
      <w:r w:rsidR="004A3282" w:rsidRPr="009C40DB">
        <w:rPr>
          <w:rFonts w:ascii="Calibri" w:hAnsi="Calibri" w:cs="Calibri"/>
          <w:szCs w:val="22"/>
        </w:rPr>
        <w:t xml:space="preserve"> may </w:t>
      </w:r>
      <w:r w:rsidR="007C1E63" w:rsidRPr="009C40DB">
        <w:rPr>
          <w:rFonts w:ascii="Calibri" w:hAnsi="Calibri" w:cs="Calibri"/>
          <w:szCs w:val="22"/>
        </w:rPr>
        <w:t>not be</w:t>
      </w:r>
      <w:r w:rsidR="004A3282" w:rsidRPr="009C40DB">
        <w:rPr>
          <w:rFonts w:ascii="Calibri" w:hAnsi="Calibri" w:cs="Calibri"/>
          <w:szCs w:val="22"/>
        </w:rPr>
        <w:t xml:space="preserve"> statistically significant even if the sample size would be larger because the difference is relatively small (i.e., -0.37) and its standard deviation is not large (i.e., 0.86). </w:t>
      </w:r>
    </w:p>
    <w:p w14:paraId="71386E32" w14:textId="77777777" w:rsidR="004A3282" w:rsidRPr="009C40DB" w:rsidRDefault="004A3282">
      <w:pPr>
        <w:rPr>
          <w:rFonts w:ascii="Calibri" w:hAnsi="Calibri" w:cs="Calibri"/>
          <w:szCs w:val="22"/>
        </w:rPr>
      </w:pPr>
    </w:p>
    <w:p w14:paraId="0F18CCFF" w14:textId="6BEAA430" w:rsidR="004A3282" w:rsidRPr="009C40DB" w:rsidRDefault="004A3282">
      <w:pPr>
        <w:rPr>
          <w:rFonts w:ascii="Calibri" w:hAnsi="Calibri" w:cs="Calibri"/>
          <w:b/>
          <w:bCs/>
          <w:i/>
          <w:iCs/>
          <w:szCs w:val="22"/>
        </w:rPr>
      </w:pPr>
      <w:r w:rsidRPr="009C40DB">
        <w:rPr>
          <w:rFonts w:ascii="Calibri" w:hAnsi="Calibri" w:cs="Calibri"/>
          <w:b/>
          <w:bCs/>
          <w:i/>
          <w:iCs/>
          <w:szCs w:val="22"/>
        </w:rPr>
        <w:t>Technical detail of the simulation</w:t>
      </w:r>
    </w:p>
    <w:p w14:paraId="287166B8" w14:textId="05ABAABF" w:rsidR="00805CB1" w:rsidRPr="009C40DB" w:rsidRDefault="008761CA">
      <w:pPr>
        <w:rPr>
          <w:rFonts w:ascii="Calibri" w:hAnsi="Calibri" w:cs="Calibri"/>
          <w:szCs w:val="22"/>
        </w:rPr>
      </w:pPr>
      <w:r w:rsidRPr="009C40DB">
        <w:rPr>
          <w:rFonts w:ascii="Calibri" w:hAnsi="Calibri" w:cs="Calibri"/>
          <w:szCs w:val="22"/>
        </w:rPr>
        <w:t xml:space="preserve">Let the number of children in a group be </w:t>
      </w:r>
      <m:oMath>
        <m:r>
          <w:rPr>
            <w:rFonts w:ascii="Cambria Math" w:hAnsi="Cambria Math" w:cs="Calibri"/>
            <w:szCs w:val="22"/>
          </w:rPr>
          <m:t>n</m:t>
        </m:r>
      </m:oMath>
      <w:r w:rsidRPr="009C40DB">
        <w:rPr>
          <w:rFonts w:ascii="Calibri" w:hAnsi="Calibri" w:cs="Calibri"/>
          <w:szCs w:val="22"/>
        </w:rPr>
        <w:t xml:space="preserve">. To conduct our simulation study, we first generated test scores </w:t>
      </w:r>
      <m:oMath>
        <m:r>
          <m:rPr>
            <m:sty m:val="bi"/>
          </m:rPr>
          <w:rPr>
            <w:rFonts w:ascii="Cambria Math" w:hAnsi="Cambria Math" w:cs="Calibri"/>
            <w:szCs w:val="22"/>
          </w:rPr>
          <m:t>S</m:t>
        </m:r>
      </m:oMath>
      <w:r w:rsidRPr="009C40DB">
        <w:rPr>
          <w:rFonts w:ascii="Calibri" w:hAnsi="Calibri" w:cs="Calibri"/>
          <w:szCs w:val="22"/>
        </w:rPr>
        <w:t xml:space="preserve"> with the same length of </w:t>
      </w:r>
      <m:oMath>
        <m:r>
          <w:rPr>
            <w:rFonts w:ascii="Cambria Math" w:hAnsi="Cambria Math" w:cs="Calibri"/>
            <w:szCs w:val="22"/>
          </w:rPr>
          <m:t>n</m:t>
        </m:r>
      </m:oMath>
      <w:r w:rsidRPr="009C40DB">
        <w:rPr>
          <w:rFonts w:ascii="Calibri" w:hAnsi="Calibri" w:cs="Calibri"/>
          <w:szCs w:val="22"/>
        </w:rPr>
        <w:t xml:space="preserve"> that follow the normal distribution with a particular average and a standard deviation. We then randomly resampled the test scores </w:t>
      </w:r>
      <m:oMath>
        <m:r>
          <m:rPr>
            <m:sty m:val="bi"/>
          </m:rPr>
          <w:rPr>
            <w:rFonts w:ascii="Cambria Math" w:hAnsi="Cambria Math" w:cs="Calibri"/>
            <w:szCs w:val="22"/>
          </w:rPr>
          <m:t>S'</m:t>
        </m:r>
      </m:oMath>
      <w:r w:rsidRPr="009C40DB">
        <w:rPr>
          <w:rFonts w:ascii="Calibri" w:hAnsi="Calibri" w:cs="Calibri"/>
          <w:b/>
          <w:bCs/>
          <w:szCs w:val="22"/>
        </w:rPr>
        <w:t xml:space="preserve"> </w:t>
      </w:r>
      <w:r w:rsidR="007C1E63" w:rsidRPr="009C40DB">
        <w:rPr>
          <w:rFonts w:ascii="Calibri" w:hAnsi="Calibri" w:cs="Calibri"/>
          <w:szCs w:val="22"/>
        </w:rPr>
        <w:t>from</w:t>
      </w:r>
      <w:r w:rsidR="007C1E63" w:rsidRPr="009C40DB">
        <w:rPr>
          <w:rFonts w:ascii="Calibri" w:hAnsi="Calibri" w:cs="Calibri"/>
          <w:b/>
          <w:bCs/>
          <w:szCs w:val="22"/>
        </w:rPr>
        <w:t xml:space="preserve"> </w:t>
      </w:r>
      <m:oMath>
        <m:r>
          <m:rPr>
            <m:sty m:val="bi"/>
          </m:rPr>
          <w:rPr>
            <w:rFonts w:ascii="Cambria Math" w:hAnsi="Cambria Math" w:cs="Calibri"/>
            <w:szCs w:val="22"/>
          </w:rPr>
          <m:t>S</m:t>
        </m:r>
      </m:oMath>
      <w:r w:rsidR="007C1E63" w:rsidRPr="009C40DB">
        <w:rPr>
          <w:rFonts w:ascii="Calibri" w:hAnsi="Calibri" w:cs="Calibri"/>
          <w:b/>
          <w:szCs w:val="22"/>
        </w:rPr>
        <w:t xml:space="preserve"> </w:t>
      </w:r>
      <w:r w:rsidRPr="009C40DB">
        <w:rPr>
          <w:rFonts w:ascii="Calibri" w:hAnsi="Calibri" w:cs="Calibri"/>
          <w:szCs w:val="22"/>
        </w:rPr>
        <w:t>1</w:t>
      </w:r>
      <w:r w:rsidR="009C40DB" w:rsidRPr="009C40DB">
        <w:rPr>
          <w:rFonts w:ascii="Calibri" w:hAnsi="Calibri" w:cs="Calibri"/>
          <w:szCs w:val="22"/>
        </w:rPr>
        <w:t>,</w:t>
      </w:r>
      <w:r w:rsidRPr="009C40DB">
        <w:rPr>
          <w:rFonts w:ascii="Calibri" w:hAnsi="Calibri" w:cs="Calibri"/>
          <w:szCs w:val="22"/>
        </w:rPr>
        <w:t>000 times and calculated the bootstrap average. If the 95% quantile of this average is outside of zero, we conclude this as a true judgment</w:t>
      </w:r>
      <w:r w:rsidR="007C1E63" w:rsidRPr="009C40DB">
        <w:rPr>
          <w:rFonts w:ascii="Calibri" w:hAnsi="Calibri" w:cs="Calibri"/>
          <w:szCs w:val="22"/>
        </w:rPr>
        <w:t>;</w:t>
      </w:r>
      <w:r w:rsidRPr="009C40DB">
        <w:rPr>
          <w:rFonts w:ascii="Calibri" w:hAnsi="Calibri" w:cs="Calibri"/>
          <w:szCs w:val="22"/>
        </w:rPr>
        <w:t xml:space="preserve"> otherwise</w:t>
      </w:r>
      <w:r w:rsidR="007C1E63" w:rsidRPr="009C40DB">
        <w:rPr>
          <w:rFonts w:ascii="Calibri" w:hAnsi="Calibri" w:cs="Calibri"/>
          <w:szCs w:val="22"/>
        </w:rPr>
        <w:t>,</w:t>
      </w:r>
      <w:r w:rsidRPr="009C40DB">
        <w:rPr>
          <w:rFonts w:ascii="Calibri" w:hAnsi="Calibri" w:cs="Calibri"/>
          <w:szCs w:val="22"/>
        </w:rPr>
        <w:t xml:space="preserve"> </w:t>
      </w:r>
      <w:r w:rsidR="007C1E63" w:rsidRPr="009C40DB">
        <w:rPr>
          <w:rFonts w:ascii="Calibri" w:hAnsi="Calibri" w:cs="Calibri"/>
          <w:szCs w:val="22"/>
        </w:rPr>
        <w:t>it is a</w:t>
      </w:r>
      <w:r w:rsidRPr="009C40DB">
        <w:rPr>
          <w:rFonts w:ascii="Calibri" w:hAnsi="Calibri" w:cs="Calibri"/>
          <w:szCs w:val="22"/>
        </w:rPr>
        <w:t xml:space="preserve"> false judgment. We repeated this procedure 1</w:t>
      </w:r>
      <w:r w:rsidR="009C40DB" w:rsidRPr="009C40DB">
        <w:rPr>
          <w:rFonts w:ascii="Calibri" w:hAnsi="Calibri" w:cs="Calibri"/>
          <w:szCs w:val="22"/>
        </w:rPr>
        <w:t>,</w:t>
      </w:r>
      <w:r w:rsidRPr="009C40DB">
        <w:rPr>
          <w:rFonts w:ascii="Calibri" w:hAnsi="Calibri" w:cs="Calibri"/>
          <w:szCs w:val="22"/>
        </w:rPr>
        <w:t xml:space="preserve">000 times and calculated how many times the true judgment was achieved, which can be </w:t>
      </w:r>
      <w:r w:rsidR="00805CB1" w:rsidRPr="009C40DB">
        <w:rPr>
          <w:rFonts w:ascii="Calibri" w:hAnsi="Calibri" w:cs="Calibri"/>
          <w:szCs w:val="22"/>
        </w:rPr>
        <w:t>regarded</w:t>
      </w:r>
      <w:r w:rsidRPr="009C40DB">
        <w:rPr>
          <w:rFonts w:ascii="Calibri" w:hAnsi="Calibri" w:cs="Calibri"/>
          <w:szCs w:val="22"/>
        </w:rPr>
        <w:t xml:space="preserve"> as power</w:t>
      </w:r>
      <w:r w:rsidR="00805CB1" w:rsidRPr="009C40DB">
        <w:rPr>
          <w:rFonts w:ascii="Calibri" w:hAnsi="Calibri" w:cs="Calibri"/>
          <w:szCs w:val="22"/>
        </w:rPr>
        <w:t xml:space="preserve"> at the given level of difference</w:t>
      </w:r>
      <w:r w:rsidRPr="009C40DB">
        <w:rPr>
          <w:rFonts w:ascii="Calibri" w:hAnsi="Calibri" w:cs="Calibri"/>
          <w:szCs w:val="22"/>
        </w:rPr>
        <w:t xml:space="preserve">. </w:t>
      </w:r>
      <w:r w:rsidR="007C1E63" w:rsidRPr="009C40DB">
        <w:rPr>
          <w:rFonts w:ascii="Calibri" w:hAnsi="Calibri" w:cs="Calibri"/>
          <w:szCs w:val="22"/>
        </w:rPr>
        <w:t xml:space="preserve">To make the figure in </w:t>
      </w:r>
      <w:r w:rsidR="00462734">
        <w:rPr>
          <w:rFonts w:ascii="Calibri" w:hAnsi="Calibri" w:cs="Calibri"/>
          <w:szCs w:val="22"/>
        </w:rPr>
        <w:t>Supplementary material</w:t>
      </w:r>
      <w:r w:rsidR="007C1E63" w:rsidRPr="009C40DB">
        <w:rPr>
          <w:rFonts w:ascii="Calibri" w:hAnsi="Calibri" w:cs="Calibri"/>
          <w:szCs w:val="22"/>
        </w:rPr>
        <w:t xml:space="preserve"> </w:t>
      </w:r>
      <w:r w:rsidR="009C40DB" w:rsidRPr="009C40DB">
        <w:rPr>
          <w:rFonts w:ascii="Calibri" w:hAnsi="Calibri" w:cs="Calibri"/>
          <w:szCs w:val="22"/>
        </w:rPr>
        <w:t>B</w:t>
      </w:r>
      <w:r w:rsidR="007C1E63" w:rsidRPr="009C40DB">
        <w:rPr>
          <w:rFonts w:ascii="Calibri" w:hAnsi="Calibri" w:cs="Calibri"/>
          <w:szCs w:val="22"/>
        </w:rPr>
        <w:t>1, we repeated this simulation by changing the difference from 0 to 1 and</w:t>
      </w:r>
      <w:r w:rsidR="00805CB1" w:rsidRPr="009C40DB">
        <w:rPr>
          <w:rFonts w:ascii="Calibri" w:hAnsi="Calibri" w:cs="Calibri"/>
          <w:szCs w:val="22"/>
        </w:rPr>
        <w:t xml:space="preserve"> increasing the difference by 0.01. Similarly, for </w:t>
      </w:r>
      <w:r w:rsidR="00462734">
        <w:rPr>
          <w:rFonts w:ascii="Calibri" w:hAnsi="Calibri" w:cs="Calibri"/>
          <w:szCs w:val="22"/>
        </w:rPr>
        <w:t xml:space="preserve">Supplementary material </w:t>
      </w:r>
      <w:r w:rsidR="009C40DB" w:rsidRPr="009C40DB">
        <w:rPr>
          <w:rFonts w:ascii="Calibri" w:hAnsi="Calibri" w:cs="Calibri"/>
          <w:szCs w:val="22"/>
        </w:rPr>
        <w:t>B</w:t>
      </w:r>
      <w:r w:rsidR="00805CB1" w:rsidRPr="009C40DB">
        <w:rPr>
          <w:rFonts w:ascii="Calibri" w:hAnsi="Calibri" w:cs="Calibri"/>
          <w:szCs w:val="22"/>
        </w:rPr>
        <w:t xml:space="preserve">2, we repeated the simulation by changing the range of the standard deviation (from 0.5 to 2.0) and </w:t>
      </w:r>
      <w:r w:rsidR="007C1E63" w:rsidRPr="009C40DB">
        <w:rPr>
          <w:rFonts w:ascii="Calibri" w:hAnsi="Calibri" w:cs="Calibri"/>
          <w:szCs w:val="22"/>
        </w:rPr>
        <w:t xml:space="preserve">the </w:t>
      </w:r>
      <w:r w:rsidR="00805CB1" w:rsidRPr="009C40DB">
        <w:rPr>
          <w:rFonts w:ascii="Calibri" w:hAnsi="Calibri" w:cs="Calibri"/>
          <w:szCs w:val="22"/>
        </w:rPr>
        <w:t>range of the difference (from 0 to 2.5). We then grid-searched the combination that achieved the power of 0.8.</w:t>
      </w:r>
    </w:p>
    <w:p w14:paraId="5CA8359F" w14:textId="77777777" w:rsidR="00805CB1" w:rsidRPr="009C40DB" w:rsidRDefault="00805CB1">
      <w:pPr>
        <w:rPr>
          <w:rFonts w:ascii="Calibri" w:hAnsi="Calibri" w:cs="Calibri"/>
          <w:szCs w:val="22"/>
        </w:rPr>
      </w:pPr>
    </w:p>
    <w:p w14:paraId="598422C8" w14:textId="66C4142C" w:rsidR="00C148E7" w:rsidRPr="009C40DB" w:rsidRDefault="00C148E7">
      <w:pPr>
        <w:rPr>
          <w:rFonts w:ascii="Calibri" w:hAnsi="Calibri" w:cs="Calibri"/>
          <w:szCs w:val="22"/>
        </w:rPr>
      </w:pPr>
    </w:p>
    <w:sectPr w:rsidR="00C148E7" w:rsidRPr="009C40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6DCE2" w14:textId="77777777" w:rsidR="005D7BAD" w:rsidRDefault="005D7BAD" w:rsidP="009C40DB">
      <w:pPr>
        <w:spacing w:after="0" w:line="240" w:lineRule="auto"/>
      </w:pPr>
      <w:r>
        <w:separator/>
      </w:r>
    </w:p>
  </w:endnote>
  <w:endnote w:type="continuationSeparator" w:id="0">
    <w:p w14:paraId="7CB7DFCF" w14:textId="77777777" w:rsidR="005D7BAD" w:rsidRDefault="005D7BAD" w:rsidP="009C4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1447E" w14:textId="77777777" w:rsidR="005D7BAD" w:rsidRDefault="005D7BAD" w:rsidP="009C40DB">
      <w:pPr>
        <w:spacing w:after="0" w:line="240" w:lineRule="auto"/>
      </w:pPr>
      <w:r>
        <w:separator/>
      </w:r>
    </w:p>
  </w:footnote>
  <w:footnote w:type="continuationSeparator" w:id="0">
    <w:p w14:paraId="22C36DB5" w14:textId="77777777" w:rsidR="005D7BAD" w:rsidRDefault="005D7BAD" w:rsidP="009C40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yMrWwNDE2NbcwNzRQ0lEKTi0uzszPAykwrAUAUgGX8CwAAAA="/>
  </w:docVars>
  <w:rsids>
    <w:rsidRoot w:val="00C148E7"/>
    <w:rsid w:val="000145B5"/>
    <w:rsid w:val="000969D0"/>
    <w:rsid w:val="001316CB"/>
    <w:rsid w:val="0032679F"/>
    <w:rsid w:val="003F7F2B"/>
    <w:rsid w:val="00462734"/>
    <w:rsid w:val="004907CA"/>
    <w:rsid w:val="004A3282"/>
    <w:rsid w:val="004A4BE0"/>
    <w:rsid w:val="00544808"/>
    <w:rsid w:val="005D7BAD"/>
    <w:rsid w:val="00642A30"/>
    <w:rsid w:val="00785530"/>
    <w:rsid w:val="007C1E63"/>
    <w:rsid w:val="00805CB1"/>
    <w:rsid w:val="008761CA"/>
    <w:rsid w:val="009C40DB"/>
    <w:rsid w:val="00C148E7"/>
    <w:rsid w:val="00CF2C21"/>
    <w:rsid w:val="00E4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CC522C"/>
  <w15:chartTrackingRefBased/>
  <w15:docId w15:val="{8DC770B3-024F-43F6-B6E3-49326A1D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148E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8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8E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8E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8E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8E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8E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8E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8E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148E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148E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148E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148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148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148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148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148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148E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148E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148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48E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148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148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148E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148E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148E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148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148E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148E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96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8761CA"/>
    <w:rPr>
      <w:color w:val="666666"/>
    </w:rPr>
  </w:style>
  <w:style w:type="paragraph" w:styleId="ac">
    <w:name w:val="header"/>
    <w:basedOn w:val="a"/>
    <w:link w:val="ad"/>
    <w:uiPriority w:val="99"/>
    <w:unhideWhenUsed/>
    <w:rsid w:val="009C40D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C40DB"/>
  </w:style>
  <w:style w:type="paragraph" w:styleId="ae">
    <w:name w:val="footer"/>
    <w:basedOn w:val="a"/>
    <w:link w:val="af"/>
    <w:uiPriority w:val="99"/>
    <w:unhideWhenUsed/>
    <w:rsid w:val="009C40D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C4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Keiichi Satoh</dc:creator>
  <cp:keywords/>
  <dc:description/>
  <cp:lastModifiedBy>杏湖 白井</cp:lastModifiedBy>
  <cp:revision>2</cp:revision>
  <dcterms:created xsi:type="dcterms:W3CDTF">2024-12-19T07:15:00Z</dcterms:created>
  <dcterms:modified xsi:type="dcterms:W3CDTF">2024-12-19T07:15:00Z</dcterms:modified>
</cp:coreProperties>
</file>