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85B5C" w14:textId="0615C67F" w:rsidR="00225C45" w:rsidRDefault="00500911" w:rsidP="00225C45">
      <w:pPr>
        <w:outlineLvl w:val="1"/>
        <w:rPr>
          <w:rFonts w:ascii="Helvetica" w:hAnsi="Helvetica" w:cs="Times New Roman"/>
          <w:bCs/>
          <w:color w:val="000000"/>
          <w:sz w:val="21"/>
          <w:szCs w:val="21"/>
          <w:lang w:eastAsia="es-ES_tradnl"/>
        </w:rPr>
      </w:pPr>
      <w:r w:rsidRPr="00225C45">
        <w:rPr>
          <w:rFonts w:ascii="Helvetica" w:hAnsi="Helvetica" w:cs="Times New Roman"/>
          <w:bCs/>
          <w:color w:val="000000"/>
          <w:sz w:val="21"/>
          <w:szCs w:val="21"/>
          <w:lang w:eastAsia="es-ES_tradnl"/>
        </w:rPr>
        <w:t xml:space="preserve">En </w:t>
      </w:r>
      <w:proofErr w:type="spellStart"/>
      <w:r w:rsidRPr="00225C45">
        <w:rPr>
          <w:rFonts w:ascii="Helvetica" w:hAnsi="Helvetica" w:cs="Times New Roman"/>
          <w:bCs/>
          <w:color w:val="000000"/>
          <w:sz w:val="21"/>
          <w:szCs w:val="21"/>
          <w:lang w:eastAsia="es-ES_tradnl"/>
        </w:rPr>
        <w:t>Grayling</w:t>
      </w:r>
      <w:proofErr w:type="spellEnd"/>
      <w:r w:rsidRPr="00225C45">
        <w:rPr>
          <w:rFonts w:ascii="Helvetica" w:hAnsi="Helvetica" w:cs="Times New Roman"/>
          <w:bCs/>
          <w:color w:val="000000"/>
          <w:sz w:val="21"/>
          <w:szCs w:val="21"/>
          <w:lang w:eastAsia="es-ES_tradnl"/>
        </w:rPr>
        <w:t xml:space="preserve"> desarrollamos </w:t>
      </w:r>
      <w:r w:rsidRPr="00B20BAD">
        <w:rPr>
          <w:rFonts w:ascii="Helvetica" w:hAnsi="Helvetica" w:cs="Times New Roman"/>
          <w:bCs/>
          <w:color w:val="000000"/>
          <w:sz w:val="21"/>
          <w:szCs w:val="21"/>
          <w:highlight w:val="cyan"/>
          <w:lang w:eastAsia="es-ES_tradnl"/>
        </w:rPr>
        <w:t>soluciones de comunicación</w:t>
      </w:r>
      <w:r w:rsidRPr="00225C45">
        <w:rPr>
          <w:rFonts w:ascii="Helvetica" w:hAnsi="Helvetica" w:cs="Times New Roman"/>
          <w:bCs/>
          <w:color w:val="000000"/>
          <w:sz w:val="21"/>
          <w:szCs w:val="21"/>
          <w:lang w:eastAsia="es-ES_tradnl"/>
        </w:rPr>
        <w:t xml:space="preserve"> creativas e integradas, pensadas para ser rápidamente aplicadas a las diferentes necesidades que una compañía pueda tener en cada momento, y tot</w:t>
      </w:r>
      <w:r w:rsidRPr="00B20BAD">
        <w:rPr>
          <w:rFonts w:ascii="Helvetica" w:hAnsi="Helvetica" w:cs="Times New Roman"/>
          <w:bCs/>
          <w:color w:val="000000"/>
          <w:sz w:val="21"/>
          <w:szCs w:val="21"/>
          <w:highlight w:val="cyan"/>
          <w:lang w:eastAsia="es-ES_tradnl"/>
        </w:rPr>
        <w:t>alme</w:t>
      </w:r>
      <w:bookmarkStart w:id="0" w:name="_GoBack"/>
      <w:bookmarkEnd w:id="0"/>
      <w:r w:rsidRPr="00B20BAD">
        <w:rPr>
          <w:rFonts w:ascii="Helvetica" w:hAnsi="Helvetica" w:cs="Times New Roman"/>
          <w:bCs/>
          <w:color w:val="000000"/>
          <w:sz w:val="21"/>
          <w:szCs w:val="21"/>
          <w:highlight w:val="cyan"/>
          <w:lang w:eastAsia="es-ES_tradnl"/>
        </w:rPr>
        <w:t>nte flexibles para garantizar su adecuación a estos tiempos tan cambiantes.</w:t>
      </w:r>
      <w:r w:rsidRPr="00225C45">
        <w:rPr>
          <w:rFonts w:ascii="Helvetica" w:hAnsi="Helvetica" w:cs="Times New Roman"/>
          <w:bCs/>
          <w:color w:val="000000"/>
          <w:sz w:val="21"/>
          <w:szCs w:val="21"/>
          <w:lang w:eastAsia="es-ES_tradnl"/>
        </w:rPr>
        <w:t> </w:t>
      </w:r>
    </w:p>
    <w:p w14:paraId="0C6CA319" w14:textId="77777777" w:rsidR="00225C45" w:rsidRPr="00500911" w:rsidRDefault="00225C45" w:rsidP="00225C45">
      <w:pPr>
        <w:outlineLvl w:val="1"/>
        <w:rPr>
          <w:rFonts w:ascii="Helvetica" w:hAnsi="Helvetica" w:cs="Times New Roman"/>
          <w:bCs/>
          <w:color w:val="000000"/>
          <w:sz w:val="21"/>
          <w:szCs w:val="21"/>
          <w:lang w:eastAsia="es-ES_tradnl"/>
        </w:rPr>
      </w:pPr>
    </w:p>
    <w:p w14:paraId="5A67293A" w14:textId="77777777" w:rsidR="00500911" w:rsidRPr="00500911" w:rsidRDefault="00500911" w:rsidP="00500911">
      <w:pPr>
        <w:shd w:val="clear" w:color="auto" w:fill="FFFFFF"/>
        <w:spacing w:after="150"/>
        <w:rPr>
          <w:rFonts w:ascii="Helvetica" w:hAnsi="Helvetica" w:cs="Times New Roman"/>
          <w:color w:val="000000"/>
          <w:sz w:val="21"/>
          <w:szCs w:val="21"/>
          <w:lang w:eastAsia="es-ES_tradnl"/>
        </w:rPr>
      </w:pPr>
      <w:r w:rsidRPr="00225C45">
        <w:rPr>
          <w:rFonts w:ascii="Helvetica" w:hAnsi="Helvetica" w:cs="Times New Roman"/>
          <w:bCs/>
          <w:color w:val="000000"/>
          <w:sz w:val="21"/>
          <w:szCs w:val="21"/>
          <w:lang w:eastAsia="es-ES_tradnl"/>
        </w:rPr>
        <w:t xml:space="preserve">Con expertos asignados, elaborando contenidos de calidad  y garantizando un alto nivel de contactos y compromiso, </w:t>
      </w:r>
      <w:r w:rsidRPr="00B20BAD">
        <w:rPr>
          <w:rFonts w:ascii="Helvetica" w:hAnsi="Helvetica" w:cs="Times New Roman"/>
          <w:bCs/>
          <w:color w:val="000000"/>
          <w:sz w:val="21"/>
          <w:szCs w:val="21"/>
          <w:highlight w:val="cyan"/>
          <w:lang w:eastAsia="es-ES_tradnl"/>
        </w:rPr>
        <w:t>ayudamos a nuestros clientes a ganar visibilidad, adaptarse a los nuevos modelos de comunicación, evolucionar, mejorar su reputación corporativa y tomar una ventaja cuantificable y significativa.</w:t>
      </w:r>
    </w:p>
    <w:p w14:paraId="42A56F29" w14:textId="77777777" w:rsidR="00500911" w:rsidRPr="00500911" w:rsidRDefault="00500911" w:rsidP="00500911">
      <w:pPr>
        <w:shd w:val="clear" w:color="auto" w:fill="FFFFFF"/>
        <w:spacing w:after="150"/>
        <w:rPr>
          <w:rFonts w:ascii="Helvetica" w:hAnsi="Helvetica" w:cs="Times New Roman"/>
          <w:color w:val="000000"/>
          <w:sz w:val="21"/>
          <w:szCs w:val="21"/>
          <w:lang w:eastAsia="es-ES_tradnl"/>
        </w:rPr>
      </w:pPr>
      <w:r w:rsidRPr="00500911">
        <w:rPr>
          <w:rFonts w:ascii="Helvetica" w:hAnsi="Helvetica" w:cs="Times New Roman"/>
          <w:color w:val="000000"/>
          <w:sz w:val="21"/>
          <w:szCs w:val="21"/>
          <w:lang w:eastAsia="es-ES_tradnl"/>
        </w:rPr>
        <w:t xml:space="preserve">Trabajamos en una red global </w:t>
      </w:r>
      <w:proofErr w:type="spellStart"/>
      <w:r w:rsidRPr="00500911">
        <w:rPr>
          <w:rFonts w:ascii="Helvetica" w:hAnsi="Helvetica" w:cs="Times New Roman"/>
          <w:color w:val="000000"/>
          <w:sz w:val="21"/>
          <w:szCs w:val="21"/>
          <w:lang w:eastAsia="es-ES_tradnl"/>
        </w:rPr>
        <w:t>fexible</w:t>
      </w:r>
      <w:proofErr w:type="spellEnd"/>
      <w:r w:rsidRPr="00500911">
        <w:rPr>
          <w:rFonts w:ascii="Helvetica" w:hAnsi="Helvetica" w:cs="Times New Roman"/>
          <w:color w:val="000000"/>
          <w:sz w:val="21"/>
          <w:szCs w:val="21"/>
          <w:lang w:eastAsia="es-ES_tradnl"/>
        </w:rPr>
        <w:t xml:space="preserve"> que trasciende fronteras y disciplinas</w:t>
      </w:r>
    </w:p>
    <w:p w14:paraId="5FA6509C" w14:textId="77777777" w:rsidR="009B242D" w:rsidRDefault="00B20BAD"/>
    <w:p w14:paraId="47099340" w14:textId="77777777" w:rsidR="009B5C5D" w:rsidRPr="009B5C5D" w:rsidRDefault="009B5C5D" w:rsidP="009B5C5D">
      <w:pPr>
        <w:shd w:val="clear" w:color="auto" w:fill="FFFFFF"/>
        <w:spacing w:after="150"/>
        <w:rPr>
          <w:rFonts w:ascii="Helvetica" w:hAnsi="Helvetica" w:cs="Times New Roman"/>
          <w:color w:val="000000"/>
          <w:sz w:val="21"/>
          <w:szCs w:val="21"/>
          <w:lang w:eastAsia="es-ES_tradnl"/>
        </w:rPr>
      </w:pPr>
      <w:proofErr w:type="spellStart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>Grayling</w:t>
      </w:r>
      <w:proofErr w:type="spellEnd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 xml:space="preserve"> es una compañía subsidiaria propiedad de </w:t>
      </w:r>
      <w:proofErr w:type="spellStart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>Huntsworth</w:t>
      </w:r>
      <w:proofErr w:type="spellEnd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 xml:space="preserve"> PLC, un grupo de relaciones públicas que cotiza en la Bolsa de Valores de Londres. El grupo también incluye a </w:t>
      </w:r>
      <w:proofErr w:type="spellStart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>Citigate</w:t>
      </w:r>
      <w:proofErr w:type="spellEnd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 xml:space="preserve"> </w:t>
      </w:r>
      <w:proofErr w:type="spellStart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>Dewe</w:t>
      </w:r>
      <w:proofErr w:type="spellEnd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 xml:space="preserve"> </w:t>
      </w:r>
      <w:proofErr w:type="spellStart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>Rogerson</w:t>
      </w:r>
      <w:proofErr w:type="spellEnd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 xml:space="preserve">, agencia de relaciones públicas financiera; </w:t>
      </w:r>
      <w:proofErr w:type="spellStart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>The</w:t>
      </w:r>
      <w:proofErr w:type="spellEnd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 xml:space="preserve"> Red </w:t>
      </w:r>
      <w:proofErr w:type="spellStart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>Consultancy</w:t>
      </w:r>
      <w:proofErr w:type="spellEnd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 xml:space="preserve">, agencia especializada en comunicación de consumo en el Reino Unido y la consultora de comunicación farmacéutica, </w:t>
      </w:r>
      <w:proofErr w:type="spellStart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>Huntsworth</w:t>
      </w:r>
      <w:proofErr w:type="spellEnd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 xml:space="preserve"> </w:t>
      </w:r>
      <w:proofErr w:type="spellStart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>Health</w:t>
      </w:r>
      <w:proofErr w:type="spellEnd"/>
      <w:r w:rsidRPr="009B5C5D">
        <w:rPr>
          <w:rFonts w:ascii="Helvetica" w:hAnsi="Helvetica" w:cs="Times New Roman"/>
          <w:color w:val="000000"/>
          <w:sz w:val="21"/>
          <w:szCs w:val="21"/>
          <w:lang w:eastAsia="es-ES_tradnl"/>
        </w:rPr>
        <w:t>.</w:t>
      </w:r>
    </w:p>
    <w:p w14:paraId="5562CBBA" w14:textId="77777777" w:rsidR="009B5C5D" w:rsidRPr="009B5C5D" w:rsidRDefault="009B5C5D" w:rsidP="009B5C5D">
      <w:pPr>
        <w:rPr>
          <w:rFonts w:ascii="Times New Roman" w:eastAsia="Times New Roman" w:hAnsi="Times New Roman" w:cs="Times New Roman"/>
          <w:lang w:eastAsia="es-ES_tradnl"/>
        </w:rPr>
      </w:pPr>
    </w:p>
    <w:p w14:paraId="49773F8A" w14:textId="77777777" w:rsidR="009B5C5D" w:rsidRPr="00225C45" w:rsidRDefault="009B5C5D"/>
    <w:sectPr w:rsidR="009B5C5D" w:rsidRPr="00225C45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911"/>
    <w:rsid w:val="00225C45"/>
    <w:rsid w:val="002530D5"/>
    <w:rsid w:val="00500911"/>
    <w:rsid w:val="005936D0"/>
    <w:rsid w:val="00884DA7"/>
    <w:rsid w:val="009B5C5D"/>
    <w:rsid w:val="00B2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2F143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500911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00911"/>
    <w:rPr>
      <w:rFonts w:ascii="Times New Roman" w:hAnsi="Times New Roman" w:cs="Times New Roman"/>
      <w:b/>
      <w:bCs/>
      <w:sz w:val="36"/>
      <w:szCs w:val="36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500911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5009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4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9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897</Characters>
  <Application>Microsoft Macintosh Word</Application>
  <DocSecurity>0</DocSecurity>
  <Lines>7</Lines>
  <Paragraphs>2</Paragraphs>
  <ScaleCrop>false</ScaleCrop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dcterms:created xsi:type="dcterms:W3CDTF">2018-07-16T11:21:00Z</dcterms:created>
  <dcterms:modified xsi:type="dcterms:W3CDTF">2018-07-16T11:37:00Z</dcterms:modified>
</cp:coreProperties>
</file>