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9B9C3" w14:textId="77777777" w:rsidR="00BE38A5" w:rsidRDefault="00BE38A5" w:rsidP="00BE38A5">
      <w:pPr>
        <w:shd w:val="clear" w:color="auto" w:fill="FFFFFF"/>
        <w:outlineLvl w:val="4"/>
        <w:rPr>
          <w:b/>
          <w:bCs/>
          <w:color w:val="00314C"/>
          <w:sz w:val="24"/>
          <w:szCs w:val="24"/>
        </w:rPr>
      </w:pPr>
      <w:r w:rsidRPr="00BE38A5">
        <w:rPr>
          <w:b/>
          <w:bCs/>
          <w:color w:val="00314C"/>
          <w:sz w:val="24"/>
          <w:szCs w:val="24"/>
        </w:rPr>
        <w:t>Figures</w:t>
      </w:r>
    </w:p>
    <w:p w14:paraId="0DAAD615" w14:textId="77777777" w:rsidR="00BE38A5" w:rsidRPr="00BE38A5" w:rsidRDefault="00BE38A5" w:rsidP="00BE38A5">
      <w:pPr>
        <w:shd w:val="clear" w:color="auto" w:fill="FFFFFF"/>
        <w:outlineLvl w:val="4"/>
        <w:rPr>
          <w:b/>
          <w:bCs/>
          <w:color w:val="00314C"/>
          <w:sz w:val="24"/>
          <w:szCs w:val="24"/>
        </w:rPr>
      </w:pPr>
    </w:p>
    <w:p w14:paraId="27182D75" w14:textId="77777777" w:rsidR="00BE38A5" w:rsidRPr="00BE38A5" w:rsidRDefault="00BE38A5" w:rsidP="00BE38A5">
      <w:pPr>
        <w:shd w:val="clear" w:color="auto" w:fill="FFFFFF"/>
        <w:outlineLvl w:val="4"/>
        <w:rPr>
          <w:color w:val="00314C"/>
          <w:sz w:val="24"/>
          <w:szCs w:val="24"/>
        </w:rPr>
      </w:pPr>
      <w:bookmarkStart w:id="0" w:name="OLE_LINK3"/>
      <w:bookmarkStart w:id="1" w:name="OLE_LINK4"/>
      <w:r w:rsidRPr="00BE38A5">
        <w:rPr>
          <w:color w:val="00314C"/>
          <w:sz w:val="24"/>
          <w:szCs w:val="24"/>
        </w:rPr>
        <w:t xml:space="preserve">Figure 1.  </w:t>
      </w:r>
    </w:p>
    <w:p w14:paraId="65949D25" w14:textId="77777777" w:rsidR="00BE38A5" w:rsidRPr="00BE38A5" w:rsidRDefault="00BE38A5" w:rsidP="00BE38A5">
      <w:r w:rsidRPr="00BE38A5">
        <w:rPr>
          <w:noProof/>
          <w14:ligatures w14:val="standardContextual"/>
        </w:rPr>
        <w:drawing>
          <wp:inline distT="0" distB="0" distL="0" distR="0" wp14:anchorId="4E61F7DF" wp14:editId="1F6F0E77">
            <wp:extent cx="4254500" cy="2272420"/>
            <wp:effectExtent l="0" t="0" r="12700" b="13970"/>
            <wp:docPr id="1406991503" name="Grafik 1">
              <a:extLst xmlns:a="http://schemas.openxmlformats.org/drawingml/2006/main">
                <a:ext uri="{FF2B5EF4-FFF2-40B4-BE49-F238E27FC236}">
                  <a16:creationId xmlns:a16="http://schemas.microsoft.com/office/drawing/2014/main" id="{3EBB632E-0B02-33D5-7421-834A473763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52C08F18" w14:textId="77777777" w:rsidR="00BE38A5" w:rsidRDefault="00BE38A5" w:rsidP="00BE38A5">
      <w:pPr>
        <w:rPr>
          <w:sz w:val="24"/>
          <w:szCs w:val="24"/>
        </w:rPr>
      </w:pPr>
    </w:p>
    <w:p w14:paraId="115D84C3" w14:textId="6DE3AF14" w:rsidR="00BE38A5" w:rsidRPr="00BE38A5" w:rsidRDefault="00BE38A5" w:rsidP="00BE38A5">
      <w:pPr>
        <w:rPr>
          <w:kern w:val="0"/>
          <w:sz w:val="24"/>
          <w:szCs w:val="24"/>
        </w:rPr>
      </w:pPr>
      <w:r w:rsidRPr="00BE38A5">
        <w:rPr>
          <w:sz w:val="24"/>
          <w:szCs w:val="24"/>
        </w:rPr>
        <w:t xml:space="preserve">Figure 2. </w:t>
      </w:r>
    </w:p>
    <w:p w14:paraId="4BBAEB08" w14:textId="77777777" w:rsidR="00BE38A5" w:rsidRPr="00BE38A5" w:rsidRDefault="00BE38A5" w:rsidP="00BE38A5">
      <w:pPr>
        <w:rPr>
          <w:b/>
          <w:bCs/>
        </w:rPr>
      </w:pPr>
      <w:r w:rsidRPr="00BE38A5">
        <w:rPr>
          <w:noProof/>
        </w:rPr>
        <w:drawing>
          <wp:inline distT="0" distB="0" distL="0" distR="0" wp14:anchorId="028AA6A7" wp14:editId="1C2809B8">
            <wp:extent cx="4254500" cy="2136737"/>
            <wp:effectExtent l="0" t="0" r="12700" b="10160"/>
            <wp:docPr id="662639075" name="Grafik 1">
              <a:extLst xmlns:a="http://schemas.openxmlformats.org/drawingml/2006/main">
                <a:ext uri="{FF2B5EF4-FFF2-40B4-BE49-F238E27FC236}">
                  <a16:creationId xmlns:a16="http://schemas.microsoft.com/office/drawing/2014/main" id="{16F7E120-F7F0-69EE-8FBC-BEB60F09AA9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8518803" w14:textId="77777777" w:rsidR="00BE38A5" w:rsidRDefault="00BE38A5" w:rsidP="00BE38A5">
      <w:pPr>
        <w:rPr>
          <w:color w:val="000000"/>
          <w:sz w:val="24"/>
          <w:szCs w:val="24"/>
        </w:rPr>
      </w:pPr>
    </w:p>
    <w:p w14:paraId="5CD7629A" w14:textId="403E7D16" w:rsidR="00BE38A5" w:rsidRPr="00BE38A5" w:rsidRDefault="00BE38A5" w:rsidP="00BE38A5">
      <w:pPr>
        <w:rPr>
          <w:sz w:val="24"/>
          <w:szCs w:val="24"/>
        </w:rPr>
      </w:pPr>
      <w:r w:rsidRPr="00BE38A5">
        <w:rPr>
          <w:color w:val="000000"/>
          <w:sz w:val="24"/>
          <w:szCs w:val="24"/>
        </w:rPr>
        <w:t xml:space="preserve">Figure 3. </w:t>
      </w:r>
    </w:p>
    <w:p w14:paraId="4DEE9FD6" w14:textId="77777777" w:rsidR="00BE38A5" w:rsidRPr="00BE38A5" w:rsidRDefault="00BE38A5" w:rsidP="00BE38A5">
      <w:pPr>
        <w:widowControl/>
        <w:rPr>
          <w:rFonts w:ascii="MS PGothic" w:eastAsia="MS PGothic" w:hAnsi="MS PGothic" w:cs="MS PGothic"/>
          <w:color w:val="000000"/>
          <w:kern w:val="0"/>
          <w:sz w:val="24"/>
          <w:szCs w:val="24"/>
        </w:rPr>
      </w:pPr>
      <w:r w:rsidRPr="00BE38A5">
        <w:rPr>
          <w:rFonts w:ascii="MS PGothic" w:eastAsia="MS PGothic" w:hAnsi="MS PGothic" w:cs="MS PGothic"/>
          <w:noProof/>
          <w:kern w:val="0"/>
          <w:sz w:val="24"/>
          <w:szCs w:val="24"/>
          <w14:ligatures w14:val="standardContextual"/>
        </w:rPr>
        <w:drawing>
          <wp:inline distT="0" distB="0" distL="0" distR="0" wp14:anchorId="4709A266" wp14:editId="57A809A1">
            <wp:extent cx="2951429" cy="2172335"/>
            <wp:effectExtent l="0" t="0" r="8255" b="12065"/>
            <wp:docPr id="1216643814" name="Grafik 1">
              <a:extLst xmlns:a="http://schemas.openxmlformats.org/drawingml/2006/main">
                <a:ext uri="{FF2B5EF4-FFF2-40B4-BE49-F238E27FC236}">
                  <a16:creationId xmlns:a16="http://schemas.microsoft.com/office/drawing/2014/main" id="{465718C4-7C42-FAE3-681A-C28C88D85FF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bookmarkEnd w:id="0"/>
    <w:bookmarkEnd w:id="1"/>
    <w:p w14:paraId="5676B22D" w14:textId="77777777" w:rsidR="00BE38A5" w:rsidRDefault="00BE38A5" w:rsidP="00BE38A5">
      <w:pPr>
        <w:rPr>
          <w:sz w:val="24"/>
          <w:szCs w:val="24"/>
        </w:rPr>
      </w:pPr>
    </w:p>
    <w:p w14:paraId="1590CA97" w14:textId="77777777" w:rsidR="00BE38A5" w:rsidRDefault="00BE38A5" w:rsidP="00BE38A5">
      <w:pPr>
        <w:rPr>
          <w:sz w:val="24"/>
          <w:szCs w:val="24"/>
        </w:rPr>
      </w:pPr>
    </w:p>
    <w:p w14:paraId="3FB0671F" w14:textId="77777777" w:rsidR="00BE38A5" w:rsidRDefault="00BE38A5" w:rsidP="00BE38A5">
      <w:pPr>
        <w:rPr>
          <w:sz w:val="24"/>
          <w:szCs w:val="24"/>
        </w:rPr>
      </w:pPr>
    </w:p>
    <w:p w14:paraId="1CCF5BC7" w14:textId="77777777" w:rsidR="00BE38A5" w:rsidRDefault="00BE38A5" w:rsidP="00BE38A5">
      <w:pPr>
        <w:rPr>
          <w:sz w:val="24"/>
          <w:szCs w:val="24"/>
        </w:rPr>
      </w:pPr>
    </w:p>
    <w:p w14:paraId="0BC403F7" w14:textId="77777777" w:rsidR="00BE38A5" w:rsidRPr="00BE38A5" w:rsidRDefault="00BE38A5" w:rsidP="00BE38A5">
      <w:pPr>
        <w:rPr>
          <w:sz w:val="24"/>
          <w:szCs w:val="24"/>
        </w:rPr>
      </w:pPr>
    </w:p>
    <w:p w14:paraId="229E5598" w14:textId="77777777" w:rsidR="00BE38A5" w:rsidRDefault="00BE38A5" w:rsidP="00BE38A5">
      <w:pPr>
        <w:rPr>
          <w:b/>
          <w:bCs/>
          <w:color w:val="00314C"/>
          <w:sz w:val="24"/>
          <w:szCs w:val="24"/>
        </w:rPr>
      </w:pPr>
      <w:r w:rsidRPr="00BE38A5">
        <w:rPr>
          <w:b/>
          <w:bCs/>
          <w:color w:val="00314C"/>
          <w:sz w:val="24"/>
          <w:szCs w:val="24"/>
        </w:rPr>
        <w:lastRenderedPageBreak/>
        <w:t>Figure Legends</w:t>
      </w:r>
    </w:p>
    <w:p w14:paraId="4B344F10" w14:textId="77777777" w:rsidR="00BE38A5" w:rsidRPr="00BE38A5" w:rsidRDefault="00BE38A5" w:rsidP="00BE38A5">
      <w:pPr>
        <w:rPr>
          <w:b/>
          <w:bCs/>
          <w:sz w:val="24"/>
          <w:szCs w:val="24"/>
        </w:rPr>
      </w:pPr>
    </w:p>
    <w:p w14:paraId="2F467B9E" w14:textId="77777777" w:rsidR="00BE38A5" w:rsidRPr="00BE38A5" w:rsidRDefault="00BE38A5" w:rsidP="00BE38A5">
      <w:pPr>
        <w:shd w:val="clear" w:color="auto" w:fill="FFFFFF"/>
        <w:outlineLvl w:val="4"/>
        <w:rPr>
          <w:color w:val="00314C"/>
          <w:sz w:val="24"/>
          <w:szCs w:val="24"/>
        </w:rPr>
      </w:pPr>
      <w:r w:rsidRPr="00BE38A5">
        <w:rPr>
          <w:color w:val="00314C"/>
          <w:sz w:val="24"/>
          <w:szCs w:val="24"/>
        </w:rPr>
        <w:t xml:space="preserve">Figure 1.  Effects of 400 ppm </w:t>
      </w:r>
      <w:r w:rsidRPr="00BE38A5">
        <w:rPr>
          <w:color w:val="000000"/>
          <w:sz w:val="24"/>
          <w:szCs w:val="24"/>
        </w:rPr>
        <w:t>propolis</w:t>
      </w:r>
      <w:r w:rsidRPr="00BE38A5">
        <w:rPr>
          <w:color w:val="00314C"/>
          <w:sz w:val="24"/>
          <w:szCs w:val="24"/>
        </w:rPr>
        <w:t xml:space="preserve"> extract on hatchability and relative chick weight of broiler </w:t>
      </w:r>
      <w:proofErr w:type="gramStart"/>
      <w:r w:rsidRPr="00BE38A5">
        <w:rPr>
          <w:color w:val="00314C"/>
          <w:sz w:val="24"/>
          <w:szCs w:val="24"/>
        </w:rPr>
        <w:t>chicks</w:t>
      </w:r>
      <w:proofErr w:type="gramEnd"/>
    </w:p>
    <w:p w14:paraId="3E01163E" w14:textId="77777777" w:rsidR="00BE38A5" w:rsidRPr="00BE38A5" w:rsidRDefault="00BE38A5" w:rsidP="00BE38A5">
      <w:pPr>
        <w:rPr>
          <w:kern w:val="0"/>
          <w:sz w:val="24"/>
          <w:szCs w:val="24"/>
        </w:rPr>
      </w:pPr>
      <w:r w:rsidRPr="00BE38A5">
        <w:rPr>
          <w:sz w:val="24"/>
          <w:szCs w:val="24"/>
        </w:rPr>
        <w:t xml:space="preserve">Figure 2. Eggshell quality defects of control group and 400 ppm propolis extract supplement </w:t>
      </w:r>
      <w:proofErr w:type="gramStart"/>
      <w:r w:rsidRPr="00BE38A5">
        <w:rPr>
          <w:sz w:val="24"/>
          <w:szCs w:val="24"/>
        </w:rPr>
        <w:t>group</w:t>
      </w:r>
      <w:proofErr w:type="gramEnd"/>
    </w:p>
    <w:p w14:paraId="4ABF2B0E" w14:textId="77777777" w:rsidR="00BE38A5" w:rsidRPr="00BE38A5" w:rsidRDefault="00BE38A5" w:rsidP="00BE38A5">
      <w:pPr>
        <w:rPr>
          <w:sz w:val="24"/>
          <w:szCs w:val="24"/>
        </w:rPr>
      </w:pPr>
      <w:r w:rsidRPr="00BE38A5">
        <w:rPr>
          <w:color w:val="000000"/>
          <w:sz w:val="24"/>
          <w:szCs w:val="24"/>
        </w:rPr>
        <w:t xml:space="preserve">Figure 3. </w:t>
      </w:r>
      <w:r w:rsidRPr="00BE38A5">
        <w:rPr>
          <w:sz w:val="24"/>
          <w:szCs w:val="24"/>
        </w:rPr>
        <w:t xml:space="preserve">Effect of 400 ppm propolis extract supplementation on physical egg </w:t>
      </w:r>
      <w:proofErr w:type="gramStart"/>
      <w:r w:rsidRPr="00BE38A5">
        <w:rPr>
          <w:sz w:val="24"/>
          <w:szCs w:val="24"/>
        </w:rPr>
        <w:t>quality</w:t>
      </w:r>
      <w:proofErr w:type="gramEnd"/>
      <w:r w:rsidRPr="00BE38A5">
        <w:rPr>
          <w:sz w:val="24"/>
          <w:szCs w:val="24"/>
        </w:rPr>
        <w:t xml:space="preserve"> </w:t>
      </w:r>
    </w:p>
    <w:p w14:paraId="22E38C75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0E902C37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4BFCE6F0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40345E6D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34176240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00210540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0DD30D1E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74AAF976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5E310999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1A4A2DD7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2ACD633A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246484E9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3F4B9425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517F1D71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14995544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5968C3AE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2327C9F9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487C0E2D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5A38C171" w14:textId="77777777" w:rsidR="00BE38A5" w:rsidRPr="00BE38A5" w:rsidRDefault="00BE38A5" w:rsidP="00BE38A5">
      <w:pPr>
        <w:spacing w:line="276" w:lineRule="auto"/>
        <w:rPr>
          <w:sz w:val="24"/>
          <w:szCs w:val="24"/>
        </w:rPr>
      </w:pPr>
    </w:p>
    <w:p w14:paraId="4C63684E" w14:textId="77777777" w:rsidR="005B0165" w:rsidRDefault="005B0165"/>
    <w:sectPr w:rsidR="005B0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65"/>
    <w:rsid w:val="005B0165"/>
    <w:rsid w:val="00BE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1B3E62"/>
  <w15:chartTrackingRefBased/>
  <w15:docId w15:val="{FC9A9C0B-36DE-CD4C-AAED-CD0AE0F1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165"/>
    <w:pPr>
      <w:widowControl w:val="0"/>
      <w:spacing w:after="0" w:line="240" w:lineRule="auto"/>
      <w:jc w:val="both"/>
    </w:pPr>
    <w:rPr>
      <w:rFonts w:ascii="Times New Roman" w:eastAsia="MS Mincho" w:hAnsi="Times New Roman" w:cs="Times New Roman"/>
      <w:sz w:val="21"/>
      <w:szCs w:val="20"/>
      <w:lang w:val="en-US" w:eastAsia="ja-JP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5B0165"/>
    <w:pPr>
      <w:keepNext/>
      <w:keepLines/>
      <w:widowControl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tr-TR" w:eastAsia="en-US"/>
      <w14:ligatures w14:val="standardContextual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B0165"/>
    <w:pPr>
      <w:keepNext/>
      <w:keepLines/>
      <w:widowControl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tr-TR" w:eastAsia="en-US"/>
      <w14:ligatures w14:val="standardContextual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B0165"/>
    <w:pPr>
      <w:keepNext/>
      <w:keepLines/>
      <w:widowControl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tr-TR" w:eastAsia="en-US"/>
      <w14:ligatures w14:val="standardContextual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B0165"/>
    <w:pPr>
      <w:keepNext/>
      <w:keepLines/>
      <w:widowControl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szCs w:val="24"/>
      <w:lang w:val="tr-TR" w:eastAsia="en-US"/>
      <w14:ligatures w14:val="standardContextual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B0165"/>
    <w:pPr>
      <w:keepNext/>
      <w:keepLines/>
      <w:widowControl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szCs w:val="24"/>
      <w:lang w:val="tr-TR" w:eastAsia="en-US"/>
      <w14:ligatures w14:val="standardContextual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B0165"/>
    <w:pPr>
      <w:keepNext/>
      <w:keepLines/>
      <w:widowControl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val="tr-TR" w:eastAsia="en-US"/>
      <w14:ligatures w14:val="standardContextual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B0165"/>
    <w:pPr>
      <w:keepNext/>
      <w:keepLines/>
      <w:widowControl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tr-TR" w:eastAsia="en-US"/>
      <w14:ligatures w14:val="standardContextual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B0165"/>
    <w:pPr>
      <w:keepNext/>
      <w:keepLines/>
      <w:widowControl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val="tr-TR" w:eastAsia="en-US"/>
      <w14:ligatures w14:val="standardContextual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B0165"/>
    <w:pPr>
      <w:keepNext/>
      <w:keepLines/>
      <w:widowControl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:lang w:val="tr-TR" w:eastAsia="en-US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B01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B01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B01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B016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B016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B016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B016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B016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B016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B0165"/>
    <w:pPr>
      <w:widowControl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tr-TR" w:eastAsia="en-US"/>
      <w14:ligatures w14:val="standardContextual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B01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B0165"/>
    <w:pPr>
      <w:widowControl/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tr-TR" w:eastAsia="en-US"/>
      <w14:ligatures w14:val="standardContextual"/>
    </w:rPr>
  </w:style>
  <w:style w:type="character" w:customStyle="1" w:styleId="AltyazChar">
    <w:name w:val="Altyazı Char"/>
    <w:basedOn w:val="VarsaylanParagrafYazTipi"/>
    <w:link w:val="Altyaz"/>
    <w:uiPriority w:val="11"/>
    <w:rsid w:val="005B01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B0165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  <w:lang w:val="tr-TR" w:eastAsia="en-US"/>
      <w14:ligatures w14:val="standardContextual"/>
    </w:rPr>
  </w:style>
  <w:style w:type="character" w:customStyle="1" w:styleId="AlntChar">
    <w:name w:val="Alıntı Char"/>
    <w:basedOn w:val="VarsaylanParagrafYazTipi"/>
    <w:link w:val="Alnt"/>
    <w:uiPriority w:val="29"/>
    <w:rsid w:val="005B016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B0165"/>
    <w:pPr>
      <w:widowControl/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sz w:val="24"/>
      <w:szCs w:val="24"/>
      <w:lang w:val="tr-TR" w:eastAsia="en-US"/>
      <w14:ligatures w14:val="standardContextual"/>
    </w:rPr>
  </w:style>
  <w:style w:type="character" w:styleId="GlVurgulama">
    <w:name w:val="Intense Emphasis"/>
    <w:basedOn w:val="VarsaylanParagrafYazTipi"/>
    <w:uiPriority w:val="21"/>
    <w:qFormat/>
    <w:rsid w:val="005B016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B016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szCs w:val="24"/>
      <w:lang w:val="tr-TR" w:eastAsia="en-US"/>
      <w14:ligatures w14:val="standardContextual"/>
    </w:rPr>
  </w:style>
  <w:style w:type="character" w:customStyle="1" w:styleId="GlAlntChar">
    <w:name w:val="Güçlü Alıntı Char"/>
    <w:basedOn w:val="VarsaylanParagrafYazTipi"/>
    <w:link w:val="GlAlnt"/>
    <w:uiPriority w:val="30"/>
    <w:rsid w:val="005B016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B016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rsid w:val="005B0165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/Users/kalbiyekonanc/Desktop/journal%20of%20poultry%20science%20Q2/dam&#305;zl&#305;k%20yumurta/dam&#305;zl&#305;k%20yumurta%20d&#305;s&#807;%20kalite%20ve%20kuluc&#807;ka%20o&#776;zellikleri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/Users/kalbiyekonanc/Desktop/journal%20of%20poultry%20science%20Q2/dam&#305;zl&#305;k%20yumurta/dam&#305;zl&#305;k%20yumurta%20d&#305;s&#807;%20kalite%20ve%20kuluc&#807;ka%20o&#776;zellikleri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/Users/kalbiyekonanc/Desktop/journal%20of%20poultry%20science%20Q2/dam&#305;zl&#305;k%20yumurta/dam&#305;zl&#305;k%20yumurta%20d&#305;s&#807;%20kalite%20ve%20kuluc&#807;ka%20o&#776;zellikler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r-TR" sz="1200" b="1"/>
              <a:t>Effects</a:t>
            </a:r>
            <a:r>
              <a:rPr lang="tr-TR" sz="1200" b="1" baseline="0"/>
              <a:t> of 400 ppm propolis extracts </a:t>
            </a:r>
            <a:endParaRPr lang="tr-TR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kuluçka!$C$11</c:f>
              <c:strCache>
                <c:ptCount val="1"/>
                <c:pt idx="0">
                  <c:v>Control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kuluçka!$B$12:$B$15</c:f>
              <c:strCache>
                <c:ptCount val="4"/>
                <c:pt idx="0">
                  <c:v>Fertility rate %</c:v>
                </c:pt>
                <c:pt idx="1">
                  <c:v>Hatchibility %</c:v>
                </c:pt>
                <c:pt idx="2">
                  <c:v>Hatchibility of fertile eggs %</c:v>
                </c:pt>
                <c:pt idx="3">
                  <c:v>Relative chick weight %</c:v>
                </c:pt>
              </c:strCache>
            </c:strRef>
          </c:cat>
          <c:val>
            <c:numRef>
              <c:f>kuluçka!$C$12:$C$15</c:f>
              <c:numCache>
                <c:formatCode>General</c:formatCode>
                <c:ptCount val="4"/>
                <c:pt idx="0">
                  <c:v>74.5</c:v>
                </c:pt>
                <c:pt idx="1">
                  <c:v>75.22</c:v>
                </c:pt>
                <c:pt idx="2">
                  <c:v>75.17</c:v>
                </c:pt>
                <c:pt idx="3">
                  <c:v>69.44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D3-1D4E-859F-9115AB9684D0}"/>
            </c:ext>
          </c:extLst>
        </c:ser>
        <c:ser>
          <c:idx val="1"/>
          <c:order val="1"/>
          <c:tx>
            <c:strRef>
              <c:f>kuluçka!$D$11</c:f>
              <c:strCache>
                <c:ptCount val="1"/>
                <c:pt idx="0">
                  <c:v>400 ppm</c:v>
                </c:pt>
              </c:strCache>
            </c:strRef>
          </c:tx>
          <c:spPr>
            <a:pattFill prst="wdUpDiag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kuluçka!$B$12:$B$15</c:f>
              <c:strCache>
                <c:ptCount val="4"/>
                <c:pt idx="0">
                  <c:v>Fertility rate %</c:v>
                </c:pt>
                <c:pt idx="1">
                  <c:v>Hatchibility %</c:v>
                </c:pt>
                <c:pt idx="2">
                  <c:v>Hatchibility of fertile eggs %</c:v>
                </c:pt>
                <c:pt idx="3">
                  <c:v>Relative chick weight %</c:v>
                </c:pt>
              </c:strCache>
            </c:strRef>
          </c:cat>
          <c:val>
            <c:numRef>
              <c:f>kuluçka!$D$12:$D$15</c:f>
              <c:numCache>
                <c:formatCode>General</c:formatCode>
                <c:ptCount val="4"/>
                <c:pt idx="0">
                  <c:v>82.22</c:v>
                </c:pt>
                <c:pt idx="1">
                  <c:v>86.52</c:v>
                </c:pt>
                <c:pt idx="2">
                  <c:v>82.19</c:v>
                </c:pt>
                <c:pt idx="3">
                  <c:v>69.97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CD3-1D4E-859F-9115AB9684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376856447"/>
        <c:axId val="1376858175"/>
      </c:barChart>
      <c:catAx>
        <c:axId val="137685644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376858175"/>
        <c:crosses val="autoZero"/>
        <c:auto val="1"/>
        <c:lblAlgn val="ctr"/>
        <c:lblOffset val="100"/>
        <c:noMultiLvlLbl val="0"/>
      </c:catAx>
      <c:valAx>
        <c:axId val="137685817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3768564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r-TR" sz="1200" b="1" i="0" u="none" strike="noStrike" baseline="0">
                <a:effectLst/>
              </a:rPr>
              <a:t>Eggshell quality defects </a:t>
            </a:r>
            <a:endParaRPr lang="tr-TR" sz="12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dış!$C$15</c:f>
              <c:strCache>
                <c:ptCount val="1"/>
                <c:pt idx="0">
                  <c:v>Control 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dış!$B$16:$B$20</c:f>
              <c:strCache>
                <c:ptCount val="5"/>
                <c:pt idx="0">
                  <c:v>Shell defects %</c:v>
                </c:pt>
                <c:pt idx="1">
                  <c:v>Excess calsium deposition %</c:v>
                </c:pt>
                <c:pt idx="2">
                  <c:v>Speckled under candling %</c:v>
                </c:pt>
                <c:pt idx="3">
                  <c:v>Cracks detected under candling %</c:v>
                </c:pt>
                <c:pt idx="4">
                  <c:v>Shell color defects %</c:v>
                </c:pt>
              </c:strCache>
            </c:strRef>
          </c:cat>
          <c:val>
            <c:numRef>
              <c:f>dış!$C$16:$C$20</c:f>
              <c:numCache>
                <c:formatCode>General</c:formatCode>
                <c:ptCount val="5"/>
                <c:pt idx="0">
                  <c:v>3.8860000000000001</c:v>
                </c:pt>
                <c:pt idx="1">
                  <c:v>5.44</c:v>
                </c:pt>
                <c:pt idx="2">
                  <c:v>23.315999999999999</c:v>
                </c:pt>
                <c:pt idx="3">
                  <c:v>1.2949999999999999</c:v>
                </c:pt>
                <c:pt idx="4">
                  <c:v>3.8860000000000001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DB8-134A-83A5-C29F3EB6CDC0}"/>
            </c:ext>
          </c:extLst>
        </c:ser>
        <c:ser>
          <c:idx val="2"/>
          <c:order val="2"/>
          <c:tx>
            <c:strRef>
              <c:f>dış!$E$15</c:f>
              <c:strCache>
                <c:ptCount val="1"/>
                <c:pt idx="0">
                  <c:v>400 ppm </c:v>
                </c:pt>
              </c:strCache>
            </c:strRef>
          </c:tx>
          <c:spPr>
            <a:pattFill prst="wdUpDiag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dış!$B$16:$B$20</c:f>
              <c:strCache>
                <c:ptCount val="5"/>
                <c:pt idx="0">
                  <c:v>Shell defects %</c:v>
                </c:pt>
                <c:pt idx="1">
                  <c:v>Excess calsium deposition %</c:v>
                </c:pt>
                <c:pt idx="2">
                  <c:v>Speckled under candling %</c:v>
                </c:pt>
                <c:pt idx="3">
                  <c:v>Cracks detected under candling %</c:v>
                </c:pt>
                <c:pt idx="4">
                  <c:v>Shell color defects %</c:v>
                </c:pt>
              </c:strCache>
            </c:strRef>
          </c:cat>
          <c:val>
            <c:numRef>
              <c:f>dış!$E$16:$E$20</c:f>
              <c:numCache>
                <c:formatCode>General</c:formatCode>
                <c:ptCount val="5"/>
                <c:pt idx="0">
                  <c:v>2.9329999999999998</c:v>
                </c:pt>
                <c:pt idx="1">
                  <c:v>5.0659999999999998</c:v>
                </c:pt>
                <c:pt idx="2">
                  <c:v>23.466000000000001</c:v>
                </c:pt>
                <c:pt idx="3">
                  <c:v>2.4</c:v>
                </c:pt>
                <c:pt idx="4">
                  <c:v>2.133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DB8-134A-83A5-C29F3EB6CD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522226991"/>
        <c:axId val="1521766031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dış!$D$15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dış!$B$16:$B$20</c15:sqref>
                        </c15:formulaRef>
                      </c:ext>
                    </c:extLst>
                    <c:strCache>
                      <c:ptCount val="5"/>
                      <c:pt idx="0">
                        <c:v>Shell defects %</c:v>
                      </c:pt>
                      <c:pt idx="1">
                        <c:v>Excess calsium deposition %</c:v>
                      </c:pt>
                      <c:pt idx="2">
                        <c:v>Speckled under candling %</c:v>
                      </c:pt>
                      <c:pt idx="3">
                        <c:v>Cracks detected under candling %</c:v>
                      </c:pt>
                      <c:pt idx="4">
                        <c:v>Shell color defects %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dış!$D$16:$D$20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EDB8-134A-83A5-C29F3EB6CDC0}"/>
                  </c:ext>
                </c:extLst>
              </c15:ser>
            </c15:filteredBarSeries>
          </c:ext>
        </c:extLst>
      </c:barChart>
      <c:catAx>
        <c:axId val="152222699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521766031"/>
        <c:crosses val="autoZero"/>
        <c:auto val="1"/>
        <c:lblAlgn val="ctr"/>
        <c:lblOffset val="100"/>
        <c:noMultiLvlLbl val="0"/>
      </c:catAx>
      <c:valAx>
        <c:axId val="152176603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5222269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tr-TR" sz="1200" b="1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Physical Egg Quality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dış!$C$29</c:f>
              <c:strCache>
                <c:ptCount val="1"/>
                <c:pt idx="0">
                  <c:v>Control</c:v>
                </c:pt>
              </c:strCache>
            </c:strRef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dış!$B$30:$B$32</c:f>
              <c:strCache>
                <c:ptCount val="3"/>
                <c:pt idx="0">
                  <c:v>Meat spots (%)</c:v>
                </c:pt>
                <c:pt idx="1">
                  <c:v>Blood spots (%)</c:v>
                </c:pt>
                <c:pt idx="2">
                  <c:v>Egg yolk color</c:v>
                </c:pt>
              </c:strCache>
            </c:strRef>
          </c:cat>
          <c:val>
            <c:numRef>
              <c:f>dış!$C$30:$C$32</c:f>
              <c:numCache>
                <c:formatCode>General</c:formatCode>
                <c:ptCount val="3"/>
                <c:pt idx="0">
                  <c:v>30</c:v>
                </c:pt>
                <c:pt idx="1">
                  <c:v>0</c:v>
                </c:pt>
                <c:pt idx="2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A3-1C42-BB8C-5F5D0FBE778F}"/>
            </c:ext>
          </c:extLst>
        </c:ser>
        <c:ser>
          <c:idx val="1"/>
          <c:order val="1"/>
          <c:tx>
            <c:strRef>
              <c:f>dış!$D$29</c:f>
              <c:strCache>
                <c:ptCount val="1"/>
                <c:pt idx="0">
                  <c:v>400 ppm</c:v>
                </c:pt>
              </c:strCache>
            </c:strRef>
          </c:tx>
          <c:spPr>
            <a:pattFill prst="wdUpDiag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dış!$B$30:$B$32</c:f>
              <c:strCache>
                <c:ptCount val="3"/>
                <c:pt idx="0">
                  <c:v>Meat spots (%)</c:v>
                </c:pt>
                <c:pt idx="1">
                  <c:v>Blood spots (%)</c:v>
                </c:pt>
                <c:pt idx="2">
                  <c:v>Egg yolk color</c:v>
                </c:pt>
              </c:strCache>
            </c:strRef>
          </c:cat>
          <c:val>
            <c:numRef>
              <c:f>dış!$D$30:$D$32</c:f>
              <c:numCache>
                <c:formatCode>General</c:formatCode>
                <c:ptCount val="3"/>
                <c:pt idx="0">
                  <c:v>5</c:v>
                </c:pt>
                <c:pt idx="1">
                  <c:v>0</c:v>
                </c:pt>
                <c:pt idx="2" formatCode="0.00">
                  <c:v>6.05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1A3-1C42-BB8C-5F5D0FBE77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71648415"/>
        <c:axId val="1671650143"/>
      </c:barChart>
      <c:catAx>
        <c:axId val="16716484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671650143"/>
        <c:crosses val="autoZero"/>
        <c:auto val="1"/>
        <c:lblAlgn val="ctr"/>
        <c:lblOffset val="100"/>
        <c:noMultiLvlLbl val="0"/>
      </c:catAx>
      <c:valAx>
        <c:axId val="16716501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tr-TR"/>
          </a:p>
        </c:txPr>
        <c:crossAx val="16716484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tr-T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tr-T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Kalbiye Konanç</dc:creator>
  <cp:keywords/>
  <dc:description/>
  <cp:lastModifiedBy>Kalbiye Konanç</cp:lastModifiedBy>
  <cp:revision>2</cp:revision>
  <dcterms:created xsi:type="dcterms:W3CDTF">2025-01-10T12:13:00Z</dcterms:created>
  <dcterms:modified xsi:type="dcterms:W3CDTF">2025-01-20T08:34:00Z</dcterms:modified>
</cp:coreProperties>
</file>