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35ED4" w14:textId="28AE16FD" w:rsidR="00C60566" w:rsidRPr="00360219" w:rsidRDefault="00C60566" w:rsidP="00C60566">
      <w:pPr>
        <w:pStyle w:val="Caption"/>
        <w:keepNext/>
        <w:spacing w:after="0" w:line="228" w:lineRule="auto"/>
        <w:rPr>
          <w:rFonts w:eastAsia="Times New Roman" w:cstheme="majorBidi"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</w:pPr>
      <w:r w:rsidRPr="00360219">
        <w:rPr>
          <w:rFonts w:eastAsia="Times New Roman" w:cstheme="majorBidi"/>
          <w:b/>
          <w:bCs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  <w:t>Appendix B,</w:t>
      </w:r>
      <w:r w:rsidRPr="00360219">
        <w:rPr>
          <w:rFonts w:eastAsia="Times New Roman" w:cstheme="majorBidi"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  <w:t xml:space="preserve"> the practical guidelines are derived from the findings of key historians and philosophers in the social sciences and humanities (Table S</w:t>
      </w:r>
      <w:r w:rsidR="00F51EDE" w:rsidRPr="00360219">
        <w:rPr>
          <w:rFonts w:eastAsia="Times New Roman" w:cstheme="majorBidi"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  <w:t>5</w:t>
      </w:r>
      <w:r w:rsidRPr="00360219">
        <w:rPr>
          <w:rFonts w:eastAsia="Times New Roman" w:cstheme="majorBidi"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  <w:t>), as well as specialists in urban studies, architecture, urban planning, and urban design (Table S</w:t>
      </w:r>
      <w:r w:rsidR="00F51EDE" w:rsidRPr="00360219">
        <w:rPr>
          <w:rFonts w:eastAsia="Times New Roman" w:cstheme="majorBidi"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  <w:t>6</w:t>
      </w:r>
      <w:r w:rsidRPr="00360219">
        <w:rPr>
          <w:rFonts w:eastAsia="Times New Roman" w:cstheme="majorBidi"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  <w:t>)</w:t>
      </w:r>
      <w:r w:rsidR="00360219">
        <w:rPr>
          <w:rFonts w:eastAsia="Times New Roman" w:cstheme="majorBidi"/>
          <w:i w:val="0"/>
          <w:iCs w:val="0"/>
          <w:noProof w:val="0"/>
          <w:snapToGrid w:val="0"/>
          <w:color w:val="auto"/>
          <w:sz w:val="20"/>
          <w:szCs w:val="20"/>
          <w:lang w:eastAsia="en-GB" w:bidi="en-US"/>
        </w:rPr>
        <w:t>.</w:t>
      </w:r>
    </w:p>
    <w:p w14:paraId="7350599F" w14:textId="2C96B24A" w:rsidR="00C60566" w:rsidRPr="00360219" w:rsidRDefault="00C60566" w:rsidP="00C60566">
      <w:pPr>
        <w:pStyle w:val="Caption"/>
        <w:keepNext/>
        <w:spacing w:before="240" w:after="120" w:line="228" w:lineRule="auto"/>
        <w:rPr>
          <w:rFonts w:cstheme="majorBidi"/>
          <w:b/>
          <w:bCs/>
          <w:i w:val="0"/>
          <w:iCs w:val="0"/>
          <w:color w:val="auto"/>
          <w:sz w:val="20"/>
          <w:szCs w:val="20"/>
        </w:rPr>
      </w:pPr>
      <w:r w:rsidRPr="00360219">
        <w:rPr>
          <w:rFonts w:cstheme="majorBidi"/>
          <w:b/>
          <w:bCs/>
          <w:i w:val="0"/>
          <w:iCs w:val="0"/>
          <w:color w:val="auto"/>
          <w:sz w:val="20"/>
          <w:szCs w:val="20"/>
        </w:rPr>
        <w:t>Table S</w:t>
      </w:r>
      <w:r w:rsidR="00F51EDE" w:rsidRPr="00360219">
        <w:rPr>
          <w:rFonts w:cstheme="majorBidi"/>
          <w:b/>
          <w:bCs/>
          <w:i w:val="0"/>
          <w:iCs w:val="0"/>
          <w:color w:val="auto"/>
          <w:sz w:val="20"/>
          <w:szCs w:val="20"/>
        </w:rPr>
        <w:t>5</w:t>
      </w:r>
      <w:r w:rsidRPr="00360219">
        <w:rPr>
          <w:rFonts w:cstheme="majorBidi"/>
          <w:b/>
          <w:bCs/>
          <w:i w:val="0"/>
          <w:iCs w:val="0"/>
          <w:color w:val="auto"/>
          <w:sz w:val="20"/>
          <w:szCs w:val="20"/>
        </w:rPr>
        <w:t>.</w:t>
      </w:r>
      <w:r w:rsidRPr="00360219">
        <w:rPr>
          <w:rFonts w:cstheme="majorBidi"/>
          <w:color w:val="auto"/>
          <w:sz w:val="20"/>
          <w:szCs w:val="20"/>
        </w:rPr>
        <w:t xml:space="preserve"> </w:t>
      </w:r>
      <w:r w:rsidRPr="00360219">
        <w:rPr>
          <w:rFonts w:cstheme="majorBidi"/>
          <w:i w:val="0"/>
          <w:iCs w:val="0"/>
          <w:color w:val="auto"/>
          <w:sz w:val="20"/>
          <w:szCs w:val="20"/>
        </w:rPr>
        <w:t>Practical guidance from key scholars in social sciences and humanities.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4456"/>
        <w:gridCol w:w="2942"/>
      </w:tblGrid>
      <w:tr w:rsidR="00360219" w:rsidRPr="00360219" w14:paraId="0FD2E41B" w14:textId="77777777" w:rsidTr="005A6D71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C8B26B7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Key Themes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3159215C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Practical Guidance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14:paraId="43618909" w14:textId="77777777" w:rsidR="00C60566" w:rsidRPr="00360219" w:rsidRDefault="00C60566" w:rsidP="005A6D71">
            <w:pPr>
              <w:jc w:val="left"/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Scholars</w:t>
            </w:r>
          </w:p>
        </w:tc>
      </w:tr>
      <w:tr w:rsidR="00360219" w:rsidRPr="00360219" w14:paraId="35238209" w14:textId="77777777" w:rsidTr="005A6D71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28859E60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The role of history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2919960E" w14:textId="77777777" w:rsidR="00C60566" w:rsidRPr="00360219" w:rsidRDefault="00C60566" w:rsidP="005A6D71">
            <w:pPr>
              <w:pStyle w:val="MDPI31text"/>
              <w:spacing w:line="260" w:lineRule="atLeast"/>
              <w:ind w:left="0" w:firstLine="0"/>
              <w:jc w:val="center"/>
              <w:rPr>
                <w:rFonts w:cstheme="majorBidi"/>
                <w:color w:val="auto"/>
                <w:lang w:val="en-GB" w:eastAsia="en-GB"/>
              </w:rPr>
            </w:pPr>
            <w:r w:rsidRPr="00360219">
              <w:rPr>
                <w:rFonts w:cstheme="majorBidi"/>
                <w:color w:val="auto"/>
                <w:lang w:val="en-GB" w:eastAsia="en-GB"/>
              </w:rPr>
              <w:t>Understanding historical events within their contexts, with a deeper analysis of historical texts and perspectives.</w:t>
            </w:r>
          </w:p>
        </w:tc>
        <w:tc>
          <w:tcPr>
            <w:tcW w:w="3520" w:type="dxa"/>
            <w:tcBorders>
              <w:top w:val="single" w:sz="4" w:space="0" w:color="auto"/>
            </w:tcBorders>
          </w:tcPr>
          <w:p w14:paraId="559E4E02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rFonts w:eastAsia="Times New Roman" w:cstheme="majorBidi"/>
                  <w:noProof w:val="0"/>
                  <w:color w:val="auto"/>
                  <w:lang w:val="en-GB" w:eastAsia="en-GB"/>
                </w:rPr>
                <w:id w:val="-1030408116"/>
                <w:citation/>
              </w:sdtPr>
              <w:sdtEndPr/>
              <w:sdtContent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begin"/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eastAsia="en-GB"/>
                  </w:rPr>
                  <w:instrText xml:space="preserve">CITATION Placeholder3 \t  \m Han75 \m Joh06 \l 1033 </w:instrTex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separate"/>
                </w:r>
                <w:r w:rsidR="00C60566" w:rsidRPr="00360219">
                  <w:rPr>
                    <w:rFonts w:eastAsia="Times New Roman" w:cstheme="majorBidi"/>
                    <w:color w:val="auto"/>
                    <w:lang w:val="en-GB" w:eastAsia="en-GB"/>
                  </w:rPr>
                  <w:t>(Dilthey, 2010; Gadamer, 1975; Tosh, 2015)</w: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end"/>
                </w:r>
              </w:sdtContent>
            </w:sdt>
          </w:p>
        </w:tc>
      </w:tr>
      <w:tr w:rsidR="00360219" w:rsidRPr="00360219" w14:paraId="1FE8C217" w14:textId="77777777" w:rsidTr="005A6D71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14:paraId="2E406EE9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Historical phenomena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78EB99BD" w14:textId="77777777" w:rsidR="00C60566" w:rsidRPr="00360219" w:rsidRDefault="00C60566" w:rsidP="005A6D71">
            <w:pPr>
              <w:pStyle w:val="MDPI31text"/>
              <w:spacing w:line="260" w:lineRule="atLeast"/>
              <w:ind w:left="0" w:firstLine="0"/>
              <w:jc w:val="center"/>
              <w:rPr>
                <w:rFonts w:cstheme="majorBidi"/>
                <w:color w:val="auto"/>
                <w:lang w:val="en-GB" w:eastAsia="en-GB"/>
              </w:rPr>
            </w:pPr>
            <w:r w:rsidRPr="00360219">
              <w:rPr>
                <w:rFonts w:cstheme="majorBidi"/>
                <w:color w:val="auto"/>
                <w:lang w:val="en-GB" w:eastAsia="en-GB"/>
              </w:rPr>
              <w:t>Studying the impacts of urbanization and social structures on living spaces and daily experiences.</w:t>
            </w:r>
          </w:p>
        </w:tc>
        <w:tc>
          <w:tcPr>
            <w:tcW w:w="3520" w:type="dxa"/>
            <w:tcBorders>
              <w:top w:val="single" w:sz="4" w:space="0" w:color="auto"/>
            </w:tcBorders>
          </w:tcPr>
          <w:p w14:paraId="0175D13D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rFonts w:eastAsia="Times New Roman" w:cstheme="majorBidi"/>
                  <w:noProof w:val="0"/>
                  <w:color w:val="auto"/>
                  <w:lang w:val="en-GB" w:eastAsia="en-GB"/>
                </w:rPr>
                <w:id w:val="71325790"/>
                <w:citation/>
              </w:sdtPr>
              <w:sdtEndPr/>
              <w:sdtContent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begin"/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eastAsia="en-GB"/>
                  </w:rPr>
                  <w:instrText xml:space="preserve">CITATION Placeholder3 \t  \m Han75 \l 1033 </w:instrTex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separate"/>
                </w:r>
                <w:r w:rsidR="00C60566" w:rsidRPr="00360219">
                  <w:rPr>
                    <w:rFonts w:eastAsia="Times New Roman" w:cstheme="majorBidi"/>
                    <w:color w:val="auto"/>
                    <w:lang w:val="en-GB" w:eastAsia="en-GB"/>
                  </w:rPr>
                  <w:t>(Dilthey, 2010; Gadamer, 1975)</w: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end"/>
                </w:r>
              </w:sdtContent>
            </w:sdt>
          </w:p>
        </w:tc>
      </w:tr>
      <w:tr w:rsidR="00360219" w:rsidRPr="00360219" w14:paraId="4037C087" w14:textId="77777777" w:rsidTr="005A6D71">
        <w:trPr>
          <w:jc w:val="center"/>
        </w:trPr>
        <w:tc>
          <w:tcPr>
            <w:tcW w:w="1560" w:type="dxa"/>
          </w:tcPr>
          <w:p w14:paraId="3F6AB749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Paradigmatic shifts and model change</w:t>
            </w:r>
          </w:p>
        </w:tc>
        <w:tc>
          <w:tcPr>
            <w:tcW w:w="5386" w:type="dxa"/>
          </w:tcPr>
          <w:p w14:paraId="7C064312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noProof w:val="0"/>
                <w:color w:val="auto"/>
                <w:lang w:val="en-GB" w:eastAsia="en-GB"/>
              </w:rPr>
              <w:t>Recognizing the dynamics of historical knowledge and the patterns that drive change, including contradictions that stimulate transformation.</w:t>
            </w:r>
          </w:p>
        </w:tc>
        <w:tc>
          <w:tcPr>
            <w:tcW w:w="3520" w:type="dxa"/>
          </w:tcPr>
          <w:p w14:paraId="17480014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rFonts w:eastAsia="Times New Roman" w:cstheme="majorBidi"/>
                  <w:noProof w:val="0"/>
                  <w:color w:val="auto"/>
                  <w:lang w:val="en-GB" w:eastAsia="en-GB"/>
                </w:rPr>
                <w:id w:val="1702663602"/>
                <w:citation/>
              </w:sdtPr>
              <w:sdtEndPr/>
              <w:sdtContent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begin"/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eastAsia="en-GB"/>
                  </w:rPr>
                  <w:instrText xml:space="preserve"> CITATION Tho62 \l 1033  \m Mic752 \m Joh06</w:instrTex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separate"/>
                </w:r>
                <w:r w:rsidR="00C60566" w:rsidRPr="00360219">
                  <w:rPr>
                    <w:rFonts w:eastAsia="Times New Roman" w:cstheme="majorBidi"/>
                    <w:color w:val="auto"/>
                    <w:lang w:eastAsia="en-GB"/>
                  </w:rPr>
                  <w:t>(Kuhn, 2012; Foucault, 1975; Tosh, 2015)</w: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end"/>
                </w:r>
              </w:sdtContent>
            </w:sdt>
          </w:p>
        </w:tc>
      </w:tr>
      <w:tr w:rsidR="00360219" w:rsidRPr="00360219" w14:paraId="411279B6" w14:textId="77777777" w:rsidTr="005A6D71">
        <w:trPr>
          <w:jc w:val="center"/>
        </w:trPr>
        <w:tc>
          <w:tcPr>
            <w:tcW w:w="1560" w:type="dxa"/>
          </w:tcPr>
          <w:p w14:paraId="35E1DCE6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Transformative analysis</w:t>
            </w:r>
          </w:p>
        </w:tc>
        <w:tc>
          <w:tcPr>
            <w:tcW w:w="5386" w:type="dxa"/>
          </w:tcPr>
          <w:p w14:paraId="34E445F0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noProof w:val="0"/>
                <w:snapToGrid w:val="0"/>
                <w:color w:val="auto"/>
                <w:lang w:val="en-GB" w:eastAsia="en-GB" w:bidi="en-US"/>
              </w:rPr>
              <w:t>Reevaluating existing narratives through dialogue and critical analysis of authoritarian structures.</w:t>
            </w:r>
          </w:p>
        </w:tc>
        <w:tc>
          <w:tcPr>
            <w:tcW w:w="3520" w:type="dxa"/>
          </w:tcPr>
          <w:p w14:paraId="345BCE9F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rFonts w:eastAsia="Times New Roman" w:cstheme="majorBidi"/>
                  <w:noProof w:val="0"/>
                  <w:color w:val="auto"/>
                  <w:lang w:val="en-GB" w:eastAsia="en-GB"/>
                </w:rPr>
                <w:id w:val="859857154"/>
                <w:citation/>
              </w:sdtPr>
              <w:sdtEndPr/>
              <w:sdtContent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begin"/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eastAsia="en-GB"/>
                  </w:rPr>
                  <w:instrText xml:space="preserve"> CITATION Han75 \l 1033  \m Mic752</w:instrTex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separate"/>
                </w:r>
                <w:r w:rsidR="00C60566" w:rsidRPr="00360219">
                  <w:rPr>
                    <w:rFonts w:eastAsia="Times New Roman" w:cstheme="majorBidi"/>
                    <w:color w:val="auto"/>
                    <w:lang w:eastAsia="en-GB"/>
                  </w:rPr>
                  <w:t>(Gadamer, 1975; Foucault, 1975)</w: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end"/>
                </w:r>
              </w:sdtContent>
            </w:sdt>
          </w:p>
        </w:tc>
      </w:tr>
      <w:tr w:rsidR="00C60566" w:rsidRPr="00360219" w14:paraId="78B888A9" w14:textId="77777777" w:rsidTr="005A6D71">
        <w:trPr>
          <w:jc w:val="center"/>
        </w:trPr>
        <w:tc>
          <w:tcPr>
            <w:tcW w:w="1560" w:type="dxa"/>
            <w:tcBorders>
              <w:bottom w:val="single" w:sz="4" w:space="0" w:color="auto"/>
            </w:tcBorders>
          </w:tcPr>
          <w:p w14:paraId="7CD40DAF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Dynamics of power and authority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E1DF938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noProof w:val="0"/>
                <w:snapToGrid w:val="0"/>
                <w:color w:val="auto"/>
                <w:lang w:val="en-GB" w:eastAsia="en-GB" w:bidi="en-US"/>
              </w:rPr>
              <w:t>Focusing on the influence of power and social dynamics in shaping historical narratives and the interplay between individual and collective knowledge.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14:paraId="0EEEC2EC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rFonts w:eastAsia="Times New Roman" w:cstheme="majorBidi"/>
                  <w:noProof w:val="0"/>
                  <w:color w:val="auto"/>
                  <w:lang w:val="en-GB" w:eastAsia="en-GB"/>
                </w:rPr>
                <w:id w:val="-460650303"/>
                <w:citation/>
              </w:sdtPr>
              <w:sdtEndPr/>
              <w:sdtContent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begin"/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eastAsia="en-GB"/>
                  </w:rPr>
                  <w:instrText xml:space="preserve"> CITATION Ber84 \l 1033  \m Joh06</w:instrTex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separate"/>
                </w:r>
                <w:r w:rsidR="00C60566" w:rsidRPr="00360219">
                  <w:rPr>
                    <w:rFonts w:eastAsia="Times New Roman" w:cstheme="majorBidi"/>
                    <w:color w:val="auto"/>
                    <w:lang w:eastAsia="en-GB"/>
                  </w:rPr>
                  <w:t>(Russell, 2009; Tosh, 2015)</w:t>
                </w:r>
                <w:r w:rsidR="00C60566" w:rsidRPr="00360219">
                  <w:rPr>
                    <w:rFonts w:eastAsia="Times New Roman" w:cstheme="majorBidi"/>
                    <w:noProof w:val="0"/>
                    <w:color w:val="auto"/>
                    <w:lang w:val="en-GB" w:eastAsia="en-GB"/>
                  </w:rPr>
                  <w:fldChar w:fldCharType="end"/>
                </w:r>
              </w:sdtContent>
            </w:sdt>
          </w:p>
        </w:tc>
      </w:tr>
    </w:tbl>
    <w:p w14:paraId="792658B5" w14:textId="77777777" w:rsidR="00C96B7A" w:rsidRPr="00360219" w:rsidRDefault="00C96B7A" w:rsidP="00C60566">
      <w:pPr>
        <w:pStyle w:val="MDPI31text"/>
        <w:spacing w:before="60"/>
        <w:ind w:left="0" w:firstLine="0"/>
        <w:rPr>
          <w:color w:val="auto"/>
          <w:szCs w:val="20"/>
        </w:rPr>
      </w:pPr>
    </w:p>
    <w:p w14:paraId="2198CB28" w14:textId="11BAE271" w:rsidR="00C60566" w:rsidRPr="00360219" w:rsidRDefault="00C60566" w:rsidP="00C60566">
      <w:pPr>
        <w:pStyle w:val="Caption"/>
        <w:keepNext/>
        <w:spacing w:before="240" w:after="120" w:line="228" w:lineRule="auto"/>
        <w:rPr>
          <w:rFonts w:cstheme="majorBidi"/>
          <w:b/>
          <w:bCs/>
          <w:i w:val="0"/>
          <w:iCs w:val="0"/>
          <w:color w:val="auto"/>
          <w:sz w:val="20"/>
          <w:szCs w:val="20"/>
        </w:rPr>
      </w:pPr>
      <w:r w:rsidRPr="00360219">
        <w:rPr>
          <w:rFonts w:cstheme="majorBidi"/>
          <w:b/>
          <w:bCs/>
          <w:i w:val="0"/>
          <w:iCs w:val="0"/>
          <w:color w:val="auto"/>
          <w:sz w:val="20"/>
          <w:szCs w:val="20"/>
        </w:rPr>
        <w:t>Table S</w:t>
      </w:r>
      <w:r w:rsidR="00F51EDE" w:rsidRPr="00360219">
        <w:rPr>
          <w:rFonts w:cstheme="majorBidi"/>
          <w:b/>
          <w:bCs/>
          <w:i w:val="0"/>
          <w:iCs w:val="0"/>
          <w:color w:val="auto"/>
          <w:sz w:val="20"/>
          <w:szCs w:val="20"/>
        </w:rPr>
        <w:t>6</w:t>
      </w:r>
      <w:r w:rsidRPr="00360219">
        <w:rPr>
          <w:rFonts w:cstheme="majorBidi"/>
          <w:b/>
          <w:bCs/>
          <w:i w:val="0"/>
          <w:iCs w:val="0"/>
          <w:color w:val="auto"/>
          <w:sz w:val="20"/>
          <w:szCs w:val="20"/>
        </w:rPr>
        <w:t>.</w:t>
      </w:r>
      <w:r w:rsidRPr="00360219">
        <w:rPr>
          <w:rFonts w:cstheme="majorBidi"/>
          <w:color w:val="auto"/>
          <w:sz w:val="20"/>
          <w:szCs w:val="20"/>
        </w:rPr>
        <w:t xml:space="preserve"> </w:t>
      </w:r>
      <w:r w:rsidRPr="00360219">
        <w:rPr>
          <w:rFonts w:cstheme="majorBidi"/>
          <w:i w:val="0"/>
          <w:iCs w:val="0"/>
          <w:color w:val="auto"/>
          <w:sz w:val="20"/>
          <w:szCs w:val="20"/>
        </w:rPr>
        <w:t>Practical guidance from key scholars in architecteyr, urban planning and urban design.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4461"/>
        <w:gridCol w:w="2937"/>
      </w:tblGrid>
      <w:tr w:rsidR="00360219" w:rsidRPr="00360219" w14:paraId="49F087B3" w14:textId="77777777" w:rsidTr="005A6D71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67C81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Key Themes</w:t>
            </w:r>
          </w:p>
        </w:tc>
        <w:tc>
          <w:tcPr>
            <w:tcW w:w="5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3678C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Practical Guidance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83FB3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Scholars</w:t>
            </w:r>
          </w:p>
        </w:tc>
      </w:tr>
      <w:tr w:rsidR="00360219" w:rsidRPr="00360219" w14:paraId="2FE061B9" w14:textId="77777777" w:rsidTr="005A6D71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2B76B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The role of history</w:t>
            </w:r>
          </w:p>
        </w:tc>
        <w:tc>
          <w:tcPr>
            <w:tcW w:w="5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35219" w14:textId="77777777" w:rsidR="00C60566" w:rsidRPr="00360219" w:rsidRDefault="00C60566" w:rsidP="005A6D71">
            <w:pPr>
              <w:pStyle w:val="MDPI31text"/>
              <w:spacing w:line="260" w:lineRule="atLeast"/>
              <w:ind w:left="0" w:firstLine="0"/>
              <w:jc w:val="center"/>
              <w:rPr>
                <w:color w:val="auto"/>
              </w:rPr>
            </w:pPr>
            <w:r w:rsidRPr="00360219">
              <w:rPr>
                <w:color w:val="auto"/>
              </w:rPr>
              <w:t>Critically analyze historical precedents, avoiding romanticized or uncritical acceptance. Identify underlying principles and biases. Apply lessons learned to contemporary challenges.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154D6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color w:val="auto"/>
                </w:rPr>
                <w:id w:val="427930133"/>
                <w:citation/>
              </w:sdtPr>
              <w:sdtEndPr/>
              <w:sdtContent>
                <w:r w:rsidR="00C60566" w:rsidRPr="00360219">
                  <w:rPr>
                    <w:color w:val="auto"/>
                  </w:rPr>
                  <w:fldChar w:fldCharType="begin"/>
                </w:r>
                <w:r w:rsidR="00C60566" w:rsidRPr="00360219">
                  <w:rPr>
                    <w:color w:val="auto"/>
                  </w:rPr>
                  <w:instrText xml:space="preserve">CITATION Ebe02 \t  \m Spi91 \m Lew611 \m Ros66 \m Placeholder5 \m Man80 \l 1033 </w:instrText>
                </w:r>
                <w:r w:rsidR="00C60566" w:rsidRPr="00360219">
                  <w:rPr>
                    <w:color w:val="auto"/>
                  </w:rPr>
                  <w:fldChar w:fldCharType="separate"/>
                </w:r>
                <w:r w:rsidR="00C60566" w:rsidRPr="00360219">
                  <w:rPr>
                    <w:color w:val="auto"/>
                  </w:rPr>
                  <w:t>(Howard, 2003; Kostof, 1999; Mumford, 1968; Rossi, 1984; Sitte, 1965; Tafuri, 1980)</w:t>
                </w:r>
                <w:r w:rsidR="00C60566" w:rsidRPr="00360219">
                  <w:rPr>
                    <w:color w:val="auto"/>
                  </w:rPr>
                  <w:fldChar w:fldCharType="end"/>
                </w:r>
              </w:sdtContent>
            </w:sdt>
          </w:p>
        </w:tc>
      </w:tr>
      <w:tr w:rsidR="00360219" w:rsidRPr="00360219" w14:paraId="6E58B713" w14:textId="77777777" w:rsidTr="005A6D71">
        <w:trPr>
          <w:trHeight w:val="81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1B0BA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Historical phenomena</w:t>
            </w:r>
          </w:p>
        </w:tc>
        <w:tc>
          <w:tcPr>
            <w:tcW w:w="5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5A418" w14:textId="77777777" w:rsidR="00C60566" w:rsidRPr="00360219" w:rsidRDefault="00C60566" w:rsidP="005A6D71">
            <w:pPr>
              <w:pStyle w:val="MDPI31text"/>
              <w:spacing w:line="260" w:lineRule="atLeast"/>
              <w:ind w:left="0" w:firstLine="0"/>
              <w:jc w:val="center"/>
              <w:rPr>
                <w:color w:val="auto"/>
              </w:rPr>
            </w:pPr>
            <w:r w:rsidRPr="00360219">
              <w:rPr>
                <w:color w:val="auto"/>
              </w:rPr>
              <w:t>Understand historical contexts as dynamic forces shaping current urban forms. Draw inspiration from successful historical patterns, adapting them to modern needs and technologies. Avoid simple imitation.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4DC00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color w:val="auto"/>
                </w:rPr>
                <w:id w:val="1352222761"/>
                <w:citation/>
              </w:sdtPr>
              <w:sdtEndPr/>
              <w:sdtContent>
                <w:r w:rsidR="00C60566" w:rsidRPr="00360219">
                  <w:rPr>
                    <w:color w:val="auto"/>
                  </w:rPr>
                  <w:fldChar w:fldCharType="begin"/>
                </w:r>
                <w:r w:rsidR="00C60566" w:rsidRPr="00360219">
                  <w:rPr>
                    <w:color w:val="auto"/>
                  </w:rPr>
                  <w:instrText xml:space="preserve">CITATION Ben80 \m Sig54 \m Jan61 \m Spi91 \m Dav05 \l 1033 </w:instrText>
                </w:r>
                <w:r w:rsidR="00C60566" w:rsidRPr="00360219">
                  <w:rPr>
                    <w:color w:val="auto"/>
                  </w:rPr>
                  <w:fldChar w:fldCharType="separate"/>
                </w:r>
                <w:r w:rsidR="00C60566" w:rsidRPr="00360219">
                  <w:rPr>
                    <w:color w:val="auto"/>
                  </w:rPr>
                  <w:t>(Benevolo, 1982; Giedion, 2009; Jacobs J. , 1993; Kostof, 1999; Shane, 2005)</w:t>
                </w:r>
                <w:r w:rsidR="00C60566" w:rsidRPr="00360219">
                  <w:rPr>
                    <w:color w:val="auto"/>
                  </w:rPr>
                  <w:fldChar w:fldCharType="end"/>
                </w:r>
              </w:sdtContent>
            </w:sdt>
          </w:p>
        </w:tc>
      </w:tr>
      <w:tr w:rsidR="00360219" w:rsidRPr="00360219" w14:paraId="1148026D" w14:textId="77777777" w:rsidTr="005A6D71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45441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Paradigmatic shifts and change</w:t>
            </w:r>
          </w:p>
        </w:tc>
        <w:tc>
          <w:tcPr>
            <w:tcW w:w="5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1214B" w14:textId="77777777" w:rsidR="00C60566" w:rsidRPr="00360219" w:rsidRDefault="00C60566" w:rsidP="005A6D71">
            <w:pPr>
              <w:pStyle w:val="MDPI31text"/>
              <w:spacing w:line="260" w:lineRule="atLeast"/>
              <w:ind w:left="0" w:firstLine="0"/>
              <w:jc w:val="center"/>
              <w:rPr>
                <w:color w:val="auto"/>
              </w:rPr>
            </w:pPr>
            <w:r w:rsidRPr="00360219">
              <w:rPr>
                <w:color w:val="auto"/>
              </w:rPr>
              <w:t>Studying the evolution of design ideas and theories. Identify successful and unsuccessful paradigm shifts. Use historical analysis to inform the selection and development of contemporary design approaches.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738B9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color w:val="auto"/>
                </w:rPr>
                <w:id w:val="-708560957"/>
                <w:citation/>
              </w:sdtPr>
              <w:sdtEndPr/>
              <w:sdtContent>
                <w:r w:rsidR="00C60566" w:rsidRPr="00360219">
                  <w:rPr>
                    <w:color w:val="auto"/>
                  </w:rPr>
                  <w:fldChar w:fldCharType="begin"/>
                </w:r>
                <w:r w:rsidR="00C60566" w:rsidRPr="00360219">
                  <w:rPr>
                    <w:color w:val="auto"/>
                  </w:rPr>
                  <w:instrText xml:space="preserve">CITATION Jan61 \m Lew611 \m Dav05 \l 1033 </w:instrText>
                </w:r>
                <w:r w:rsidR="00C60566" w:rsidRPr="00360219">
                  <w:rPr>
                    <w:color w:val="auto"/>
                  </w:rPr>
                  <w:fldChar w:fldCharType="separate"/>
                </w:r>
                <w:r w:rsidR="00C60566" w:rsidRPr="00360219">
                  <w:rPr>
                    <w:color w:val="auto"/>
                  </w:rPr>
                  <w:t>(Jacobs J. , 1993; Mumford, 1968; Shane, 2005)</w:t>
                </w:r>
                <w:r w:rsidR="00C60566" w:rsidRPr="00360219">
                  <w:rPr>
                    <w:color w:val="auto"/>
                  </w:rPr>
                  <w:fldChar w:fldCharType="end"/>
                </w:r>
              </w:sdtContent>
            </w:sdt>
          </w:p>
        </w:tc>
      </w:tr>
      <w:tr w:rsidR="00360219" w:rsidRPr="00360219" w14:paraId="4A6FD2E6" w14:textId="77777777" w:rsidTr="005A6D71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1D4C2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Transformative analysis</w:t>
            </w:r>
          </w:p>
        </w:tc>
        <w:tc>
          <w:tcPr>
            <w:tcW w:w="5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BE30D" w14:textId="77777777" w:rsidR="00C60566" w:rsidRPr="00360219" w:rsidRDefault="00C60566" w:rsidP="005A6D71">
            <w:pPr>
              <w:pStyle w:val="MDPI31text"/>
              <w:spacing w:line="260" w:lineRule="atLeast"/>
              <w:ind w:left="0" w:firstLine="0"/>
              <w:jc w:val="center"/>
              <w:rPr>
                <w:rFonts w:cstheme="majorBidi"/>
                <w:color w:val="auto"/>
                <w:lang w:val="en-GB" w:eastAsia="en-GB"/>
              </w:rPr>
            </w:pPr>
            <w:r w:rsidRPr="00360219">
              <w:rPr>
                <w:color w:val="auto"/>
              </w:rPr>
              <w:t>Analyze the interplay between design paradigms and historical context. Examine how changing social, economic, and technological forces shape urban development and design thinking.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25BFE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color w:val="auto"/>
                </w:rPr>
                <w:id w:val="-1522239344"/>
                <w:citation/>
              </w:sdtPr>
              <w:sdtEndPr/>
              <w:sdtContent>
                <w:r w:rsidR="00C60566" w:rsidRPr="00360219">
                  <w:rPr>
                    <w:color w:val="auto"/>
                  </w:rPr>
                  <w:fldChar w:fldCharType="begin"/>
                </w:r>
                <w:r w:rsidR="00C60566" w:rsidRPr="00360219">
                  <w:rPr>
                    <w:color w:val="auto"/>
                  </w:rPr>
                  <w:instrText xml:space="preserve">CITATION Sig54 \m Jan61 \m Spi91 \m Lew611 \m Ros66 \m Man80 \l 1033 </w:instrText>
                </w:r>
                <w:r w:rsidR="00C60566" w:rsidRPr="00360219">
                  <w:rPr>
                    <w:color w:val="auto"/>
                  </w:rPr>
                  <w:fldChar w:fldCharType="separate"/>
                </w:r>
                <w:r w:rsidR="00C60566" w:rsidRPr="00360219">
                  <w:rPr>
                    <w:color w:val="auto"/>
                  </w:rPr>
                  <w:t>(Giedion, 2009; Jacobs J. , 1993; Kostof, 1999; Mumford, 1968; Rossi, 1984; Tafuri, 1980)</w:t>
                </w:r>
                <w:r w:rsidR="00C60566" w:rsidRPr="00360219">
                  <w:rPr>
                    <w:color w:val="auto"/>
                  </w:rPr>
                  <w:fldChar w:fldCharType="end"/>
                </w:r>
              </w:sdtContent>
            </w:sdt>
          </w:p>
        </w:tc>
      </w:tr>
      <w:tr w:rsidR="00360219" w:rsidRPr="00360219" w14:paraId="28AC4C30" w14:textId="77777777" w:rsidTr="005A6D71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AA12A" w14:textId="77777777" w:rsidR="00C60566" w:rsidRPr="00360219" w:rsidRDefault="00C60566" w:rsidP="005A6D71">
            <w:pPr>
              <w:jc w:val="center"/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</w:pPr>
            <w:r w:rsidRPr="00360219">
              <w:rPr>
                <w:rFonts w:eastAsia="Times New Roman" w:cstheme="majorBidi"/>
                <w:b/>
                <w:bCs/>
                <w:noProof w:val="0"/>
                <w:color w:val="auto"/>
                <w:lang w:val="en-GB" w:eastAsia="en-GB"/>
              </w:rPr>
              <w:t>Dynamics of power and authority</w:t>
            </w:r>
          </w:p>
        </w:tc>
        <w:tc>
          <w:tcPr>
            <w:tcW w:w="54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59968" w14:textId="77777777" w:rsidR="00C60566" w:rsidRPr="00360219" w:rsidRDefault="00C60566" w:rsidP="005A6D71">
            <w:pPr>
              <w:pStyle w:val="MDPI31text"/>
              <w:spacing w:line="260" w:lineRule="atLeast"/>
              <w:ind w:left="0" w:firstLine="0"/>
              <w:jc w:val="center"/>
              <w:rPr>
                <w:rFonts w:cstheme="majorBidi"/>
                <w:color w:val="auto"/>
                <w:lang w:val="en-GB" w:eastAsia="en-GB"/>
              </w:rPr>
            </w:pPr>
            <w:r w:rsidRPr="00360219">
              <w:rPr>
                <w:color w:val="auto"/>
              </w:rPr>
              <w:t xml:space="preserve">Acknowledge the influence of power structures on urban form and design decisions. Analyze historical projects to understand the impact of </w:t>
            </w:r>
            <w:r w:rsidRPr="00360219">
              <w:rPr>
                <w:color w:val="auto"/>
              </w:rPr>
              <w:lastRenderedPageBreak/>
              <w:t>power on urban outcomes. Advocate for equitable and inclusive design practices.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AF9C1" w14:textId="77777777" w:rsidR="00C60566" w:rsidRPr="00360219" w:rsidRDefault="00360219" w:rsidP="005A6D71">
            <w:pPr>
              <w:jc w:val="center"/>
              <w:rPr>
                <w:rFonts w:eastAsia="Times New Roman" w:cstheme="majorBidi"/>
                <w:noProof w:val="0"/>
                <w:color w:val="auto"/>
                <w:lang w:val="en-GB" w:eastAsia="en-GB"/>
              </w:rPr>
            </w:pPr>
            <w:sdt>
              <w:sdtPr>
                <w:rPr>
                  <w:color w:val="auto"/>
                </w:rPr>
                <w:id w:val="-463895032"/>
                <w:citation/>
              </w:sdtPr>
              <w:sdtEndPr/>
              <w:sdtContent>
                <w:r w:rsidR="00C60566" w:rsidRPr="00360219">
                  <w:rPr>
                    <w:color w:val="auto"/>
                  </w:rPr>
                  <w:fldChar w:fldCharType="begin"/>
                </w:r>
                <w:r w:rsidR="00C60566" w:rsidRPr="00360219">
                  <w:rPr>
                    <w:color w:val="auto"/>
                  </w:rPr>
                  <w:instrText xml:space="preserve">CITATION Sig54 \m Jan61 \m Spi91 \m Lew611 \m Ros66 \m Man80 \l 1033 </w:instrText>
                </w:r>
                <w:r w:rsidR="00C60566" w:rsidRPr="00360219">
                  <w:rPr>
                    <w:color w:val="auto"/>
                  </w:rPr>
                  <w:fldChar w:fldCharType="separate"/>
                </w:r>
                <w:r w:rsidR="00C60566" w:rsidRPr="00360219">
                  <w:rPr>
                    <w:color w:val="auto"/>
                  </w:rPr>
                  <w:t>(Giedion, 2009; Jacobs J. , 1993; Kostof, 1999; Mumford, 1968; Rossi, 1984; Tafuri, 1980)</w:t>
                </w:r>
                <w:r w:rsidR="00C60566" w:rsidRPr="00360219">
                  <w:rPr>
                    <w:color w:val="auto"/>
                  </w:rPr>
                  <w:fldChar w:fldCharType="end"/>
                </w:r>
              </w:sdtContent>
            </w:sdt>
          </w:p>
        </w:tc>
      </w:tr>
    </w:tbl>
    <w:p w14:paraId="136B9751" w14:textId="77777777" w:rsidR="00C60566" w:rsidRPr="00360219" w:rsidRDefault="00C60566" w:rsidP="00C60566">
      <w:pPr>
        <w:pStyle w:val="MDPI31text"/>
        <w:spacing w:before="60"/>
        <w:ind w:left="0" w:firstLine="0"/>
        <w:rPr>
          <w:color w:val="auto"/>
        </w:rPr>
      </w:pPr>
    </w:p>
    <w:sectPr w:rsidR="00C60566" w:rsidRPr="00360219" w:rsidSect="0078487D">
      <w:type w:val="continuous"/>
      <w:pgSz w:w="11906" w:h="16838" w:code="9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66"/>
    <w:rsid w:val="00295649"/>
    <w:rsid w:val="00360219"/>
    <w:rsid w:val="00393BED"/>
    <w:rsid w:val="003C782F"/>
    <w:rsid w:val="006F455A"/>
    <w:rsid w:val="0078487D"/>
    <w:rsid w:val="00C60566"/>
    <w:rsid w:val="00C96B7A"/>
    <w:rsid w:val="00F5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5F993"/>
  <w15:chartTrackingRefBased/>
  <w15:docId w15:val="{7296F216-EE91-4DEB-9E7D-82372611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6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566"/>
    <w:pPr>
      <w:keepNext/>
      <w:keepLines/>
      <w:spacing w:before="360" w:after="80" w:line="240" w:lineRule="auto"/>
      <w:jc w:val="left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566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566"/>
    <w:pPr>
      <w:keepNext/>
      <w:keepLines/>
      <w:spacing w:before="160" w:after="80" w:line="240" w:lineRule="auto"/>
      <w:jc w:val="left"/>
      <w:outlineLvl w:val="2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566"/>
    <w:pPr>
      <w:keepNext/>
      <w:keepLines/>
      <w:spacing w:before="80" w:after="40" w:line="240" w:lineRule="auto"/>
      <w:jc w:val="left"/>
      <w:outlineLvl w:val="3"/>
    </w:pPr>
    <w:rPr>
      <w:rFonts w:asciiTheme="minorHAnsi" w:eastAsiaTheme="majorEastAsia" w:hAnsiTheme="minorHAnsi" w:cstheme="majorBidi"/>
      <w:i/>
      <w:iCs/>
      <w:noProof w:val="0"/>
      <w:color w:val="2F5496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566"/>
    <w:pPr>
      <w:keepNext/>
      <w:keepLines/>
      <w:spacing w:before="80" w:after="40" w:line="240" w:lineRule="auto"/>
      <w:jc w:val="left"/>
      <w:outlineLvl w:val="4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566"/>
    <w:pPr>
      <w:keepNext/>
      <w:keepLines/>
      <w:spacing w:before="40" w:line="240" w:lineRule="auto"/>
      <w:jc w:val="left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566"/>
    <w:pPr>
      <w:keepNext/>
      <w:keepLines/>
      <w:spacing w:before="40" w:line="240" w:lineRule="auto"/>
      <w:jc w:val="left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566"/>
    <w:pPr>
      <w:keepNext/>
      <w:keepLines/>
      <w:spacing w:line="240" w:lineRule="auto"/>
      <w:jc w:val="left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566"/>
    <w:pPr>
      <w:keepNext/>
      <w:keepLines/>
      <w:spacing w:line="240" w:lineRule="auto"/>
      <w:jc w:val="left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5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5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5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5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5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5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5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5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5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0566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noProof w:val="0"/>
      <w:color w:val="auto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605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566"/>
    <w:pPr>
      <w:numPr>
        <w:ilvl w:val="1"/>
      </w:numPr>
      <w:spacing w:after="160" w:line="240" w:lineRule="auto"/>
      <w:jc w:val="left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605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0566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605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0566"/>
    <w:pPr>
      <w:spacing w:line="240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color w:val="auto"/>
      <w:kern w:val="2"/>
      <w:sz w:val="22"/>
      <w:szCs w:val="2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605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5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F5496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5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056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60566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qFormat/>
    <w:rsid w:val="00C6056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C6056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Placeholder3</b:Tag>
    <b:SourceType>Book</b:SourceType>
    <b:Guid>{92A4F121-EF83-47C4-8BD3-C5EFA6F2AAD4}</b:Guid>
    <b:LCID>en-GB</b:LCID>
    <b:Title>Wilhelm Dilthey: Selected works, Volume IV: Hermeneutics and the study of history</b:Title>
    <b:Year>2010</b:Year>
    <b:Author>
      <b:Author>
        <b:NameList>
          <b:Person>
            <b:Last>Dilthey</b:Last>
            <b:First>Wilhelm</b:First>
          </b:Person>
        </b:NameList>
      </b:Author>
      <b:Editor>
        <b:NameList>
          <b:Person>
            <b:Last>Makkreel</b:Last>
            <b:First>Rudolf</b:First>
            <b:Middle>A.</b:Middle>
          </b:Person>
          <b:Person>
            <b:Last>Rodi</b:Last>
            <b:First>Frithjof</b:First>
          </b:Person>
        </b:NameList>
      </b:Editor>
    </b:Author>
    <b:BookTitle>Selected works: Volume IV: Hermeneutics and the study of history</b:BookTitle>
    <b:City>Princeton, New Jersey, USA</b:City>
    <b:Publisher>Princeton University Press</b:Publisher>
    <b:RefOrder>2</b:RefOrder>
  </b:Source>
  <b:Source>
    <b:Tag>Han75</b:Tag>
    <b:SourceType>Book</b:SourceType>
    <b:Guid>{F7D1FEBA-D910-4C89-929B-B2C639BA1255}</b:Guid>
    <b:LCID>en-GB</b:LCID>
    <b:Author>
      <b:Author>
        <b:NameList>
          <b:Person>
            <b:Last>Gadamer</b:Last>
            <b:First>Hans-Georg</b:First>
          </b:Person>
        </b:NameList>
      </b:Author>
    </b:Author>
    <b:Title>Truth and method</b:Title>
    <b:Year>1975</b:Year>
    <b:City>Michigan, USA</b:City>
    <b:Publisher>Seabury Press</b:Publisher>
    <b:RefOrder>18</b:RefOrder>
  </b:Source>
  <b:Source>
    <b:Tag>Joh06</b:Tag>
    <b:SourceType>Book</b:SourceType>
    <b:Guid>{82674A91-C609-4775-89BD-AEAB601BC8EE}</b:Guid>
    <b:LCID>en-GB</b:LCID>
    <b:Title>The pursuit of history: Aims, methods and new directions in the study of modern history</b:Title>
    <b:Year>2015</b:Year>
    <b:Author>
      <b:Author>
        <b:NameList>
          <b:Person>
            <b:Last>Tosh</b:Last>
            <b:First>John</b:First>
          </b:Person>
        </b:NameList>
      </b:Author>
    </b:Author>
    <b:City>London, UK</b:City>
    <b:Publisher>Routledge</b:Publisher>
    <b:RefOrder>4</b:RefOrder>
  </b:Source>
  <b:Source>
    <b:Tag>Tho62</b:Tag>
    <b:SourceType>Book</b:SourceType>
    <b:Guid>{02D5E3C6-9D79-47D4-9494-10B7B1768A14}</b:Guid>
    <b:LCID>en-GB</b:LCID>
    <b:Author>
      <b:Author>
        <b:NameList>
          <b:Person>
            <b:Last>Kuhn</b:Last>
            <b:First>Thomas</b:First>
          </b:Person>
        </b:NameList>
      </b:Author>
    </b:Author>
    <b:Title>The structure of scientific revolutions</b:Title>
    <b:Year>2012</b:Year>
    <b:City>Chicago</b:City>
    <b:Publisher>University of Chicago Press</b:Publisher>
    <b:RefOrder>3</b:RefOrder>
  </b:Source>
  <b:Source>
    <b:Tag>Mic752</b:Tag>
    <b:SourceType>Book</b:SourceType>
    <b:Guid>{B77ED937-5823-43E3-BA54-4468A29A874B}</b:Guid>
    <b:LCID>en-GB</b:LCID>
    <b:Title>The order of things: An archaeology of the human sciences</b:Title>
    <b:Year>1975</b:Year>
    <b:Author>
      <b:Author>
        <b:NameList>
          <b:Person>
            <b:Last>Foucault</b:Last>
            <b:First>Michel</b:First>
          </b:Person>
        </b:NameList>
      </b:Author>
    </b:Author>
    <b:City>London, UK</b:City>
    <b:Publisher>Tavistock</b:Publisher>
    <b:RefOrder>19</b:RefOrder>
  </b:Source>
  <b:Source>
    <b:Tag>Ber84</b:Tag>
    <b:SourceType>Book</b:SourceType>
    <b:Guid>{7C56E39C-3675-4DFE-93F2-3365459E90DE}</b:Guid>
    <b:LCID>en-GB</b:LCID>
    <b:Title>Human knowledge: Its scope and limits</b:Title>
    <b:Year>2009</b:Year>
    <b:Author>
      <b:Author>
        <b:NameList>
          <b:Person>
            <b:Last>Russell</b:Last>
            <b:First>Bertrand</b:First>
          </b:Person>
        </b:NameList>
      </b:Author>
    </b:Author>
    <b:City>London, UK</b:City>
    <b:Publisher>Routledge</b:Publisher>
    <b:RefOrder>20</b:RefOrder>
  </b:Source>
  <b:Source>
    <b:Tag>Ebe02</b:Tag>
    <b:SourceType>JournalArticle</b:SourceType>
    <b:Guid>{67CC9319-206F-464A-9A2F-293CCAC3929B}</b:Guid>
    <b:LCID>en-GB</b:LCID>
    <b:Author>
      <b:Author>
        <b:NameList>
          <b:Person>
            <b:Last>Howard</b:Last>
            <b:First>Ebenezer</b:First>
          </b:Person>
        </b:NameList>
      </b:Author>
    </b:Author>
    <b:Title>Garden cities of tomorrow</b:Title>
    <b:Year>2003</b:Year>
    <b:JournalName>Organization &amp; Environment</b:JournalName>
    <b:Pages>98–107</b:Pages>
    <b:Volume>16</b:Volume>
    <b:Issue>1</b:Issue>
    <b:RefOrder>22</b:RefOrder>
  </b:Source>
  <b:Source>
    <b:Tag>Spi91</b:Tag>
    <b:SourceType>Book</b:SourceType>
    <b:Guid>{E449852E-45FA-4D1D-B848-75A0611E9FFA}</b:Guid>
    <b:LCID>en-GB</b:LCID>
    <b:Author>
      <b:Author>
        <b:NameList>
          <b:Person>
            <b:Last>Kostof</b:Last>
            <b:First>Spiro</b:First>
          </b:Person>
        </b:NameList>
      </b:Author>
    </b:Author>
    <b:Title>The city shaped: Urban patterns and meanings through history</b:Title>
    <b:Year>1999</b:Year>
    <b:City>London</b:City>
    <b:Publisher>Thames &amp; Hudson</b:Publisher>
    <b:RefOrder>8</b:RefOrder>
  </b:Source>
  <b:Source>
    <b:Tag>Lew611</b:Tag>
    <b:SourceType>Book</b:SourceType>
    <b:Guid>{953F61BC-B2DE-4FE7-AFAB-CDDF959B7AFA}</b:Guid>
    <b:LCID>en-GB</b:LCID>
    <b:Title>The city in history: Its origins, its transformations, and its prospects</b:Title>
    <b:Year>1968</b:Year>
    <b:City>Boston</b:City>
    <b:Publisher>Mariner Books</b:Publisher>
    <b:Author>
      <b:Author>
        <b:NameList>
          <b:Person>
            <b:Last>Mumford</b:Last>
            <b:First>Lewis</b:First>
          </b:Person>
        </b:NameList>
      </b:Author>
    </b:Author>
    <b:RefOrder>6</b:RefOrder>
  </b:Source>
  <b:Source>
    <b:Tag>Ros66</b:Tag>
    <b:SourceType>Book</b:SourceType>
    <b:Guid>{49421BDB-00A1-4DBE-A5AB-22F20A4D0EB7}</b:Guid>
    <b:Title>The architecture of the city</b:Title>
    <b:Year>1984</b:Year>
    <b:City>Cambridge, Massachusetts</b:City>
    <b:Publisher>The MIT Press</b:Publisher>
    <b:Author>
      <b:Author>
        <b:NameList>
          <b:Person>
            <b:Last>Rossi</b:Last>
            <b:First>Aldo</b:First>
          </b:Person>
        </b:NameList>
      </b:Author>
    </b:Author>
    <b:LCID>en-GB</b:LCID>
    <b:RefOrder>24</b:RefOrder>
  </b:Source>
  <b:Source>
    <b:Tag>Placeholder5</b:Tag>
    <b:SourceType>Book</b:SourceType>
    <b:Guid>{379C2303-8232-4538-90A0-B3C5B0D46129}</b:Guid>
    <b:LCID>en-GB</b:LCID>
    <b:Title>City planning according to artistic principles</b:Title>
    <b:Year>1965</b:Year>
    <b:City>London, UK</b:City>
    <b:Publisher>Phaidon Press</b:Publisher>
    <b:Author>
      <b:Author>
        <b:NameList>
          <b:Person>
            <b:Last>Sitte</b:Last>
            <b:First>Camillo</b:First>
          </b:Person>
        </b:NameList>
      </b:Author>
      <b:Translator>
        <b:NameList>
          <b:Person>
            <b:Last>Collins</b:Last>
            <b:First>George</b:First>
            <b:Middle>R.</b:Middle>
          </b:Person>
          <b:Person>
            <b:Last>Collins</b:Last>
            <b:First>Christiane</b:First>
            <b:Middle>Crasemann</b:Middle>
          </b:Person>
        </b:NameList>
      </b:Translator>
    </b:Author>
    <b:RefOrder>21</b:RefOrder>
  </b:Source>
  <b:Source>
    <b:Tag>Man80</b:Tag>
    <b:SourceType>Book</b:SourceType>
    <b:Guid>{C4BD200C-26FF-4369-8EFE-F7F29EC71E90}</b:Guid>
    <b:Title>Theories and history of architecture</b:Title>
    <b:Year>1980</b:Year>
    <b:City>New York</b:City>
    <b:LCID>en-GB</b:LCID>
    <b:Author>
      <b:Author>
        <b:NameList>
          <b:Person>
            <b:Last>Tafuri</b:Last>
            <b:First>Manfredo</b:First>
          </b:Person>
        </b:NameList>
      </b:Author>
    </b:Author>
    <b:Publisher>‎Harper &amp; Row, Publishers</b:Publisher>
    <b:RefOrder>25</b:RefOrder>
  </b:Source>
  <b:Source>
    <b:Tag>Ben80</b:Tag>
    <b:SourceType>Book</b:SourceType>
    <b:Guid>{9BAE2112-E636-4B3E-9CEE-565C6C8FFAE8}</b:Guid>
    <b:LCID>en-US</b:LCID>
    <b:Author>
      <b:Author>
        <b:NameList>
          <b:Person>
            <b:Last>Benevolo</b:Last>
            <b:First>Leonardo</b:First>
          </b:Person>
        </b:NameList>
      </b:Author>
    </b:Author>
    <b:Title>The history of the city</b:Title>
    <b:Year>1982</b:Year>
    <b:City>Cambridge, Massachusetts</b:City>
    <b:Publisher>MIT Press</b:Publisher>
    <b:RefOrder>14</b:RefOrder>
  </b:Source>
  <b:Source>
    <b:Tag>Sig54</b:Tag>
    <b:SourceType>Book</b:SourceType>
    <b:Guid>{563713EA-1628-4EE8-9679-8717C11279C4}</b:Guid>
    <b:LCID>en-GB</b:LCID>
    <b:Title>Space, time, and architecture: The growth of a new tradition</b:Title>
    <b:Year>2009</b:Year>
    <b:City>Cambridge, Massachusetts</b:City>
    <b:Publisher>Harvard University Press</b:Publisher>
    <b:Volume>2</b:Volume>
    <b:Author>
      <b:Author>
        <b:NameList>
          <b:Person>
            <b:Last>Giedion</b:Last>
            <b:First>Sigfried</b:First>
          </b:Person>
        </b:NameList>
      </b:Author>
    </b:Author>
    <b:RefOrder>15</b:RefOrder>
  </b:Source>
  <b:Source>
    <b:Tag>Jan61</b:Tag>
    <b:SourceType>Book</b:SourceType>
    <b:Guid>{77F22C78-1560-4354-9B85-D9900BB18144}</b:Guid>
    <b:LCID>en-GB</b:LCID>
    <b:Author>
      <b:Author>
        <b:NameList>
          <b:Person>
            <b:Last>Jacobs</b:Last>
            <b:First>Jane</b:First>
          </b:Person>
        </b:NameList>
      </b:Author>
    </b:Author>
    <b:Title>The death and life of great American cities</b:Title>
    <b:Year>1993</b:Year>
    <b:City>New York</b:City>
    <b:Publisher>Random House</b:Publisher>
    <b:RefOrder>7</b:RefOrder>
  </b:Source>
  <b:Source>
    <b:Tag>Dav05</b:Tag>
    <b:SourceType>Book</b:SourceType>
    <b:Guid>{38F482BC-4EEC-403C-9CEE-1FFF72835065}</b:Guid>
    <b:LCID>en-GB</b:LCID>
    <b:Author>
      <b:Author>
        <b:NameList>
          <b:Person>
            <b:Last>Shane</b:Last>
            <b:First>David</b:First>
            <b:Middle>Grahame</b:Middle>
          </b:Person>
        </b:NameList>
      </b:Author>
    </b:Author>
    <b:Title>Recombinant urbanism: Conceptual modeling in architecture, urban design and city theory</b:Title>
    <b:Year>2005</b:Year>
    <b:City>New York</b:City>
    <b:Publisher>Wiley</b:Publisher>
    <b:RefOrder>9</b:RefOrder>
  </b:Source>
</b:Sources>
</file>

<file path=customXml/itemProps1.xml><?xml version="1.0" encoding="utf-8"?>
<ds:datastoreItem xmlns:ds="http://schemas.openxmlformats.org/officeDocument/2006/customXml" ds:itemID="{495445FB-29A5-4D41-A02A-D69F16E3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Hisham Abusaada</dc:creator>
  <cp:keywords/>
  <dc:description/>
  <cp:lastModifiedBy>Hisham Abusaada</cp:lastModifiedBy>
  <cp:revision>3</cp:revision>
  <dcterms:created xsi:type="dcterms:W3CDTF">2024-12-22T20:05:00Z</dcterms:created>
  <dcterms:modified xsi:type="dcterms:W3CDTF">2024-12-23T09:23:00Z</dcterms:modified>
</cp:coreProperties>
</file>